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EE" w:rsidRDefault="00703CEE" w:rsidP="00703CEE">
      <w:pPr>
        <w:pStyle w:val="Heading2"/>
        <w:numPr>
          <w:ilvl w:val="0"/>
          <w:numId w:val="0"/>
        </w:numPr>
      </w:pPr>
      <w:r>
        <w:t>Supplementary T</w:t>
      </w:r>
      <w:r w:rsidRPr="0041474F">
        <w:t xml:space="preserve">able 1: Mean </w:t>
      </w:r>
      <w:r w:rsidR="00AE596F">
        <w:t xml:space="preserve">ganglion cell and inner plexiform layer </w:t>
      </w:r>
      <w:r w:rsidRPr="0041474F">
        <w:t>thickness</w:t>
      </w:r>
      <w:r w:rsidR="00AE596F">
        <w:t>es</w:t>
      </w:r>
      <w:r w:rsidRPr="0041474F">
        <w:t xml:space="preserve"> of CIS patients compared matched controls.</w:t>
      </w:r>
    </w:p>
    <w:tbl>
      <w:tblPr>
        <w:tblW w:w="100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3"/>
        <w:gridCol w:w="1674"/>
        <w:gridCol w:w="1674"/>
        <w:gridCol w:w="1515"/>
        <w:gridCol w:w="1984"/>
        <w:gridCol w:w="1523"/>
      </w:tblGrid>
      <w:tr w:rsidR="00703CEE" w:rsidRPr="000D279F" w:rsidTr="000D279F">
        <w:trPr>
          <w:trHeight w:val="315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Retinal layer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HC (matched to CIS-NON)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CIS-NON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Regression coefficient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Standard error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P-value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35.14 (2.94)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33.92 (3.57)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-1.41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0.72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0.051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36.13 (2.93)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34.96 (3.19)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-1.06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0.67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0.110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71.27 (4.52)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68.88 (5.52)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-2.48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1.12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0.027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</w:tr>
      <w:tr w:rsidR="00703CEE" w:rsidRPr="000D279F" w:rsidTr="000D279F">
        <w:trPr>
          <w:trHeight w:val="315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Retinal layer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HC (matched to CIS-SON)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CIS-SON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Regression coefficient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Standard error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P-value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35.50 (2.96)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30.10 (3.08)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-5.18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1.76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0.003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35.95 (2.79)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33.05 (4.59)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-2.55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2.20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0.247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71.45 (4.87)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63.15 (7.43)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-7.62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3.85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0.048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</w:tr>
      <w:tr w:rsidR="00703CEE" w:rsidRPr="000D279F" w:rsidTr="000D279F">
        <w:trPr>
          <w:trHeight w:val="315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Retinal layer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HC (matched to CIS-ON)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CIS-ON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Regression coefficient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cs="Arial"/>
                <w:b/>
                <w:sz w:val="22"/>
              </w:rPr>
              <w:t>Standard error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 xml:space="preserve">P-value </w:t>
            </w:r>
            <w:r w:rsidRPr="000D279F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val="de-DE" w:eastAsia="de-DE"/>
              </w:rPr>
              <w:t>a)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35.45 (2.90)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26.64 (5.35)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-8.99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1.48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&lt;0.001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36.12 (2.97)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32.06 (5.06)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-4.68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1.41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0.009</w:t>
            </w:r>
          </w:p>
        </w:tc>
      </w:tr>
      <w:tr w:rsidR="00703CEE" w:rsidRPr="000D279F" w:rsidTr="000D279F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GCIPL [µm]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71.57 (4.62)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58.69 (9.77)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-13.68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color w:val="000000"/>
                <w:sz w:val="22"/>
                <w:lang w:val="de-DE" w:eastAsia="de-DE"/>
              </w:rPr>
              <w:t>2.64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03CEE" w:rsidRPr="000D279F" w:rsidRDefault="00703CEE" w:rsidP="000D279F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de-DE" w:eastAsia="de-DE"/>
              </w:rPr>
            </w:pPr>
            <w:r w:rsidRPr="000D279F">
              <w:rPr>
                <w:rFonts w:eastAsia="Times New Roman" w:cs="Arial"/>
                <w:b/>
                <w:bCs/>
                <w:color w:val="000000"/>
                <w:sz w:val="22"/>
                <w:lang w:val="de-DE" w:eastAsia="de-DE"/>
              </w:rPr>
              <w:t>&lt;0.001</w:t>
            </w:r>
          </w:p>
        </w:tc>
      </w:tr>
    </w:tbl>
    <w:p w:rsidR="00703CEE" w:rsidRDefault="00703CEE" w:rsidP="00703CEE">
      <w:r w:rsidRPr="00712626">
        <w:rPr>
          <w:rFonts w:eastAsia="Times New Roman" w:cs="Arial"/>
          <w:color w:val="231F20"/>
          <w:szCs w:val="24"/>
          <w:lang w:eastAsia="de-DE"/>
        </w:rPr>
        <w:t xml:space="preserve">Abbreviations: </w:t>
      </w:r>
      <w:r w:rsidRPr="00712626">
        <w:t>HC = healthy control eyes; CIS-NON = patient eyes without history of optic neuritis and VEP P100 &lt;= 115 ms; CIS-SON = eyes with VEP P100 latency &gt; 115 ms but no ON diagnosis; CIS-ON = patient eyes with clinical ON diagnosis; SD = standard</w:t>
      </w:r>
      <w:r>
        <w:t xml:space="preserve"> deviation; IPL = inner plexiform layer; GCL = ganglion cell layer; GCIPL = combined ganglion cell and inner plexiform layer.</w:t>
      </w:r>
    </w:p>
    <w:p w:rsidR="000D279F" w:rsidRPr="007B74E1" w:rsidRDefault="00703CEE" w:rsidP="007B74E1">
      <w:r>
        <w:rPr>
          <w:vertAlign w:val="superscript"/>
        </w:rPr>
        <w:t>a</w:t>
      </w:r>
      <w:r w:rsidRPr="000966C4">
        <w:rPr>
          <w:vertAlign w:val="superscript"/>
        </w:rPr>
        <w:t>)</w:t>
      </w:r>
      <w:r>
        <w:t xml:space="preserve"> Statistical parameters of</w:t>
      </w:r>
      <w:r w:rsidRPr="0041474F">
        <w:t xml:space="preserve"> the comparison of CIS patients to the </w:t>
      </w:r>
      <w:r>
        <w:t xml:space="preserve">corresponding </w:t>
      </w:r>
      <w:r w:rsidRPr="0041474F">
        <w:t>matching controls using generalized estimation equation models</w:t>
      </w:r>
      <w:r>
        <w:t>.</w:t>
      </w:r>
      <w:r w:rsidR="000D279F">
        <w:br w:type="page"/>
      </w:r>
    </w:p>
    <w:p w:rsidR="00703CEE" w:rsidRDefault="00703CEE" w:rsidP="00703CEE">
      <w:pPr>
        <w:pStyle w:val="Heading2"/>
      </w:pPr>
      <w:r>
        <w:lastRenderedPageBreak/>
        <w:t>Supplementary F</w:t>
      </w:r>
      <w:r w:rsidRPr="0041474F">
        <w:t>igure 1: Spatial analysis of changes in the GCL and IPL.</w:t>
      </w:r>
    </w:p>
    <w:p w:rsidR="00703CEE" w:rsidRPr="00642916" w:rsidRDefault="00703CEE" w:rsidP="00703CEE">
      <w:r>
        <w:rPr>
          <w:noProof/>
          <w:lang w:val="en-GB" w:eastAsia="en-GB"/>
        </w:rPr>
        <w:drawing>
          <wp:inline distT="0" distB="0" distL="0" distR="0">
            <wp:extent cx="5762625" cy="5143500"/>
            <wp:effectExtent l="0" t="0" r="9525" b="0"/>
            <wp:docPr id="2" name="Grafik 2" descr="C:\Dropbox\CIS data UKD\Manuskript Arch Neurol\eFigure_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CIS data UKD\Manuskript Arch Neurol\eFigure_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CEE" w:rsidRPr="0041474F" w:rsidRDefault="00703CEE" w:rsidP="00703CEE">
      <w:r w:rsidRPr="0041474F">
        <w:t xml:space="preserve">Spatial thickness changes between CIS patients and the corresponding matched healthy controls. Patients were stratified by history of ON: no history of ON (NON), suspicious for an ON (SON) or a clinically diagnosed ON. Mean thickness values and statistical analysis are summarized in </w:t>
      </w:r>
      <w:r>
        <w:t>eT</w:t>
      </w:r>
      <w:r w:rsidRPr="0041474F">
        <w:t>able 1. Difference maps for A) GCL B) IPL and C) the combined GCL and IPL (GCIP</w:t>
      </w:r>
      <w:r>
        <w:t>L</w:t>
      </w:r>
      <w:r w:rsidRPr="0041474F">
        <w:t>).</w:t>
      </w:r>
    </w:p>
    <w:p w:rsidR="00703CEE" w:rsidRDefault="00703CEE" w:rsidP="00703CEE">
      <w:r w:rsidRPr="00642916">
        <w:t>Abbreviations:</w:t>
      </w:r>
      <w:r w:rsidRPr="0041474F">
        <w:t xml:space="preserve"> GCL = ganglion cell layer; IPL = inner plexiform layer; GCIP</w:t>
      </w:r>
      <w:r>
        <w:t>L</w:t>
      </w:r>
      <w:r w:rsidRPr="0041474F">
        <w:t xml:space="preserve"> = </w:t>
      </w:r>
      <w:r w:rsidR="00AE596F">
        <w:t xml:space="preserve">combined </w:t>
      </w:r>
      <w:r w:rsidRPr="0041474F">
        <w:t>ganglion cell and inner plexiform layer; INL = inner nuclear layer.</w:t>
      </w:r>
    </w:p>
    <w:p w:rsidR="000D279F" w:rsidRDefault="000D279F">
      <w:pPr>
        <w:suppressAutoHyphens w:val="0"/>
        <w:spacing w:after="200" w:line="276" w:lineRule="auto"/>
      </w:pPr>
      <w:r>
        <w:rPr>
          <w:bCs/>
          <w:iCs/>
        </w:rPr>
        <w:br w:type="page"/>
      </w:r>
    </w:p>
    <w:p w:rsidR="00092420" w:rsidRDefault="00092420" w:rsidP="000D279F">
      <w:pPr>
        <w:pStyle w:val="Heading2"/>
        <w:numPr>
          <w:ilvl w:val="0"/>
          <w:numId w:val="0"/>
        </w:numPr>
      </w:pPr>
      <w:r>
        <w:lastRenderedPageBreak/>
        <w:t>Supplementary Figure 2: Correlation of VEP P</w:t>
      </w:r>
      <w:bookmarkStart w:id="0" w:name="_GoBack"/>
      <w:bookmarkEnd w:id="0"/>
      <w:r>
        <w:t>100 latencies to intra-retinal layer thicknesses</w:t>
      </w:r>
    </w:p>
    <w:p w:rsidR="00AF4BA7" w:rsidRPr="00092420" w:rsidRDefault="007B74E1" w:rsidP="00092420">
      <w:r>
        <w:rPr>
          <w:noProof/>
          <w:lang w:val="en-GB" w:eastAsia="en-GB"/>
        </w:rPr>
        <w:drawing>
          <wp:inline distT="0" distB="0" distL="0" distR="0">
            <wp:extent cx="6053686" cy="6032316"/>
            <wp:effectExtent l="0" t="0" r="0" b="0"/>
            <wp:docPr id="1" name="Bild 1" descr="Macintosh HD:Users:oberwaht:Dropbox:CIS data UKD:Manuskript:Figures:Archive:sup_figure_2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berwaht:Dropbox:CIS data UKD:Manuskript:Figures:Archive:sup_figure_2-0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86" cy="603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E1" w:rsidRDefault="007B74E1">
      <w:pPr>
        <w:suppressAutoHyphens w:val="0"/>
        <w:spacing w:after="200" w:line="276" w:lineRule="auto"/>
        <w:rPr>
          <w:rFonts w:eastAsia="MS PGothic" w:cs="Times New Roman"/>
          <w:bCs/>
          <w:iCs/>
          <w:szCs w:val="28"/>
          <w:u w:val="single"/>
        </w:rPr>
      </w:pPr>
      <w:r>
        <w:br w:type="page"/>
      </w:r>
    </w:p>
    <w:p w:rsidR="006C5A19" w:rsidRDefault="006C5A19" w:rsidP="006C5A19">
      <w:pPr>
        <w:pStyle w:val="Heading2"/>
      </w:pPr>
      <w:r>
        <w:lastRenderedPageBreak/>
        <w:t>Supplementary Figure 3: Scatterplot for the relationship of time since onset with TMV and GCIP, respectively</w:t>
      </w:r>
    </w:p>
    <w:p w:rsidR="00975F3D" w:rsidRDefault="007B74E1">
      <w:r>
        <w:rPr>
          <w:noProof/>
          <w:lang w:val="en-GB" w:eastAsia="en-GB"/>
        </w:rPr>
        <w:drawing>
          <wp:inline distT="0" distB="0" distL="0" distR="0">
            <wp:extent cx="6256894" cy="3455959"/>
            <wp:effectExtent l="0" t="0" r="0" b="0"/>
            <wp:docPr id="5" name="Bild 5" descr="Macintosh HD:Users:oberwaht:Dropbox:CIS data UKD:Manuskript MSJ:tmp:sup_figure_3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berwaht:Dropbox:CIS data UKD:Manuskript MSJ:tmp:sup_figure_3-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94" cy="34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F3D" w:rsidSect="0038468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0F" w:rsidRDefault="004E200F" w:rsidP="00D031E8">
      <w:pPr>
        <w:spacing w:after="0" w:line="240" w:lineRule="auto"/>
      </w:pPr>
      <w:r>
        <w:separator/>
      </w:r>
    </w:p>
  </w:endnote>
  <w:endnote w:type="continuationSeparator" w:id="0">
    <w:p w:rsidR="004E200F" w:rsidRDefault="004E200F" w:rsidP="00D0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0F" w:rsidRDefault="004E200F" w:rsidP="00D031E8">
      <w:pPr>
        <w:spacing w:after="0" w:line="240" w:lineRule="auto"/>
      </w:pPr>
      <w:r>
        <w:separator/>
      </w:r>
    </w:p>
  </w:footnote>
  <w:footnote w:type="continuationSeparator" w:id="0">
    <w:p w:rsidR="004E200F" w:rsidRDefault="004E200F" w:rsidP="00D0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8" w:rsidRDefault="00D031E8" w:rsidP="00D031E8">
    <w:pPr>
      <w:pStyle w:val="Header"/>
      <w:ind w:right="360"/>
      <w:jc w:val="right"/>
    </w:pPr>
    <w:r>
      <w:t>Online Only Material</w:t>
    </w:r>
    <w:r>
      <w:tab/>
    </w:r>
    <w:r>
      <w:tab/>
      <w:t>Oberwahrenbrock et al.</w:t>
    </w:r>
  </w:p>
  <w:p w:rsidR="00D031E8" w:rsidRDefault="00D03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1E8"/>
    <w:rsid w:val="00092420"/>
    <w:rsid w:val="000D279F"/>
    <w:rsid w:val="001877AE"/>
    <w:rsid w:val="0026468B"/>
    <w:rsid w:val="002B5940"/>
    <w:rsid w:val="00384689"/>
    <w:rsid w:val="003B0FA7"/>
    <w:rsid w:val="004B2630"/>
    <w:rsid w:val="004E200F"/>
    <w:rsid w:val="006C5A19"/>
    <w:rsid w:val="006D51CD"/>
    <w:rsid w:val="006E1615"/>
    <w:rsid w:val="00700ADA"/>
    <w:rsid w:val="00703CEE"/>
    <w:rsid w:val="007B74E1"/>
    <w:rsid w:val="007D3EF8"/>
    <w:rsid w:val="00951DDD"/>
    <w:rsid w:val="00963D56"/>
    <w:rsid w:val="00AE596F"/>
    <w:rsid w:val="00AF4BA7"/>
    <w:rsid w:val="00B34C7F"/>
    <w:rsid w:val="00D031E8"/>
    <w:rsid w:val="00D66DC3"/>
    <w:rsid w:val="00D868EC"/>
    <w:rsid w:val="00EF4FFA"/>
    <w:rsid w:val="00F8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E8"/>
    <w:pPr>
      <w:suppressAutoHyphens/>
      <w:spacing w:after="120" w:line="480" w:lineRule="auto"/>
    </w:pPr>
    <w:rPr>
      <w:rFonts w:ascii="Arial" w:eastAsia="MS Mincho" w:hAnsi="Arial" w:cs="Cambria"/>
      <w:sz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D031E8"/>
    <w:pPr>
      <w:numPr>
        <w:ilvl w:val="1"/>
        <w:numId w:val="1"/>
      </w:numPr>
      <w:spacing w:before="120"/>
      <w:outlineLvl w:val="1"/>
    </w:pPr>
    <w:rPr>
      <w:rFonts w:eastAsia="MS PGothic" w:cs="Times New Roman"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31E8"/>
    <w:rPr>
      <w:rFonts w:ascii="Arial" w:eastAsia="MS PGothic" w:hAnsi="Arial" w:cs="Times New Roman"/>
      <w:bCs/>
      <w:iCs/>
      <w:sz w:val="24"/>
      <w:szCs w:val="28"/>
      <w:u w:val="single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D0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E8"/>
    <w:rPr>
      <w:rFonts w:ascii="Arial" w:eastAsia="MS Mincho" w:hAnsi="Arial" w:cs="Cambria"/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0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E8"/>
    <w:rPr>
      <w:rFonts w:ascii="Arial" w:eastAsia="MS Mincho" w:hAnsi="Arial" w:cs="Cambria"/>
      <w:sz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EE"/>
    <w:rPr>
      <w:rFonts w:ascii="Tahoma" w:eastAsia="MS Mincho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1E8"/>
    <w:pPr>
      <w:suppressAutoHyphens/>
      <w:spacing w:after="120" w:line="480" w:lineRule="auto"/>
    </w:pPr>
    <w:rPr>
      <w:rFonts w:ascii="Arial" w:eastAsia="MS Mincho" w:hAnsi="Arial" w:cs="Cambria"/>
      <w:sz w:val="24"/>
      <w:lang w:val="en-US" w:eastAsia="ar-SA"/>
    </w:rPr>
  </w:style>
  <w:style w:type="paragraph" w:styleId="berschrift2">
    <w:name w:val="heading 2"/>
    <w:basedOn w:val="Standard"/>
    <w:next w:val="Standard"/>
    <w:link w:val="berschrift2Zchn"/>
    <w:qFormat/>
    <w:rsid w:val="00D031E8"/>
    <w:pPr>
      <w:numPr>
        <w:ilvl w:val="1"/>
        <w:numId w:val="1"/>
      </w:numPr>
      <w:spacing w:before="120"/>
      <w:outlineLvl w:val="1"/>
    </w:pPr>
    <w:rPr>
      <w:rFonts w:eastAsia="MS PGothic" w:cs="Times New Roman"/>
      <w:bCs/>
      <w:i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031E8"/>
    <w:rPr>
      <w:rFonts w:ascii="Arial" w:eastAsia="MS PGothic" w:hAnsi="Arial" w:cs="Times New Roman"/>
      <w:bCs/>
      <w:iCs/>
      <w:sz w:val="24"/>
      <w:szCs w:val="28"/>
      <w:u w:val="single"/>
      <w:lang w:val="en-US" w:eastAsia="ar-SA"/>
    </w:rPr>
  </w:style>
  <w:style w:type="paragraph" w:styleId="Kopfzeile">
    <w:name w:val="header"/>
    <w:basedOn w:val="Standard"/>
    <w:link w:val="KopfzeileZchn"/>
    <w:uiPriority w:val="99"/>
    <w:unhideWhenUsed/>
    <w:rsid w:val="00D0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1E8"/>
    <w:rPr>
      <w:rFonts w:ascii="Arial" w:eastAsia="MS Mincho" w:hAnsi="Arial" w:cs="Cambria"/>
      <w:sz w:val="24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D0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1E8"/>
    <w:rPr>
      <w:rFonts w:ascii="Arial" w:eastAsia="MS Mincho" w:hAnsi="Arial" w:cs="Cambria"/>
      <w:sz w:val="24"/>
      <w:lang w:val="en-US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CEE"/>
    <w:rPr>
      <w:rFonts w:ascii="Tahoma" w:eastAsia="MS Mincho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Charite Universitaetsmedizin Berlin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Oberwahrenbrock 2</dc:creator>
  <cp:lastModifiedBy>rhead</cp:lastModifiedBy>
  <cp:revision>2</cp:revision>
  <dcterms:created xsi:type="dcterms:W3CDTF">2013-05-23T15:07:00Z</dcterms:created>
  <dcterms:modified xsi:type="dcterms:W3CDTF">2013-05-23T15:07:00Z</dcterms:modified>
</cp:coreProperties>
</file>