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A57" w:rsidRDefault="00566010" w:rsidP="009E4546">
      <w:pPr>
        <w:spacing w:line="480" w:lineRule="auto"/>
        <w:jc w:val="both"/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Additional file</w:t>
      </w:r>
      <w:r w:rsidR="003957D7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642322">
        <w:rPr>
          <w:rFonts w:ascii="Calibri" w:hAnsi="Calibri" w:cs="Arial"/>
          <w:b/>
          <w:bCs/>
          <w:sz w:val="28"/>
          <w:szCs w:val="28"/>
        </w:rPr>
        <w:t>1</w:t>
      </w:r>
      <w:r w:rsidR="00D33A57">
        <w:rPr>
          <w:rFonts w:ascii="Calibri" w:hAnsi="Calibri" w:cs="Arial"/>
          <w:b/>
          <w:bCs/>
          <w:sz w:val="28"/>
          <w:szCs w:val="28"/>
        </w:rPr>
        <w:t xml:space="preserve"> (</w:t>
      </w:r>
      <w:r w:rsidR="00D33A57" w:rsidRPr="00D33A57">
        <w:rPr>
          <w:rFonts w:ascii="Calibri" w:hAnsi="Calibri" w:cs="Arial"/>
          <w:b/>
          <w:bCs/>
          <w:sz w:val="28"/>
          <w:szCs w:val="28"/>
        </w:rPr>
        <w:t>Title of data: Tables</w:t>
      </w:r>
      <w:r w:rsidR="00D33A57">
        <w:rPr>
          <w:rFonts w:ascii="Calibri" w:hAnsi="Calibri" w:cs="Arial"/>
          <w:b/>
          <w:bCs/>
          <w:sz w:val="22"/>
          <w:szCs w:val="22"/>
        </w:rPr>
        <w:t>)</w:t>
      </w:r>
    </w:p>
    <w:p w:rsidR="00E840F4" w:rsidRPr="00E47C0F" w:rsidRDefault="00E840F4" w:rsidP="009E4546">
      <w:pPr>
        <w:spacing w:line="48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E47C0F">
        <w:rPr>
          <w:rFonts w:ascii="Calibri" w:hAnsi="Calibri" w:cs="Arial"/>
          <w:b/>
          <w:bCs/>
          <w:sz w:val="22"/>
          <w:szCs w:val="22"/>
        </w:rPr>
        <w:t>Ilm et al: High MACC1 expression in combination with mutated KRAS G13 indicate</w:t>
      </w:r>
      <w:r w:rsidR="00E47C0F" w:rsidRPr="00E47C0F">
        <w:rPr>
          <w:rFonts w:ascii="Calibri" w:hAnsi="Calibri" w:cs="Arial"/>
          <w:b/>
          <w:bCs/>
          <w:sz w:val="22"/>
          <w:szCs w:val="22"/>
        </w:rPr>
        <w:t>s</w:t>
      </w:r>
      <w:r w:rsidRPr="00E47C0F">
        <w:rPr>
          <w:rFonts w:ascii="Calibri" w:hAnsi="Calibri" w:cs="Arial"/>
          <w:b/>
          <w:bCs/>
          <w:sz w:val="22"/>
          <w:szCs w:val="22"/>
        </w:rPr>
        <w:t xml:space="preserve"> poor survival of colorectal cancer</w:t>
      </w:r>
      <w:r w:rsidR="00E47C0F" w:rsidRPr="00E47C0F">
        <w:rPr>
          <w:rFonts w:ascii="Calibri" w:hAnsi="Calibri" w:cs="Arial"/>
          <w:b/>
          <w:bCs/>
          <w:sz w:val="22"/>
          <w:szCs w:val="22"/>
        </w:rPr>
        <w:t xml:space="preserve"> patients</w:t>
      </w:r>
    </w:p>
    <w:p w:rsidR="00064AD1" w:rsidRPr="00E47C0F" w:rsidRDefault="00064AD1" w:rsidP="009E4546">
      <w:pPr>
        <w:spacing w:line="480" w:lineRule="auto"/>
        <w:jc w:val="both"/>
        <w:rPr>
          <w:rFonts w:ascii="Calibri" w:hAnsi="Calibri" w:cs="Arial"/>
          <w:color w:val="FF0000"/>
          <w:sz w:val="22"/>
          <w:szCs w:val="22"/>
        </w:rPr>
      </w:pPr>
      <w:r w:rsidRPr="00E47C0F">
        <w:rPr>
          <w:rFonts w:ascii="Calibri" w:hAnsi="Calibri" w:cs="Arial"/>
          <w:b/>
          <w:bCs/>
          <w:sz w:val="22"/>
          <w:szCs w:val="22"/>
        </w:rPr>
        <w:t xml:space="preserve">Table </w:t>
      </w:r>
      <w:r w:rsidR="00B90DD9">
        <w:rPr>
          <w:rFonts w:ascii="Calibri" w:hAnsi="Calibri" w:cs="Arial"/>
          <w:b/>
          <w:bCs/>
          <w:sz w:val="22"/>
          <w:szCs w:val="22"/>
        </w:rPr>
        <w:t>S</w:t>
      </w:r>
      <w:r w:rsidRPr="00E47C0F">
        <w:rPr>
          <w:rFonts w:ascii="Calibri" w:hAnsi="Calibri" w:cs="Arial"/>
          <w:b/>
          <w:bCs/>
          <w:sz w:val="22"/>
          <w:szCs w:val="22"/>
        </w:rPr>
        <w:t xml:space="preserve">1: Patient characteristics with regard to MACC1 expression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48"/>
        <w:gridCol w:w="1857"/>
        <w:gridCol w:w="1927"/>
        <w:gridCol w:w="1637"/>
        <w:gridCol w:w="1719"/>
      </w:tblGrid>
      <w:tr w:rsidR="00663660" w:rsidRPr="00F655D9" w:rsidTr="00663660">
        <w:tc>
          <w:tcPr>
            <w:tcW w:w="0" w:type="auto"/>
            <w:vMerge w:val="restart"/>
            <w:shd w:val="clear" w:color="auto" w:fill="auto"/>
            <w:vAlign w:val="center"/>
          </w:tcPr>
          <w:p w:rsidR="00663660" w:rsidRPr="00F655D9" w:rsidRDefault="00663660" w:rsidP="00663660">
            <w:pPr>
              <w:spacing w:before="120"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655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63660" w:rsidRPr="00F655D9" w:rsidRDefault="00663660" w:rsidP="00663660">
            <w:pPr>
              <w:spacing w:before="120"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655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MACC1 expression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63660" w:rsidRPr="00F655D9" w:rsidRDefault="00663660" w:rsidP="00663660">
            <w:pPr>
              <w:spacing w:before="120"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63660" w:rsidRPr="00F655D9" w:rsidRDefault="00663660" w:rsidP="00663660">
            <w:pPr>
              <w:spacing w:before="120"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655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RR (95% CI)</w:t>
            </w:r>
          </w:p>
        </w:tc>
      </w:tr>
      <w:tr w:rsidR="00663660" w:rsidRPr="00F655D9" w:rsidTr="00663660">
        <w:tc>
          <w:tcPr>
            <w:tcW w:w="0" w:type="auto"/>
            <w:vMerge/>
            <w:shd w:val="clear" w:color="auto" w:fill="auto"/>
            <w:vAlign w:val="center"/>
          </w:tcPr>
          <w:p w:rsidR="00663660" w:rsidRPr="00F655D9" w:rsidRDefault="00663660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3660" w:rsidRPr="00F655D9" w:rsidRDefault="00663660" w:rsidP="00C12FA3">
            <w:pPr>
              <w:spacing w:before="120"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655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low (n=64)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Pr="00F655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3660" w:rsidRPr="00F655D9" w:rsidRDefault="00663660" w:rsidP="00C12FA3">
            <w:pPr>
              <w:spacing w:before="120"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655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high (n=35)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63660" w:rsidRDefault="00663660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63660" w:rsidRPr="00F655D9" w:rsidRDefault="00663660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655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highlight w:val="green"/>
              </w:rPr>
            </w:pPr>
            <w:r w:rsidRPr="00F655D9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0.952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655D9">
              <w:rPr>
                <w:rFonts w:asciiTheme="minorHAnsi" w:hAnsiTheme="minorHAnsi"/>
                <w:color w:val="000000"/>
                <w:sz w:val="20"/>
                <w:szCs w:val="20"/>
              </w:rPr>
              <w:t>0.99 (0.74-1.332)</w:t>
            </w: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Male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(n=59)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72201F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38 (59.</w:t>
            </w:r>
            <w:r w:rsidR="00365630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38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21 (</w:t>
            </w:r>
            <w:r w:rsidR="0072201F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60.0</w:t>
            </w:r>
            <w:r w:rsidR="00365630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ind w:left="-277" w:firstLine="277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rPr>
          <w:trHeight w:val="493"/>
        </w:trPr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Female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(n=40)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26 (</w:t>
            </w:r>
            <w:r w:rsidR="0072201F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40.6</w:t>
            </w:r>
            <w:r w:rsidR="00365630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14 (</w:t>
            </w:r>
            <w:r w:rsidR="0072201F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40.0</w:t>
            </w:r>
            <w:r w:rsidR="00365630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Age at diagnosis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0.797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655D9">
              <w:rPr>
                <w:rFonts w:asciiTheme="minorHAnsi" w:hAnsiTheme="minorHAnsi"/>
                <w:color w:val="000000"/>
                <w:sz w:val="20"/>
                <w:szCs w:val="20"/>
              </w:rPr>
              <w:t>1.04 (0.76-1.44)</w:t>
            </w: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&lt;60 years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(n=27)</w:t>
            </w: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72201F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18 (28.1</w:t>
            </w:r>
            <w:r w:rsidR="00365630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9 (</w:t>
            </w:r>
            <w:r w:rsidR="0072201F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25.7</w:t>
            </w:r>
            <w:r w:rsidR="00365630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≥60 years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(n=72)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72201F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46 (</w:t>
            </w:r>
            <w:r w:rsidR="00365630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71.88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26 (</w:t>
            </w:r>
            <w:r w:rsidR="0072201F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7</w:t>
            </w:r>
            <w:r w:rsidR="00365630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4.29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Median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±</m:t>
              </m:r>
            </m:oMath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SD: </w:t>
            </w:r>
          </w:p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64.8 years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±</m:t>
              </m:r>
            </m:oMath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</w:t>
            </w: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64.3 years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±</m:t>
              </m:r>
            </m:oMath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9.5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65.3 years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±</m:t>
              </m:r>
            </m:oMath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10.2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UICC stage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0.</w:t>
            </w:r>
            <w:r w:rsidR="0072201F"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369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655D9">
              <w:rPr>
                <w:rFonts w:asciiTheme="minorHAnsi" w:hAnsiTheme="minorHAnsi"/>
                <w:color w:val="000000"/>
                <w:sz w:val="20"/>
                <w:szCs w:val="20"/>
              </w:rPr>
              <w:t>1.10 (0.80-1.52)</w:t>
            </w: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UICC I+II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(n=66)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val="de-DE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44 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  <w:lang w:val="de-DE"/>
              </w:rPr>
              <w:t>(6</w:t>
            </w:r>
            <w:r w:rsidR="00365630" w:rsidRPr="0070766C">
              <w:rPr>
                <w:rFonts w:asciiTheme="minorHAnsi" w:hAnsiTheme="minorHAnsi"/>
                <w:color w:val="000000"/>
                <w:sz w:val="20"/>
                <w:szCs w:val="20"/>
                <w:lang w:val="de-DE"/>
              </w:rPr>
              <w:t>8.75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  <w:lang w:val="de-DE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22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62.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86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UICC III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(n=33)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B3754E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20 (3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.2</w:t>
            </w:r>
            <w:r w:rsidR="00365630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13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37.1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pT</w:t>
            </w:r>
            <w:proofErr w:type="spellEnd"/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status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0.569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655D9">
              <w:rPr>
                <w:rFonts w:asciiTheme="minorHAnsi" w:hAnsiTheme="minorHAnsi"/>
                <w:color w:val="000000"/>
                <w:sz w:val="20"/>
                <w:szCs w:val="20"/>
              </w:rPr>
              <w:t>1.10 (0.81-1.50)</w:t>
            </w: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pT1+2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(n=26)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18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28.1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8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2.86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pT3+4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(n=73)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46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7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1.88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27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77.1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pN</w:t>
            </w:r>
            <w:proofErr w:type="spellEnd"/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status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0.552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655D9">
              <w:rPr>
                <w:rFonts w:asciiTheme="minorHAnsi" w:hAnsiTheme="minorHAnsi"/>
                <w:color w:val="000000"/>
                <w:sz w:val="20"/>
                <w:szCs w:val="20"/>
              </w:rPr>
              <w:t>1.10 (0.80-1.52)</w:t>
            </w: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Negative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(n=66)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B3754E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44 (6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8.75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22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6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2.88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Positive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(n=33)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B3754E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20 (3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.2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B3754E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13 (37.1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F655D9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lastRenderedPageBreak/>
              <w:t>Grading (G)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0.827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0.96 (0.68-1.36)</w:t>
            </w: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G1+G2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(n=78)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B3754E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50 (78.1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28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80.0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G3+G4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(n=21)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14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1.88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7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20.0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5567A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Localiz</w:t>
            </w:r>
            <w:r w:rsidR="007C4ED6"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a</w:t>
            </w:r>
            <w:r w:rsidR="00064AD1"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tion</w:t>
            </w:r>
            <w:r w:rsidR="00064AD1"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0.133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1.33 (0.90-1.98)</w:t>
            </w: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Colon </w:t>
            </w:r>
            <w:r w:rsidR="006D5EEE"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(n=71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B3754E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49 (76.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6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B3754E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22 (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62.86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Rectum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</w:t>
            </w:r>
            <w:r w:rsidR="006D5EEE"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27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B3754E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14 (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21.88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B3754E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13 (37.1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gridSpan w:val="2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Metachronous </w:t>
            </w:r>
            <w:r w:rsidR="00AD5F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Metastas</w:t>
            </w:r>
            <w:r w:rsidR="00AD5FDA" w:rsidRPr="00AD5F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highlight w:val="yellow"/>
              </w:rPr>
              <w:t>e</w:t>
            </w: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&lt;0.001***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2.18 (1.26-3.75)</w:t>
            </w: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Without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(n=73)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B3754E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55 (85.9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18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51.4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With </w:t>
            </w:r>
            <w:r w:rsidRPr="0070766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(n=26)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B3754E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9 (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14.06</w:t>
            </w:r>
            <w:r w:rsidR="00064AD1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17 (</w:t>
            </w:r>
            <w:r w:rsidR="00B3754E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4</w:t>
            </w:r>
            <w:r w:rsidR="006C4D3D"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8.57</w:t>
            </w: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%)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64AD1" w:rsidRPr="0070766C" w:rsidRDefault="00064AD1" w:rsidP="0050308F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64AD1" w:rsidRPr="00F655D9" w:rsidTr="00663660">
        <w:trPr>
          <w:trHeight w:val="1232"/>
        </w:trPr>
        <w:tc>
          <w:tcPr>
            <w:tcW w:w="0" w:type="auto"/>
            <w:gridSpan w:val="5"/>
            <w:shd w:val="clear" w:color="auto" w:fill="auto"/>
            <w:vAlign w:val="center"/>
          </w:tcPr>
          <w:p w:rsidR="00E840F4" w:rsidRPr="00663660" w:rsidRDefault="009C6BA1" w:rsidP="00C12FA3">
            <w:pPr>
              <w:autoSpaceDE w:val="0"/>
              <w:autoSpaceDN w:val="0"/>
              <w:adjustRightInd w:val="0"/>
              <w:spacing w:before="120" w:line="480" w:lineRule="auto"/>
              <w:jc w:val="both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Tumors were classified according to the guidelines of the </w:t>
            </w:r>
            <w:r w:rsidR="0087763C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Union for International Cancer Control (UICC) </w:t>
            </w:r>
            <w:r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staging system. </w:t>
            </w:r>
            <w:r w:rsidR="00064AD1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Receiver operating characteristic (ROC) analysis was used to denominate low and high MACC1 mRNA expression groups.</w:t>
            </w:r>
            <w:r w:rsidR="0070766C" w:rsidRPr="00663660">
              <w:rPr>
                <w:rFonts w:asciiTheme="minorHAnsi" w:eastAsia="Calibri" w:hAnsiTheme="minorHAnsi"/>
                <w:sz w:val="20"/>
                <w:szCs w:val="20"/>
                <w:lang w:eastAsia="de-DE"/>
              </w:rPr>
              <w:t xml:space="preserve"> </w:t>
            </w:r>
            <w:r w:rsidR="0070766C" w:rsidRPr="00663660">
              <w:rPr>
                <w:rFonts w:asciiTheme="minorHAnsi" w:eastAsia="Calibri" w:hAnsiTheme="minorHAnsi"/>
                <w:sz w:val="20"/>
                <w:szCs w:val="20"/>
                <w:highlight w:val="yellow"/>
                <w:lang w:eastAsia="de-DE"/>
              </w:rPr>
              <w:t>In the resulting ROC curve the calculated AUC was 0.699. Based on the coordinates for sensitivity and 1-specificity the optimal ROC cutoff for the MACC1 expression was 226.81</w:t>
            </w:r>
            <w:r w:rsidR="0070766C" w:rsidRPr="00663660">
              <w:rPr>
                <w:rFonts w:asciiTheme="minorHAnsi" w:eastAsia="Calibri" w:hAnsiTheme="minorHAnsi"/>
                <w:sz w:val="20"/>
                <w:szCs w:val="20"/>
                <w:lang w:eastAsia="de-DE"/>
              </w:rPr>
              <w:t>.</w:t>
            </w:r>
            <w:r w:rsidR="007409F2">
              <w:rPr>
                <w:rFonts w:asciiTheme="minorHAnsi" w:eastAsia="Calibri" w:hAnsiTheme="minorHAnsi"/>
                <w:color w:val="FF0000"/>
                <w:sz w:val="20"/>
                <w:szCs w:val="20"/>
                <w:lang w:eastAsia="de-DE"/>
              </w:rPr>
              <w:t xml:space="preserve"> </w:t>
            </w:r>
            <w:r w:rsidR="008F001E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The chi-square (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STIXGeneral-Regular"/>
                      <w:sz w:val="20"/>
                      <w:szCs w:val="20"/>
                    </w:rPr>
                    <m:t>χ</m:t>
                  </m: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STIXGeneral-Regular"/>
                      <w:sz w:val="20"/>
                      <w:szCs w:val="20"/>
                    </w:rPr>
                    <m:t>2</m:t>
                  </m: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up>
              </m:sSup>
            </m:oMath>
            <w:r w:rsidR="008F001E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) test was used to compare MACC1 expression with clinicopathological factors. </w:t>
            </w:r>
            <w:r w:rsidR="0087763C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The </w:t>
            </w:r>
            <w:r w:rsidR="008F001E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relative risk (RR) with corresponding 95% confidence intervals (CI) was calculated.</w:t>
            </w:r>
          </w:p>
          <w:p w:rsidR="00E840F4" w:rsidRPr="00663660" w:rsidRDefault="008F001E" w:rsidP="00C12FA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 </w:t>
            </w:r>
            <w:r w:rsidR="00E840F4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  <w:vertAlign w:val="superscript"/>
              </w:rPr>
              <w:t>#</w:t>
            </w:r>
            <w:r w:rsidR="00E840F4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One unknown case </w:t>
            </w:r>
            <w:r w:rsidR="006D5EEE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(1.</w:t>
            </w:r>
            <w:r w:rsidR="00791577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5</w:t>
            </w:r>
            <w:r w:rsidR="006D5EEE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6%) </w:t>
            </w:r>
            <w:r w:rsidR="00E840F4" w:rsidRPr="00663660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was excluded for analysis.</w:t>
            </w:r>
          </w:p>
          <w:p w:rsidR="00064AD1" w:rsidRPr="0070766C" w:rsidRDefault="00064AD1" w:rsidP="00C12FA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SD: standard deviation, </w:t>
            </w:r>
            <w:proofErr w:type="spellStart"/>
            <w:r w:rsidRPr="0070766C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pT</w:t>
            </w:r>
            <w:proofErr w:type="spellEnd"/>
            <w:r w:rsidRPr="0070766C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: post-operative tumor stage, </w:t>
            </w:r>
            <w:proofErr w:type="spellStart"/>
            <w:r w:rsidRPr="0070766C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pN</w:t>
            </w:r>
            <w:proofErr w:type="spellEnd"/>
            <w:r w:rsidRPr="0070766C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: post-operative lymph node status </w:t>
            </w:r>
          </w:p>
        </w:tc>
      </w:tr>
    </w:tbl>
    <w:p w:rsidR="00064AD1" w:rsidRDefault="00064AD1" w:rsidP="009E4546">
      <w:pPr>
        <w:spacing w:line="480" w:lineRule="auto"/>
        <w:rPr>
          <w:lang w:val="en-GB"/>
        </w:rPr>
      </w:pPr>
    </w:p>
    <w:p w:rsidR="005567A1" w:rsidRDefault="005567A1" w:rsidP="009E4546">
      <w:pPr>
        <w:spacing w:after="200"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br w:type="page"/>
      </w:r>
    </w:p>
    <w:p w:rsidR="005567A1" w:rsidRPr="0070766C" w:rsidRDefault="00B90DD9" w:rsidP="009E4546">
      <w:pPr>
        <w:spacing w:line="480" w:lineRule="auto"/>
      </w:pPr>
      <w:r>
        <w:rPr>
          <w:rFonts w:ascii="Calibri" w:hAnsi="Calibri" w:cs="Arial"/>
          <w:b/>
          <w:sz w:val="22"/>
          <w:szCs w:val="22"/>
        </w:rPr>
        <w:lastRenderedPageBreak/>
        <w:t>T</w:t>
      </w:r>
      <w:r w:rsidR="005567A1" w:rsidRPr="0070766C">
        <w:rPr>
          <w:rFonts w:ascii="Calibri" w:hAnsi="Calibri" w:cs="Arial"/>
          <w:b/>
          <w:bCs/>
          <w:sz w:val="22"/>
          <w:szCs w:val="22"/>
        </w:rPr>
        <w:t xml:space="preserve">able </w:t>
      </w:r>
      <w:r>
        <w:rPr>
          <w:rFonts w:ascii="Calibri" w:hAnsi="Calibri" w:cs="Arial"/>
          <w:b/>
          <w:bCs/>
          <w:sz w:val="22"/>
          <w:szCs w:val="22"/>
        </w:rPr>
        <w:t>S</w:t>
      </w:r>
      <w:r w:rsidR="005567A1" w:rsidRPr="0070766C">
        <w:rPr>
          <w:rFonts w:ascii="Calibri" w:hAnsi="Calibri" w:cs="Arial"/>
          <w:b/>
          <w:bCs/>
          <w:sz w:val="22"/>
          <w:szCs w:val="22"/>
        </w:rPr>
        <w:t>2:</w:t>
      </w:r>
      <w:r w:rsidR="005567A1" w:rsidRPr="0070766C">
        <w:t xml:space="preserve"> </w:t>
      </w:r>
      <w:r w:rsidR="005567A1" w:rsidRPr="0070766C">
        <w:rPr>
          <w:rFonts w:ascii="Calibri" w:hAnsi="Calibri" w:cs="Arial"/>
          <w:b/>
          <w:bCs/>
          <w:sz w:val="22"/>
          <w:szCs w:val="22"/>
        </w:rPr>
        <w:t>Frequencies of mutations and MSI status of the tumors and corresponding MACC1 expression</w:t>
      </w:r>
    </w:p>
    <w:tbl>
      <w:tblPr>
        <w:tblStyle w:val="HelleSchattierung1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15"/>
        <w:gridCol w:w="2911"/>
        <w:gridCol w:w="2762"/>
      </w:tblGrid>
      <w:tr w:rsidR="00663660" w:rsidRPr="0070766C" w:rsidTr="00C7303D">
        <w:trPr>
          <w:cnfStyle w:val="100000000000"/>
          <w:jc w:val="center"/>
        </w:trPr>
        <w:tc>
          <w:tcPr>
            <w:cnfStyle w:val="001000000000"/>
            <w:tcW w:w="1946" w:type="pct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63660" w:rsidRPr="0070766C" w:rsidRDefault="00663660" w:rsidP="007409F2">
            <w:pPr>
              <w:spacing w:before="120" w:line="48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Criteria</w:t>
            </w:r>
          </w:p>
        </w:tc>
        <w:tc>
          <w:tcPr>
            <w:tcW w:w="3054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63660" w:rsidRPr="00663660" w:rsidRDefault="00663660" w:rsidP="00663660">
            <w:pPr>
              <w:spacing w:before="120" w:line="480" w:lineRule="auto"/>
              <w:jc w:val="center"/>
              <w:cnfStyle w:val="100000000000"/>
              <w:rPr>
                <w:rFonts w:asciiTheme="minorHAnsi" w:hAnsiTheme="minorHAnsi"/>
                <w:b w:val="0"/>
                <w:bCs w:val="0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MACC1 expression</w:t>
            </w:r>
          </w:p>
        </w:tc>
      </w:tr>
      <w:tr w:rsidR="00663660" w:rsidRPr="0070766C" w:rsidTr="00C7303D">
        <w:trPr>
          <w:cnfStyle w:val="000000100000"/>
          <w:jc w:val="center"/>
        </w:trPr>
        <w:tc>
          <w:tcPr>
            <w:cnfStyle w:val="001000000000"/>
            <w:tcW w:w="1946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63660" w:rsidRPr="0070766C" w:rsidRDefault="00663660" w:rsidP="00663660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63660" w:rsidRPr="00663660" w:rsidRDefault="00663660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b/>
                <w:sz w:val="20"/>
                <w:szCs w:val="20"/>
              </w:rPr>
            </w:pPr>
            <w:r w:rsidRPr="00663660">
              <w:rPr>
                <w:rFonts w:asciiTheme="minorHAnsi" w:hAnsiTheme="minorHAnsi"/>
                <w:b/>
                <w:sz w:val="20"/>
                <w:szCs w:val="20"/>
              </w:rPr>
              <w:t xml:space="preserve">low (n=64)                                 </w:t>
            </w:r>
          </w:p>
        </w:tc>
        <w:tc>
          <w:tcPr>
            <w:tcW w:w="148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63660" w:rsidRPr="00663660" w:rsidRDefault="00663660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b/>
                <w:sz w:val="20"/>
                <w:szCs w:val="20"/>
              </w:rPr>
            </w:pPr>
            <w:r w:rsidRPr="00663660">
              <w:rPr>
                <w:rFonts w:asciiTheme="minorHAnsi" w:hAnsiTheme="minorHAnsi"/>
                <w:b/>
                <w:sz w:val="20"/>
                <w:szCs w:val="20"/>
              </w:rPr>
              <w:t>high (n=35)</w:t>
            </w:r>
          </w:p>
        </w:tc>
      </w:tr>
      <w:tr w:rsidR="0072201F" w:rsidRPr="0070766C" w:rsidTr="00C7303D">
        <w:trPr>
          <w:jc w:val="center"/>
        </w:trPr>
        <w:tc>
          <w:tcPr>
            <w:cnfStyle w:val="001000000000"/>
            <w:tcW w:w="1946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 xml:space="preserve">KRAS mutation </w:t>
            </w:r>
          </w:p>
        </w:tc>
        <w:tc>
          <w:tcPr>
            <w:tcW w:w="156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2201F" w:rsidRPr="0070766C" w:rsidTr="00C7303D">
        <w:trPr>
          <w:cnfStyle w:val="000000100000"/>
          <w:jc w:val="center"/>
        </w:trPr>
        <w:tc>
          <w:tcPr>
            <w:cnfStyle w:val="001000000000"/>
            <w:tcW w:w="1946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Wild type (n=66)</w:t>
            </w:r>
          </w:p>
        </w:tc>
        <w:tc>
          <w:tcPr>
            <w:tcW w:w="156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46 (71.8</w:t>
            </w:r>
            <w:r w:rsidR="000463B7" w:rsidRPr="0070766C">
              <w:rPr>
                <w:rFonts w:asciiTheme="minorHAnsi" w:hAnsiTheme="minorHAnsi"/>
                <w:sz w:val="20"/>
                <w:szCs w:val="20"/>
              </w:rPr>
              <w:t>8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48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20 (57.1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4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C7303D">
        <w:trPr>
          <w:jc w:val="center"/>
        </w:trPr>
        <w:tc>
          <w:tcPr>
            <w:cnfStyle w:val="001000000000"/>
            <w:tcW w:w="1946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G12 mutation (n=28)</w:t>
            </w:r>
          </w:p>
        </w:tc>
        <w:tc>
          <w:tcPr>
            <w:tcW w:w="156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17 (26.</w:t>
            </w:r>
            <w:r w:rsidR="000463B7" w:rsidRPr="0070766C">
              <w:rPr>
                <w:rFonts w:asciiTheme="minorHAnsi" w:hAnsiTheme="minorHAnsi"/>
                <w:sz w:val="20"/>
                <w:szCs w:val="20"/>
              </w:rPr>
              <w:t>56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48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11 (31.4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3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C7303D">
        <w:trPr>
          <w:cnfStyle w:val="000000100000"/>
          <w:jc w:val="center"/>
        </w:trPr>
        <w:tc>
          <w:tcPr>
            <w:cnfStyle w:val="001000000000"/>
            <w:tcW w:w="1946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 xml:space="preserve">             G12V (n=12)</w:t>
            </w:r>
          </w:p>
        </w:tc>
        <w:tc>
          <w:tcPr>
            <w:tcW w:w="156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11 (17</w:t>
            </w:r>
            <w:r w:rsidR="000463B7" w:rsidRPr="0070766C">
              <w:rPr>
                <w:rFonts w:asciiTheme="minorHAnsi" w:hAnsiTheme="minorHAnsi"/>
                <w:sz w:val="20"/>
                <w:szCs w:val="20"/>
              </w:rPr>
              <w:t>.19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48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 (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2.86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C7303D">
        <w:trPr>
          <w:jc w:val="center"/>
        </w:trPr>
        <w:tc>
          <w:tcPr>
            <w:cnfStyle w:val="001000000000"/>
            <w:tcW w:w="1946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 xml:space="preserve">             G12D (n=9)</w:t>
            </w:r>
          </w:p>
        </w:tc>
        <w:tc>
          <w:tcPr>
            <w:tcW w:w="156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 xml:space="preserve">3 </w:t>
            </w:r>
            <w:r w:rsidR="000463B7" w:rsidRPr="0070766C">
              <w:rPr>
                <w:rFonts w:asciiTheme="minorHAnsi" w:hAnsiTheme="minorHAnsi"/>
                <w:sz w:val="20"/>
                <w:szCs w:val="20"/>
                <w:lang w:val="de-DE"/>
              </w:rPr>
              <w:t>(4.69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48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6 (17.1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4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C7303D">
        <w:trPr>
          <w:cnfStyle w:val="000000100000"/>
          <w:jc w:val="center"/>
        </w:trPr>
        <w:tc>
          <w:tcPr>
            <w:cnfStyle w:val="001000000000"/>
            <w:tcW w:w="1946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 xml:space="preserve">             G12C (n=4)</w:t>
            </w:r>
          </w:p>
        </w:tc>
        <w:tc>
          <w:tcPr>
            <w:tcW w:w="156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 (1.</w:t>
            </w:r>
            <w:r w:rsidR="000463B7" w:rsidRPr="0070766C">
              <w:rPr>
                <w:rFonts w:asciiTheme="minorHAnsi" w:hAnsiTheme="minorHAnsi"/>
                <w:sz w:val="20"/>
                <w:szCs w:val="20"/>
              </w:rPr>
              <w:t>5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6%)</w:t>
            </w:r>
          </w:p>
        </w:tc>
        <w:tc>
          <w:tcPr>
            <w:tcW w:w="148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3 (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8.57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C7303D">
        <w:trPr>
          <w:jc w:val="center"/>
        </w:trPr>
        <w:tc>
          <w:tcPr>
            <w:cnfStyle w:val="001000000000"/>
            <w:tcW w:w="1946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 xml:space="preserve">             G12A (n=1)</w:t>
            </w:r>
          </w:p>
        </w:tc>
        <w:tc>
          <w:tcPr>
            <w:tcW w:w="156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 (1.</w:t>
            </w:r>
            <w:r w:rsidR="000463B7" w:rsidRPr="0070766C">
              <w:rPr>
                <w:rFonts w:asciiTheme="minorHAnsi" w:hAnsiTheme="minorHAnsi"/>
                <w:sz w:val="20"/>
                <w:szCs w:val="20"/>
              </w:rPr>
              <w:t>5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6%)</w:t>
            </w:r>
          </w:p>
        </w:tc>
        <w:tc>
          <w:tcPr>
            <w:tcW w:w="148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0 (0.0</w:t>
            </w:r>
            <w:r w:rsidR="00246A8D" w:rsidRPr="0070766C">
              <w:rPr>
                <w:rFonts w:asciiTheme="minorHAnsi" w:hAnsiTheme="minorHAnsi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C7303D">
        <w:trPr>
          <w:cnfStyle w:val="000000100000"/>
          <w:jc w:val="center"/>
        </w:trPr>
        <w:tc>
          <w:tcPr>
            <w:cnfStyle w:val="001000000000"/>
            <w:tcW w:w="1946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 xml:space="preserve">             G12S (n=1)</w:t>
            </w:r>
          </w:p>
        </w:tc>
        <w:tc>
          <w:tcPr>
            <w:tcW w:w="156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 (1.</w:t>
            </w:r>
            <w:r w:rsidR="000463B7" w:rsidRPr="0070766C">
              <w:rPr>
                <w:rFonts w:asciiTheme="minorHAnsi" w:hAnsiTheme="minorHAnsi"/>
                <w:sz w:val="20"/>
                <w:szCs w:val="20"/>
              </w:rPr>
              <w:t>5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6%)</w:t>
            </w:r>
          </w:p>
        </w:tc>
        <w:tc>
          <w:tcPr>
            <w:tcW w:w="148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0 (0.0</w:t>
            </w:r>
            <w:r w:rsidR="00246A8D" w:rsidRPr="0070766C">
              <w:rPr>
                <w:rFonts w:asciiTheme="minorHAnsi" w:hAnsiTheme="minorHAnsi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C7303D">
        <w:trPr>
          <w:jc w:val="center"/>
        </w:trPr>
        <w:tc>
          <w:tcPr>
            <w:cnfStyle w:val="001000000000"/>
            <w:tcW w:w="1946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 xml:space="preserve">             G12G (n=1)</w:t>
            </w:r>
          </w:p>
        </w:tc>
        <w:tc>
          <w:tcPr>
            <w:tcW w:w="156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0 (0</w:t>
            </w:r>
            <w:r w:rsidR="00246A8D" w:rsidRPr="0070766C">
              <w:rPr>
                <w:rFonts w:asciiTheme="minorHAnsi" w:hAnsiTheme="minorHAnsi"/>
                <w:sz w:val="20"/>
                <w:szCs w:val="20"/>
              </w:rPr>
              <w:t>.00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48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 (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2.86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C7303D">
        <w:trPr>
          <w:cnfStyle w:val="000000100000"/>
          <w:jc w:val="center"/>
        </w:trPr>
        <w:tc>
          <w:tcPr>
            <w:cnfStyle w:val="001000000000"/>
            <w:tcW w:w="1946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G13 mutation (n=5)</w:t>
            </w:r>
          </w:p>
        </w:tc>
        <w:tc>
          <w:tcPr>
            <w:tcW w:w="156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 (1.</w:t>
            </w:r>
            <w:r w:rsidR="000463B7" w:rsidRPr="0070766C">
              <w:rPr>
                <w:rFonts w:asciiTheme="minorHAnsi" w:hAnsiTheme="minorHAnsi"/>
                <w:sz w:val="20"/>
                <w:szCs w:val="20"/>
              </w:rPr>
              <w:t>5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6%)</w:t>
            </w:r>
          </w:p>
        </w:tc>
        <w:tc>
          <w:tcPr>
            <w:tcW w:w="148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4 (11.4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3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C7303D">
        <w:trPr>
          <w:jc w:val="center"/>
        </w:trPr>
        <w:tc>
          <w:tcPr>
            <w:cnfStyle w:val="001000000000"/>
            <w:tcW w:w="1946" w:type="pct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MSI status</w:t>
            </w:r>
          </w:p>
        </w:tc>
        <w:tc>
          <w:tcPr>
            <w:tcW w:w="156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2201F" w:rsidRPr="0070766C" w:rsidTr="00C7303D">
        <w:trPr>
          <w:cnfStyle w:val="000000100000"/>
          <w:jc w:val="center"/>
        </w:trPr>
        <w:tc>
          <w:tcPr>
            <w:cnfStyle w:val="001000000000"/>
            <w:tcW w:w="1946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MSS/MSI-L (n=91)</w:t>
            </w:r>
          </w:p>
        </w:tc>
        <w:tc>
          <w:tcPr>
            <w:tcW w:w="156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56 (87.5</w:t>
            </w:r>
            <w:r w:rsidR="000463B7" w:rsidRPr="0070766C">
              <w:rPr>
                <w:rFonts w:asciiTheme="minorHAnsi" w:hAnsiTheme="minorHAnsi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48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35 (100</w:t>
            </w:r>
            <w:r w:rsidR="000463B7" w:rsidRPr="0070766C">
              <w:rPr>
                <w:rFonts w:asciiTheme="minorHAnsi" w:hAnsiTheme="minorHAnsi"/>
                <w:sz w:val="20"/>
                <w:szCs w:val="20"/>
              </w:rPr>
              <w:t>.00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C7303D">
        <w:trPr>
          <w:jc w:val="center"/>
        </w:trPr>
        <w:tc>
          <w:tcPr>
            <w:cnfStyle w:val="001000000000"/>
            <w:tcW w:w="1946" w:type="pct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MSI-H (n=8)</w:t>
            </w:r>
          </w:p>
        </w:tc>
        <w:tc>
          <w:tcPr>
            <w:tcW w:w="156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8 (12.5</w:t>
            </w:r>
            <w:r w:rsidR="000463B7" w:rsidRPr="0070766C">
              <w:rPr>
                <w:rFonts w:asciiTheme="minorHAnsi" w:hAnsiTheme="minorHAnsi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48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0 (0</w:t>
            </w:r>
            <w:r w:rsidR="000463B7" w:rsidRPr="0070766C">
              <w:rPr>
                <w:rFonts w:asciiTheme="minorHAnsi" w:hAnsiTheme="minorHAnsi"/>
                <w:sz w:val="20"/>
                <w:szCs w:val="20"/>
              </w:rPr>
              <w:t>.00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C7303D">
        <w:trPr>
          <w:cnfStyle w:val="000000100000"/>
          <w:jc w:val="center"/>
        </w:trPr>
        <w:tc>
          <w:tcPr>
            <w:cnfStyle w:val="001000000000"/>
            <w:tcW w:w="1946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BRAF mutation</w:t>
            </w:r>
          </w:p>
        </w:tc>
        <w:tc>
          <w:tcPr>
            <w:tcW w:w="156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2201F" w:rsidRPr="0070766C" w:rsidTr="00C7303D">
        <w:trPr>
          <w:jc w:val="center"/>
        </w:trPr>
        <w:tc>
          <w:tcPr>
            <w:cnfStyle w:val="001000000000"/>
            <w:tcW w:w="1946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 xml:space="preserve">Wild </w:t>
            </w:r>
            <w:proofErr w:type="spellStart"/>
            <w:r w:rsidRPr="0070766C">
              <w:rPr>
                <w:rFonts w:asciiTheme="minorHAnsi" w:hAnsiTheme="minorHAnsi"/>
                <w:sz w:val="20"/>
                <w:szCs w:val="20"/>
              </w:rPr>
              <w:t>typ</w:t>
            </w:r>
            <w:proofErr w:type="spellEnd"/>
            <w:r w:rsidRPr="0070766C">
              <w:rPr>
                <w:rFonts w:asciiTheme="minorHAnsi" w:hAnsiTheme="minorHAnsi"/>
                <w:sz w:val="20"/>
                <w:szCs w:val="20"/>
              </w:rPr>
              <w:t xml:space="preserve"> (n=90)</w:t>
            </w:r>
          </w:p>
        </w:tc>
        <w:tc>
          <w:tcPr>
            <w:tcW w:w="156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56 (87.5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487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34 (97.1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4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6D5EEE" w:rsidTr="00C7303D">
        <w:trPr>
          <w:cnfStyle w:val="000000100000"/>
          <w:jc w:val="center"/>
        </w:trPr>
        <w:tc>
          <w:tcPr>
            <w:cnfStyle w:val="001000000000"/>
            <w:tcW w:w="1946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Mutated (n=9)</w:t>
            </w:r>
          </w:p>
        </w:tc>
        <w:tc>
          <w:tcPr>
            <w:tcW w:w="156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8 (12.5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487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 (2.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86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</w:tbl>
    <w:p w:rsidR="005567A1" w:rsidRPr="005567A1" w:rsidRDefault="005567A1" w:rsidP="009E4546">
      <w:pPr>
        <w:spacing w:line="480" w:lineRule="auto"/>
      </w:pPr>
    </w:p>
    <w:p w:rsidR="00A742E5" w:rsidRDefault="00A742E5" w:rsidP="009E4546">
      <w:pPr>
        <w:spacing w:after="200" w:line="480" w:lineRule="auto"/>
        <w:rPr>
          <w:rFonts w:ascii="Calibri" w:hAnsi="Calibri" w:cs="Arial"/>
          <w:b/>
          <w:sz w:val="22"/>
          <w:szCs w:val="22"/>
          <w:highlight w:val="yellow"/>
        </w:rPr>
      </w:pPr>
      <w:r>
        <w:rPr>
          <w:rFonts w:ascii="Calibri" w:hAnsi="Calibri" w:cs="Arial"/>
          <w:b/>
          <w:sz w:val="22"/>
          <w:szCs w:val="22"/>
          <w:highlight w:val="yellow"/>
        </w:rPr>
        <w:br w:type="page"/>
      </w:r>
    </w:p>
    <w:p w:rsidR="005567A1" w:rsidRPr="0070766C" w:rsidRDefault="005567A1" w:rsidP="009E4546">
      <w:pPr>
        <w:spacing w:line="480" w:lineRule="auto"/>
        <w:rPr>
          <w:rFonts w:ascii="Calibri" w:hAnsi="Calibri" w:cs="Arial"/>
          <w:color w:val="FF0000"/>
          <w:sz w:val="22"/>
          <w:szCs w:val="22"/>
        </w:rPr>
      </w:pPr>
      <w:r w:rsidRPr="0070766C">
        <w:rPr>
          <w:rFonts w:ascii="Calibri" w:hAnsi="Calibri" w:cs="Arial"/>
          <w:b/>
          <w:bCs/>
          <w:sz w:val="22"/>
          <w:szCs w:val="22"/>
        </w:rPr>
        <w:lastRenderedPageBreak/>
        <w:t xml:space="preserve">Table </w:t>
      </w:r>
      <w:r w:rsidR="00B90DD9">
        <w:rPr>
          <w:rFonts w:ascii="Calibri" w:hAnsi="Calibri" w:cs="Arial"/>
          <w:b/>
          <w:bCs/>
          <w:sz w:val="22"/>
          <w:szCs w:val="22"/>
        </w:rPr>
        <w:t>S</w:t>
      </w:r>
      <w:r w:rsidRPr="0070766C">
        <w:rPr>
          <w:rFonts w:ascii="Calibri" w:hAnsi="Calibri" w:cs="Arial"/>
          <w:b/>
          <w:bCs/>
          <w:sz w:val="22"/>
          <w:szCs w:val="22"/>
        </w:rPr>
        <w:t xml:space="preserve">3: Localization of the metachronous, distant metastases </w:t>
      </w:r>
    </w:p>
    <w:tbl>
      <w:tblPr>
        <w:tblStyle w:val="HelleSchattierung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1"/>
        <w:gridCol w:w="2162"/>
        <w:gridCol w:w="2305"/>
      </w:tblGrid>
      <w:tr w:rsidR="0050308F" w:rsidRPr="0070766C" w:rsidTr="0050308F">
        <w:trPr>
          <w:cnfStyle w:val="100000000000"/>
          <w:trHeight w:val="1161"/>
        </w:trPr>
        <w:tc>
          <w:tcPr>
            <w:cnfStyle w:val="001000000000"/>
            <w:tcW w:w="2595" w:type="pct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0308F" w:rsidRPr="0070766C" w:rsidRDefault="0050308F" w:rsidP="007409F2">
            <w:pPr>
              <w:spacing w:before="60" w:after="60" w:line="48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63660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Localization of </w:t>
            </w:r>
            <w:r w:rsidR="00AD5FDA">
              <w:rPr>
                <w:rFonts w:asciiTheme="minorHAnsi" w:hAnsiTheme="minorHAnsi"/>
                <w:sz w:val="20"/>
                <w:szCs w:val="20"/>
                <w:highlight w:val="yellow"/>
              </w:rPr>
              <w:t>m</w:t>
            </w:r>
            <w:r w:rsidRPr="00663660">
              <w:rPr>
                <w:rFonts w:asciiTheme="minorHAnsi" w:hAnsiTheme="minorHAnsi"/>
                <w:sz w:val="20"/>
                <w:szCs w:val="20"/>
                <w:highlight w:val="yellow"/>
              </w:rPr>
              <w:t>etastases</w:t>
            </w:r>
          </w:p>
        </w:tc>
        <w:tc>
          <w:tcPr>
            <w:tcW w:w="2405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0308F" w:rsidRPr="00663660" w:rsidRDefault="0050308F" w:rsidP="00663660">
            <w:pPr>
              <w:spacing w:before="60" w:after="60" w:line="480" w:lineRule="auto"/>
              <w:jc w:val="center"/>
              <w:cnfStyle w:val="100000000000"/>
              <w:rPr>
                <w:rFonts w:asciiTheme="minorHAnsi" w:hAnsiTheme="minorHAnsi"/>
                <w:b w:val="0"/>
                <w:bCs w:val="0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MACC1 expression</w:t>
            </w:r>
          </w:p>
        </w:tc>
      </w:tr>
      <w:tr w:rsidR="0050308F" w:rsidRPr="0070766C" w:rsidTr="0050308F">
        <w:trPr>
          <w:cnfStyle w:val="000000100000"/>
          <w:trHeight w:val="591"/>
        </w:trPr>
        <w:tc>
          <w:tcPr>
            <w:cnfStyle w:val="001000000000"/>
            <w:tcW w:w="259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0308F" w:rsidRPr="0070766C" w:rsidRDefault="0050308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6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0308F" w:rsidRPr="00663660" w:rsidRDefault="0050308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b/>
                <w:sz w:val="20"/>
                <w:szCs w:val="20"/>
              </w:rPr>
            </w:pPr>
            <w:r w:rsidRPr="00663660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low (n=8)        </w:t>
            </w:r>
          </w:p>
        </w:tc>
        <w:tc>
          <w:tcPr>
            <w:tcW w:w="1241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50308F" w:rsidRPr="00663660" w:rsidRDefault="0050308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b/>
                <w:sz w:val="20"/>
                <w:szCs w:val="20"/>
              </w:rPr>
            </w:pPr>
            <w:r w:rsidRPr="00663660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high (n=17)</w:t>
            </w:r>
          </w:p>
        </w:tc>
      </w:tr>
      <w:tr w:rsidR="0050308F" w:rsidRPr="0070766C" w:rsidTr="0050308F">
        <w:trPr>
          <w:trHeight w:val="611"/>
        </w:trPr>
        <w:tc>
          <w:tcPr>
            <w:cnfStyle w:val="001000000000"/>
            <w:tcW w:w="2595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Liver (n=12)</w:t>
            </w:r>
          </w:p>
        </w:tc>
        <w:tc>
          <w:tcPr>
            <w:tcW w:w="1164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4 (50.0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241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8 (47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.06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50308F" w:rsidRPr="0070766C" w:rsidTr="0050308F">
        <w:trPr>
          <w:cnfStyle w:val="000000100000"/>
          <w:trHeight w:val="591"/>
        </w:trPr>
        <w:tc>
          <w:tcPr>
            <w:cnfStyle w:val="001000000000"/>
            <w:tcW w:w="259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Lung (n=5)</w:t>
            </w:r>
          </w:p>
        </w:tc>
        <w:tc>
          <w:tcPr>
            <w:tcW w:w="116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 (12.5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241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4 (23.5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3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50308F" w:rsidRPr="0070766C" w:rsidTr="0050308F">
        <w:trPr>
          <w:trHeight w:val="611"/>
        </w:trPr>
        <w:tc>
          <w:tcPr>
            <w:cnfStyle w:val="001000000000"/>
            <w:tcW w:w="2595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Peritoneum (n=2)</w:t>
            </w:r>
          </w:p>
        </w:tc>
        <w:tc>
          <w:tcPr>
            <w:tcW w:w="1164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0 (0.0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241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2 (11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.76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50308F" w:rsidRPr="0072201F" w:rsidTr="0050308F">
        <w:trPr>
          <w:cnfStyle w:val="000000100000"/>
          <w:trHeight w:val="611"/>
        </w:trPr>
        <w:tc>
          <w:tcPr>
            <w:cnfStyle w:val="001000000000"/>
            <w:tcW w:w="259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 xml:space="preserve">Liver and Lung (n=6) </w:t>
            </w:r>
          </w:p>
        </w:tc>
        <w:tc>
          <w:tcPr>
            <w:tcW w:w="116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3 (37.5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1241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2201F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3 (17.6</w:t>
            </w:r>
            <w:r w:rsidR="00D72B89" w:rsidRPr="0070766C">
              <w:rPr>
                <w:rFonts w:asciiTheme="minorHAnsi" w:hAnsiTheme="minorHAnsi"/>
                <w:sz w:val="20"/>
                <w:szCs w:val="20"/>
              </w:rPr>
              <w:t>5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</w:tbl>
    <w:p w:rsidR="0072201F" w:rsidRDefault="0072201F" w:rsidP="009E4546">
      <w:pPr>
        <w:spacing w:line="480" w:lineRule="auto"/>
        <w:rPr>
          <w:lang w:val="en-GB"/>
        </w:rPr>
      </w:pPr>
    </w:p>
    <w:p w:rsidR="0052636B" w:rsidRDefault="0052636B" w:rsidP="009E4546">
      <w:pPr>
        <w:spacing w:after="200" w:line="480" w:lineRule="auto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br w:type="page"/>
      </w:r>
      <w:bookmarkStart w:id="0" w:name="_GoBack"/>
      <w:bookmarkEnd w:id="0"/>
    </w:p>
    <w:p w:rsidR="00D22331" w:rsidRPr="0070766C" w:rsidRDefault="0052636B" w:rsidP="009E4546">
      <w:pPr>
        <w:spacing w:line="480" w:lineRule="auto"/>
        <w:rPr>
          <w:lang w:val="en-GB"/>
        </w:rPr>
      </w:pPr>
      <w:r w:rsidRPr="0070766C">
        <w:rPr>
          <w:rFonts w:ascii="Calibri" w:hAnsi="Calibri" w:cs="Arial"/>
          <w:b/>
          <w:bCs/>
          <w:sz w:val="22"/>
          <w:szCs w:val="22"/>
        </w:rPr>
        <w:lastRenderedPageBreak/>
        <w:t xml:space="preserve">Table </w:t>
      </w:r>
      <w:r w:rsidR="00B90DD9">
        <w:rPr>
          <w:rFonts w:ascii="Calibri" w:hAnsi="Calibri" w:cs="Arial"/>
          <w:b/>
          <w:bCs/>
          <w:sz w:val="22"/>
          <w:szCs w:val="22"/>
        </w:rPr>
        <w:t>S</w:t>
      </w:r>
      <w:r w:rsidRPr="0070766C">
        <w:rPr>
          <w:rFonts w:ascii="Calibri" w:hAnsi="Calibri" w:cs="Arial"/>
          <w:b/>
          <w:bCs/>
          <w:sz w:val="22"/>
          <w:szCs w:val="22"/>
        </w:rPr>
        <w:t>4: Postoperative treatment of patients</w:t>
      </w:r>
    </w:p>
    <w:tbl>
      <w:tblPr>
        <w:tblStyle w:val="HelleSchattierung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0"/>
        <w:gridCol w:w="1698"/>
        <w:gridCol w:w="1700"/>
      </w:tblGrid>
      <w:tr w:rsidR="00663660" w:rsidRPr="0070766C" w:rsidTr="00663660">
        <w:trPr>
          <w:cnfStyle w:val="100000000000"/>
          <w:trHeight w:val="1251"/>
        </w:trPr>
        <w:tc>
          <w:tcPr>
            <w:cnfStyle w:val="001000000000"/>
            <w:tcW w:w="3171" w:type="pct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63660" w:rsidRPr="0070766C" w:rsidRDefault="00663660" w:rsidP="007409F2">
            <w:pPr>
              <w:spacing w:before="120" w:line="480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Postoperative treatment</w:t>
            </w:r>
          </w:p>
        </w:tc>
        <w:tc>
          <w:tcPr>
            <w:tcW w:w="1829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63660" w:rsidRPr="0050308F" w:rsidRDefault="00663660" w:rsidP="0050308F">
            <w:pPr>
              <w:spacing w:before="120" w:line="480" w:lineRule="auto"/>
              <w:jc w:val="center"/>
              <w:cnfStyle w:val="100000000000"/>
              <w:rPr>
                <w:rFonts w:asciiTheme="minorHAnsi" w:hAnsiTheme="minorHAnsi"/>
                <w:b w:val="0"/>
                <w:bCs w:val="0"/>
                <w:color w:val="00000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color w:val="000000"/>
                <w:sz w:val="20"/>
                <w:szCs w:val="20"/>
              </w:rPr>
              <w:t>MACC1 expression</w:t>
            </w:r>
          </w:p>
        </w:tc>
      </w:tr>
      <w:tr w:rsidR="00663660" w:rsidRPr="0070766C" w:rsidTr="00663660">
        <w:trPr>
          <w:cnfStyle w:val="000000100000"/>
          <w:trHeight w:val="148"/>
        </w:trPr>
        <w:tc>
          <w:tcPr>
            <w:cnfStyle w:val="001000000000"/>
            <w:tcW w:w="3171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63660" w:rsidRPr="0070766C" w:rsidRDefault="00663660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1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63660" w:rsidRPr="00663660" w:rsidRDefault="00663660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b/>
                <w:sz w:val="20"/>
                <w:szCs w:val="20"/>
              </w:rPr>
            </w:pPr>
            <w:r w:rsidRPr="00663660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low (n=64)</w:t>
            </w:r>
            <w:r w:rsidRPr="00663660"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#</w:t>
            </w:r>
            <w:r w:rsidRPr="00663660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91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63660" w:rsidRPr="00663660" w:rsidRDefault="00663660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b/>
                <w:sz w:val="20"/>
                <w:szCs w:val="20"/>
              </w:rPr>
            </w:pPr>
            <w:r w:rsidRPr="00663660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high (n=35)</w:t>
            </w:r>
          </w:p>
        </w:tc>
      </w:tr>
      <w:tr w:rsidR="0072201F" w:rsidRPr="0070766C" w:rsidTr="00663660">
        <w:trPr>
          <w:trHeight w:val="625"/>
        </w:trPr>
        <w:tc>
          <w:tcPr>
            <w:cnfStyle w:val="001000000000"/>
            <w:tcW w:w="3171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 xml:space="preserve">Untreated (n=61) </w:t>
            </w:r>
          </w:p>
        </w:tc>
        <w:tc>
          <w:tcPr>
            <w:tcW w:w="914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41 (64.</w:t>
            </w:r>
            <w:r w:rsidR="00F5404C" w:rsidRPr="0070766C">
              <w:rPr>
                <w:rFonts w:asciiTheme="minorHAnsi" w:hAnsiTheme="minorHAnsi"/>
                <w:sz w:val="20"/>
                <w:szCs w:val="20"/>
              </w:rPr>
              <w:t>06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914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20 (57.1</w:t>
            </w:r>
            <w:r w:rsidR="00F5404C" w:rsidRPr="0070766C">
              <w:rPr>
                <w:rFonts w:asciiTheme="minorHAnsi" w:hAnsiTheme="minorHAnsi"/>
                <w:sz w:val="20"/>
                <w:szCs w:val="20"/>
              </w:rPr>
              <w:t>4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663660">
        <w:trPr>
          <w:cnfStyle w:val="000000100000"/>
          <w:trHeight w:val="667"/>
        </w:trPr>
        <w:tc>
          <w:tcPr>
            <w:cnfStyle w:val="001000000000"/>
            <w:tcW w:w="3171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Chemotherapy (n=30)</w:t>
            </w:r>
          </w:p>
        </w:tc>
        <w:tc>
          <w:tcPr>
            <w:tcW w:w="91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18 (28.1</w:t>
            </w:r>
            <w:r w:rsidR="00F5404C" w:rsidRPr="0070766C">
              <w:rPr>
                <w:rFonts w:asciiTheme="minorHAnsi" w:hAnsiTheme="minorHAnsi"/>
                <w:sz w:val="20"/>
                <w:szCs w:val="20"/>
              </w:rPr>
              <w:t>3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91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12 (34</w:t>
            </w:r>
            <w:r w:rsidR="00F5404C" w:rsidRPr="0070766C">
              <w:rPr>
                <w:rFonts w:asciiTheme="minorHAnsi" w:hAnsiTheme="minorHAnsi"/>
                <w:sz w:val="20"/>
                <w:szCs w:val="20"/>
              </w:rPr>
              <w:t>.29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663660">
        <w:trPr>
          <w:trHeight w:val="688"/>
        </w:trPr>
        <w:tc>
          <w:tcPr>
            <w:cnfStyle w:val="001000000000"/>
            <w:tcW w:w="3171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Radiotherapy (n=1)</w:t>
            </w:r>
          </w:p>
        </w:tc>
        <w:tc>
          <w:tcPr>
            <w:tcW w:w="914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0 (0.0</w:t>
            </w:r>
            <w:r w:rsidR="00F5404C" w:rsidRPr="0070766C">
              <w:rPr>
                <w:rFonts w:asciiTheme="minorHAnsi" w:hAnsiTheme="minorHAnsi"/>
                <w:sz w:val="20"/>
                <w:szCs w:val="20"/>
              </w:rPr>
              <w:t>0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914" w:type="pct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1 (</w:t>
            </w:r>
            <w:r w:rsidR="00F5404C" w:rsidRPr="0070766C">
              <w:rPr>
                <w:rFonts w:asciiTheme="minorHAnsi" w:hAnsiTheme="minorHAnsi"/>
                <w:sz w:val="20"/>
                <w:szCs w:val="20"/>
              </w:rPr>
              <w:t>2.86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0766C" w:rsidTr="00663660">
        <w:trPr>
          <w:cnfStyle w:val="000000100000"/>
          <w:trHeight w:val="667"/>
        </w:trPr>
        <w:tc>
          <w:tcPr>
            <w:cnfStyle w:val="001000000000"/>
            <w:tcW w:w="3171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Combination (Radio- and Chemotherapy) (n=5)</w:t>
            </w:r>
          </w:p>
        </w:tc>
        <w:tc>
          <w:tcPr>
            <w:tcW w:w="91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3 (4.</w:t>
            </w:r>
            <w:r w:rsidR="00F5404C" w:rsidRPr="0070766C">
              <w:rPr>
                <w:rFonts w:asciiTheme="minorHAnsi" w:hAnsiTheme="minorHAnsi"/>
                <w:sz w:val="20"/>
                <w:szCs w:val="20"/>
              </w:rPr>
              <w:t>69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  <w:tc>
          <w:tcPr>
            <w:tcW w:w="91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2201F" w:rsidRPr="0070766C" w:rsidRDefault="0072201F" w:rsidP="0050308F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sz w:val="20"/>
                <w:szCs w:val="20"/>
              </w:rPr>
              <w:t>2 (5.7</w:t>
            </w:r>
            <w:r w:rsidR="00F5404C" w:rsidRPr="0070766C">
              <w:rPr>
                <w:rFonts w:asciiTheme="minorHAnsi" w:hAnsiTheme="minorHAnsi"/>
                <w:sz w:val="20"/>
                <w:szCs w:val="20"/>
              </w:rPr>
              <w:t>1</w:t>
            </w:r>
            <w:r w:rsidRPr="0070766C">
              <w:rPr>
                <w:rFonts w:asciiTheme="minorHAnsi" w:hAnsiTheme="minorHAnsi"/>
                <w:sz w:val="20"/>
                <w:szCs w:val="20"/>
              </w:rPr>
              <w:t>%)</w:t>
            </w:r>
          </w:p>
        </w:tc>
      </w:tr>
      <w:tr w:rsidR="0072201F" w:rsidRPr="0072201F" w:rsidTr="00663660">
        <w:trPr>
          <w:trHeight w:val="625"/>
        </w:trPr>
        <w:tc>
          <w:tcPr>
            <w:cnfStyle w:val="001000000000"/>
            <w:tcW w:w="5000" w:type="pct"/>
            <w:gridSpan w:val="3"/>
            <w:vAlign w:val="center"/>
          </w:tcPr>
          <w:p w:rsidR="0072201F" w:rsidRPr="0072201F" w:rsidRDefault="0072201F" w:rsidP="0050308F">
            <w:pPr>
              <w:spacing w:before="120" w:line="48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70766C">
              <w:rPr>
                <w:rFonts w:asciiTheme="minorHAnsi" w:hAnsiTheme="minorHAnsi"/>
                <w:b w:val="0"/>
                <w:sz w:val="20"/>
                <w:szCs w:val="20"/>
                <w:vertAlign w:val="superscript"/>
              </w:rPr>
              <w:t>#</w:t>
            </w:r>
            <w:r w:rsidRPr="0070766C">
              <w:rPr>
                <w:rFonts w:asciiTheme="minorHAnsi" w:hAnsiTheme="minorHAnsi"/>
                <w:b w:val="0"/>
                <w:sz w:val="20"/>
                <w:szCs w:val="20"/>
              </w:rPr>
              <w:t>includes two patients (3.1</w:t>
            </w:r>
            <w:r w:rsidR="00F5404C" w:rsidRPr="0070766C">
              <w:rPr>
                <w:rFonts w:asciiTheme="minorHAnsi" w:hAnsiTheme="minorHAnsi"/>
                <w:b w:val="0"/>
                <w:sz w:val="20"/>
                <w:szCs w:val="20"/>
              </w:rPr>
              <w:t>3</w:t>
            </w:r>
            <w:r w:rsidRPr="0070766C">
              <w:rPr>
                <w:rFonts w:asciiTheme="minorHAnsi" w:hAnsiTheme="minorHAnsi"/>
                <w:b w:val="0"/>
                <w:sz w:val="20"/>
                <w:szCs w:val="20"/>
              </w:rPr>
              <w:t>%) without information about adjuvant therapy</w:t>
            </w:r>
            <w:r w:rsidRPr="0072201F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</w:tc>
      </w:tr>
    </w:tbl>
    <w:p w:rsidR="00D22331" w:rsidRPr="0072201F" w:rsidRDefault="00D22331" w:rsidP="0050308F">
      <w:pPr>
        <w:spacing w:before="120" w:line="480" w:lineRule="auto"/>
        <w:jc w:val="both"/>
      </w:pPr>
    </w:p>
    <w:p w:rsidR="00D22331" w:rsidRDefault="00D22331" w:rsidP="009E4546">
      <w:pPr>
        <w:spacing w:after="200" w:line="480" w:lineRule="auto"/>
        <w:rPr>
          <w:lang w:val="en-GB"/>
        </w:rPr>
      </w:pPr>
      <w:r>
        <w:rPr>
          <w:lang w:val="en-GB"/>
        </w:rPr>
        <w:br w:type="page"/>
      </w:r>
    </w:p>
    <w:p w:rsidR="00084D0C" w:rsidRDefault="0052636B" w:rsidP="009E4546">
      <w:pPr>
        <w:spacing w:before="120" w:after="120" w:line="480" w:lineRule="auto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 xml:space="preserve">Table </w:t>
      </w:r>
      <w:r w:rsidR="00B90DD9">
        <w:rPr>
          <w:rFonts w:ascii="Calibri" w:hAnsi="Calibri" w:cs="Arial"/>
          <w:b/>
          <w:sz w:val="22"/>
          <w:szCs w:val="22"/>
        </w:rPr>
        <w:t>S</w:t>
      </w:r>
      <w:r>
        <w:rPr>
          <w:rFonts w:ascii="Calibri" w:hAnsi="Calibri" w:cs="Arial"/>
          <w:b/>
          <w:sz w:val="22"/>
          <w:szCs w:val="22"/>
        </w:rPr>
        <w:t>5</w:t>
      </w:r>
      <w:r w:rsidR="00084D0C" w:rsidRPr="00C4405E">
        <w:rPr>
          <w:rFonts w:ascii="Calibri" w:hAnsi="Calibri" w:cs="Arial"/>
          <w:b/>
          <w:sz w:val="22"/>
          <w:szCs w:val="22"/>
        </w:rPr>
        <w:t>: Analyzing the association of tum</w:t>
      </w:r>
      <w:r w:rsidR="00084D0C">
        <w:rPr>
          <w:rFonts w:ascii="Calibri" w:hAnsi="Calibri" w:cs="Arial"/>
          <w:b/>
          <w:sz w:val="22"/>
          <w:szCs w:val="22"/>
        </w:rPr>
        <w:t xml:space="preserve">or characteristics alone and in </w:t>
      </w:r>
      <w:r w:rsidR="00084D0C" w:rsidRPr="00C4405E">
        <w:rPr>
          <w:rFonts w:ascii="Calibri" w:hAnsi="Calibri" w:cs="Arial"/>
          <w:b/>
          <w:sz w:val="22"/>
          <w:szCs w:val="22"/>
        </w:rPr>
        <w:t>combination</w:t>
      </w:r>
      <w:r w:rsidR="00084D0C">
        <w:rPr>
          <w:rFonts w:ascii="Calibri" w:hAnsi="Calibri" w:cs="Arial"/>
          <w:b/>
          <w:sz w:val="22"/>
          <w:szCs w:val="22"/>
        </w:rPr>
        <w:t xml:space="preserve"> </w:t>
      </w:r>
      <w:r w:rsidR="00C7303D">
        <w:rPr>
          <w:rFonts w:ascii="Calibri" w:hAnsi="Calibri" w:cs="Arial"/>
          <w:b/>
          <w:sz w:val="22"/>
          <w:szCs w:val="22"/>
        </w:rPr>
        <w:t>with regard to</w:t>
      </w:r>
      <w:r w:rsidR="00084D0C" w:rsidRPr="00C4405E">
        <w:rPr>
          <w:rFonts w:ascii="Calibri" w:hAnsi="Calibri" w:cs="Arial"/>
          <w:b/>
          <w:sz w:val="22"/>
          <w:szCs w:val="22"/>
        </w:rPr>
        <w:t xml:space="preserve"> MFS</w:t>
      </w:r>
      <w:r w:rsidR="00084D0C">
        <w:rPr>
          <w:rFonts w:ascii="Calibri" w:hAnsi="Calibri"/>
          <w:b/>
          <w:noProof/>
          <w:sz w:val="22"/>
          <w:szCs w:val="22"/>
        </w:rPr>
        <w:t xml:space="preserve"> </w:t>
      </w:r>
    </w:p>
    <w:tbl>
      <w:tblPr>
        <w:tblStyle w:val="LightShading"/>
        <w:tblpPr w:leftFromText="141" w:rightFromText="141" w:vertAnchor="page" w:horzAnchor="margin" w:tblpY="2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1608"/>
        <w:gridCol w:w="1842"/>
        <w:gridCol w:w="1818"/>
        <w:gridCol w:w="1842"/>
      </w:tblGrid>
      <w:tr w:rsidR="00663660" w:rsidRPr="00B2014C" w:rsidTr="00663660">
        <w:trPr>
          <w:cnfStyle w:val="100000000000"/>
        </w:trPr>
        <w:tc>
          <w:tcPr>
            <w:cnfStyle w:val="001000000000"/>
            <w:tcW w:w="217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660" w:rsidRPr="00B2014C" w:rsidRDefault="00663660" w:rsidP="00C12FA3">
            <w:pPr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5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660" w:rsidRPr="00B2014C" w:rsidRDefault="00663660" w:rsidP="00C12FA3">
            <w:pPr>
              <w:spacing w:before="120" w:line="480" w:lineRule="auto"/>
              <w:jc w:val="center"/>
              <w:cnfStyle w:val="1000000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Univariate</w:t>
            </w:r>
          </w:p>
        </w:tc>
        <w:tc>
          <w:tcPr>
            <w:tcW w:w="366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3660" w:rsidRPr="00B2014C" w:rsidRDefault="00663660" w:rsidP="00C12FA3">
            <w:pPr>
              <w:spacing w:before="120" w:line="480" w:lineRule="auto"/>
              <w:jc w:val="center"/>
              <w:cnfStyle w:val="1000000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Multivariate</w:t>
            </w:r>
          </w:p>
        </w:tc>
      </w:tr>
      <w:tr w:rsidR="00663660" w:rsidRPr="00B2014C" w:rsidTr="00663660">
        <w:trPr>
          <w:cnfStyle w:val="000000100000"/>
        </w:trPr>
        <w:tc>
          <w:tcPr>
            <w:cnfStyle w:val="001000000000"/>
            <w:tcW w:w="2178" w:type="dxa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63660" w:rsidRPr="00B2014C" w:rsidRDefault="00663660" w:rsidP="00663660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63660" w:rsidRPr="00B2014C" w:rsidRDefault="00663660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 w:rsidRPr="00B2014C">
              <w:rPr>
                <w:rFonts w:asciiTheme="minorHAnsi" w:hAnsiTheme="minorHAnsi"/>
                <w:b/>
                <w:sz w:val="20"/>
                <w:szCs w:val="20"/>
              </w:rPr>
              <w:t>-value</w:t>
            </w:r>
          </w:p>
        </w:tc>
        <w:tc>
          <w:tcPr>
            <w:tcW w:w="184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63660" w:rsidRPr="00B2014C" w:rsidRDefault="00663660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b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sz w:val="20"/>
                <w:szCs w:val="20"/>
              </w:rPr>
              <w:t>HR (95% CI)</w:t>
            </w:r>
          </w:p>
        </w:tc>
        <w:tc>
          <w:tcPr>
            <w:tcW w:w="18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63660" w:rsidRPr="00B2014C" w:rsidRDefault="00663660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 w:rsidRPr="00B2014C">
              <w:rPr>
                <w:rFonts w:asciiTheme="minorHAnsi" w:hAnsiTheme="minorHAnsi"/>
                <w:b/>
                <w:sz w:val="20"/>
                <w:szCs w:val="20"/>
              </w:rPr>
              <w:t>-value</w:t>
            </w:r>
          </w:p>
        </w:tc>
        <w:tc>
          <w:tcPr>
            <w:tcW w:w="184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63660" w:rsidRPr="00B2014C" w:rsidRDefault="00663660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b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sz w:val="20"/>
                <w:szCs w:val="20"/>
              </w:rPr>
              <w:t>HR (95% CI)</w:t>
            </w:r>
          </w:p>
        </w:tc>
      </w:tr>
      <w:tr w:rsidR="00084D0C" w:rsidRPr="00B2014C" w:rsidTr="00663660">
        <w:tc>
          <w:tcPr>
            <w:cnfStyle w:val="001000000000"/>
            <w:tcW w:w="2178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MACC1 expression</w:t>
            </w:r>
          </w:p>
        </w:tc>
        <w:tc>
          <w:tcPr>
            <w:tcW w:w="1608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auto"/>
                <w:sz w:val="20"/>
                <w:szCs w:val="20"/>
              </w:rPr>
              <w:t>&lt;0.001</w:t>
            </w:r>
          </w:p>
        </w:tc>
        <w:tc>
          <w:tcPr>
            <w:tcW w:w="1842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auto"/>
                <w:sz w:val="20"/>
                <w:szCs w:val="20"/>
              </w:rPr>
              <w:t>5.02 (2.19-11.53)</w:t>
            </w:r>
          </w:p>
        </w:tc>
        <w:tc>
          <w:tcPr>
            <w:tcW w:w="1818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0.001</w:t>
            </w:r>
          </w:p>
        </w:tc>
        <w:tc>
          <w:tcPr>
            <w:tcW w:w="1842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4.20 (1.80-9.81)</w:t>
            </w:r>
          </w:p>
        </w:tc>
      </w:tr>
      <w:tr w:rsidR="00084D0C" w:rsidRPr="00B2014C" w:rsidTr="00663660">
        <w:trPr>
          <w:cnfStyle w:val="000000100000"/>
        </w:trPr>
        <w:tc>
          <w:tcPr>
            <w:cnfStyle w:val="001000000000"/>
            <w:tcW w:w="217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KRAS G12</w:t>
            </w: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auto"/>
                <w:sz w:val="20"/>
                <w:szCs w:val="20"/>
              </w:rPr>
              <w:t>0.556</w:t>
            </w:r>
          </w:p>
        </w:tc>
        <w:tc>
          <w:tcPr>
            <w:tcW w:w="184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auto"/>
                <w:sz w:val="20"/>
                <w:szCs w:val="20"/>
              </w:rPr>
              <w:t>1.29 (0.55-3.03)</w:t>
            </w:r>
          </w:p>
        </w:tc>
        <w:tc>
          <w:tcPr>
            <w:tcW w:w="18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0.814</w:t>
            </w:r>
          </w:p>
        </w:tc>
        <w:tc>
          <w:tcPr>
            <w:tcW w:w="184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0.90 (0.38-2.14)</w:t>
            </w:r>
          </w:p>
        </w:tc>
      </w:tr>
      <w:tr w:rsidR="00084D0C" w:rsidRPr="00B2014C" w:rsidTr="00663660">
        <w:tc>
          <w:tcPr>
            <w:cnfStyle w:val="001000000000"/>
            <w:tcW w:w="2178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KRAS G13</w:t>
            </w:r>
          </w:p>
        </w:tc>
        <w:tc>
          <w:tcPr>
            <w:tcW w:w="1608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auto"/>
                <w:sz w:val="20"/>
                <w:szCs w:val="20"/>
              </w:rPr>
              <w:t>0.024</w:t>
            </w:r>
          </w:p>
        </w:tc>
        <w:tc>
          <w:tcPr>
            <w:tcW w:w="1842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auto"/>
                <w:sz w:val="20"/>
                <w:szCs w:val="20"/>
              </w:rPr>
              <w:t>4.25 (1.21-14.93)</w:t>
            </w:r>
          </w:p>
        </w:tc>
        <w:tc>
          <w:tcPr>
            <w:tcW w:w="1818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0.224</w:t>
            </w:r>
          </w:p>
        </w:tc>
        <w:tc>
          <w:tcPr>
            <w:tcW w:w="1842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2.48 (0.58-10.45)</w:t>
            </w:r>
          </w:p>
        </w:tc>
      </w:tr>
      <w:tr w:rsidR="00084D0C" w:rsidRPr="00B2014C" w:rsidTr="00663660">
        <w:trPr>
          <w:cnfStyle w:val="000000100000"/>
        </w:trPr>
        <w:tc>
          <w:tcPr>
            <w:cnfStyle w:val="001000000000"/>
            <w:tcW w:w="217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BRAF V600</w:t>
            </w:r>
          </w:p>
        </w:tc>
        <w:tc>
          <w:tcPr>
            <w:tcW w:w="160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auto"/>
                <w:sz w:val="20"/>
                <w:szCs w:val="20"/>
              </w:rPr>
              <w:t>0.694</w:t>
            </w:r>
          </w:p>
        </w:tc>
        <w:tc>
          <w:tcPr>
            <w:tcW w:w="184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auto"/>
                <w:sz w:val="20"/>
                <w:szCs w:val="20"/>
              </w:rPr>
              <w:t>0.75 (0.18-3.17)</w:t>
            </w:r>
          </w:p>
        </w:tc>
        <w:tc>
          <w:tcPr>
            <w:tcW w:w="18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0.644</w:t>
            </w:r>
          </w:p>
        </w:tc>
        <w:tc>
          <w:tcPr>
            <w:tcW w:w="184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1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1.51 (0.27-8.53)</w:t>
            </w:r>
          </w:p>
        </w:tc>
      </w:tr>
      <w:tr w:rsidR="00084D0C" w:rsidRPr="00B2014C" w:rsidTr="00663660">
        <w:tc>
          <w:tcPr>
            <w:cnfStyle w:val="001000000000"/>
            <w:tcW w:w="2178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MSI</w:t>
            </w:r>
          </w:p>
        </w:tc>
        <w:tc>
          <w:tcPr>
            <w:tcW w:w="1608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auto"/>
                <w:sz w:val="20"/>
                <w:szCs w:val="20"/>
              </w:rPr>
              <w:t>0.272</w:t>
            </w:r>
          </w:p>
        </w:tc>
        <w:tc>
          <w:tcPr>
            <w:tcW w:w="1842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auto"/>
                <w:sz w:val="20"/>
                <w:szCs w:val="20"/>
              </w:rPr>
              <w:t>0.04 (0.00-12.05)</w:t>
            </w:r>
          </w:p>
        </w:tc>
        <w:tc>
          <w:tcPr>
            <w:tcW w:w="1818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0.981</w:t>
            </w:r>
          </w:p>
        </w:tc>
        <w:tc>
          <w:tcPr>
            <w:tcW w:w="1842" w:type="dxa"/>
            <w:shd w:val="clear" w:color="auto" w:fill="auto"/>
          </w:tcPr>
          <w:p w:rsidR="00084D0C" w:rsidRPr="00B2014C" w:rsidRDefault="00084D0C" w:rsidP="00663660">
            <w:pPr>
              <w:spacing w:before="120" w:line="480" w:lineRule="auto"/>
              <w:jc w:val="center"/>
              <w:cnfStyle w:val="000000000000"/>
              <w:rPr>
                <w:rFonts w:asciiTheme="minorHAnsi" w:hAnsiTheme="minorHAnsi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sz w:val="20"/>
                <w:szCs w:val="20"/>
              </w:rPr>
              <w:t>0 (0-0)</w:t>
            </w:r>
          </w:p>
        </w:tc>
      </w:tr>
      <w:tr w:rsidR="00084D0C" w:rsidRPr="00B2014C" w:rsidTr="00663660">
        <w:trPr>
          <w:cnfStyle w:val="000000100000"/>
        </w:trPr>
        <w:tc>
          <w:tcPr>
            <w:cnfStyle w:val="001000000000"/>
            <w:tcW w:w="9288" w:type="dxa"/>
            <w:gridSpan w:val="5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84D0C" w:rsidRPr="00F43E9E" w:rsidRDefault="00084D0C" w:rsidP="00C12FA3">
            <w:pPr>
              <w:autoSpaceDE w:val="0"/>
              <w:autoSpaceDN w:val="0"/>
              <w:adjustRightInd w:val="0"/>
              <w:spacing w:before="120"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F43E9E">
              <w:rPr>
                <w:rFonts w:asciiTheme="minorHAnsi" w:hAnsiTheme="minorHAnsi" w:cs="Arial"/>
                <w:b w:val="0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</w:t>
            </w:r>
            <w:r w:rsidRPr="00F43E9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-values, hazard ratios (HR) and 95%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confidence intervals (</w:t>
            </w:r>
            <w:r w:rsidRPr="00F43E9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CI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)</w:t>
            </w:r>
            <w:r w:rsidRPr="00F43E9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of </w:t>
            </w:r>
            <w:r w:rsidRPr="00F43E9E">
              <w:rPr>
                <w:rFonts w:asciiTheme="minorHAnsi" w:hAnsiTheme="minorHAnsi" w:cs="Arial"/>
                <w:b w:val="0"/>
                <w:sz w:val="20"/>
                <w:szCs w:val="20"/>
                <w:lang w:val="en-GB"/>
              </w:rPr>
              <w:t xml:space="preserve">different parameters concerning MFS </w:t>
            </w:r>
            <w:r w:rsidRPr="00F43E9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were calculated using Cox regression analyses</w:t>
            </w:r>
            <w:r w:rsidRPr="00F43E9E">
              <w:rPr>
                <w:rFonts w:asciiTheme="minorHAnsi" w:hAnsiTheme="minorHAnsi" w:cs="Arial"/>
                <w:b w:val="0"/>
                <w:sz w:val="20"/>
                <w:szCs w:val="20"/>
                <w:lang w:val="en-GB"/>
              </w:rPr>
              <w:t xml:space="preserve">. </w:t>
            </w:r>
          </w:p>
        </w:tc>
      </w:tr>
    </w:tbl>
    <w:p w:rsidR="00084D0C" w:rsidRPr="00BA193C" w:rsidRDefault="00084D0C" w:rsidP="009E4546">
      <w:pPr>
        <w:spacing w:line="480" w:lineRule="auto"/>
      </w:pPr>
    </w:p>
    <w:p w:rsidR="00084D0C" w:rsidRDefault="00084D0C" w:rsidP="009E4546">
      <w:pPr>
        <w:spacing w:after="200" w:line="480" w:lineRule="auto"/>
        <w:rPr>
          <w:rFonts w:ascii="Calibri" w:hAnsi="Calibri"/>
          <w:b/>
          <w:noProof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br w:type="page"/>
      </w:r>
    </w:p>
    <w:p w:rsidR="003957D7" w:rsidRPr="00C363E3" w:rsidRDefault="0052636B" w:rsidP="009E4546">
      <w:pPr>
        <w:tabs>
          <w:tab w:val="left" w:pos="1260"/>
        </w:tabs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 xml:space="preserve">Table </w:t>
      </w:r>
      <w:r w:rsidR="00B90DD9">
        <w:rPr>
          <w:rFonts w:ascii="Calibri" w:hAnsi="Calibri" w:cs="Arial"/>
          <w:b/>
          <w:sz w:val="22"/>
          <w:szCs w:val="22"/>
        </w:rPr>
        <w:t>S</w:t>
      </w:r>
      <w:r>
        <w:rPr>
          <w:rFonts w:ascii="Calibri" w:hAnsi="Calibri" w:cs="Arial"/>
          <w:b/>
          <w:sz w:val="22"/>
          <w:szCs w:val="22"/>
        </w:rPr>
        <w:t>6</w:t>
      </w:r>
      <w:r w:rsidRPr="00C4405E">
        <w:rPr>
          <w:rFonts w:ascii="Calibri" w:hAnsi="Calibri" w:cs="Arial"/>
          <w:b/>
          <w:sz w:val="22"/>
          <w:szCs w:val="22"/>
        </w:rPr>
        <w:t xml:space="preserve">: </w:t>
      </w:r>
      <w:r w:rsidR="003957D7">
        <w:rPr>
          <w:rFonts w:ascii="Calibri" w:hAnsi="Calibri" w:cs="Arial"/>
          <w:b/>
          <w:sz w:val="22"/>
          <w:szCs w:val="22"/>
        </w:rPr>
        <w:t xml:space="preserve">Results of MFS prognoses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1"/>
        <w:gridCol w:w="2391"/>
        <w:gridCol w:w="2690"/>
        <w:gridCol w:w="1166"/>
      </w:tblGrid>
      <w:tr w:rsidR="003957D7" w:rsidRPr="00B2014C" w:rsidTr="0066366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MFS</w:t>
            </w:r>
          </w:p>
          <w:p w:rsidR="003957D7" w:rsidRPr="00B2014C" w:rsidRDefault="003957D7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(mean in months, 95% CI)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P</w:t>
            </w: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-value</w:t>
            </w:r>
          </w:p>
        </w:tc>
      </w:tr>
      <w:tr w:rsidR="003957D7" w:rsidRPr="00B2014C" w:rsidTr="00663660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MACC1 expression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low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000000"/>
                <w:sz w:val="20"/>
                <w:szCs w:val="20"/>
              </w:rPr>
              <w:t>145.61 (132.02-159.19)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&lt;0.001</w:t>
            </w:r>
          </w:p>
        </w:tc>
      </w:tr>
      <w:tr w:rsidR="003957D7" w:rsidRPr="00B2014C" w:rsidTr="00663660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000000"/>
                <w:sz w:val="20"/>
                <w:szCs w:val="20"/>
              </w:rPr>
              <w:t>83.02 (59.32-106.72)</w:t>
            </w:r>
          </w:p>
        </w:tc>
        <w:tc>
          <w:tcPr>
            <w:tcW w:w="0" w:type="auto"/>
            <w:vMerge/>
            <w:shd w:val="clear" w:color="auto" w:fill="auto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3957D7" w:rsidRPr="00B2014C" w:rsidTr="00663660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de-DE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de-DE"/>
              </w:rPr>
              <w:t xml:space="preserve">KRAS wild type vs. KRAS G12 </w:t>
            </w:r>
          </w:p>
          <w:p w:rsidR="003957D7" w:rsidRPr="00B2014C" w:rsidRDefault="003957D7" w:rsidP="00C12FA3">
            <w:pPr>
              <w:spacing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or KRAS G13 mutation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wt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000000"/>
                <w:sz w:val="20"/>
                <w:szCs w:val="20"/>
              </w:rPr>
              <w:t>127.65 (111.15-144.15)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0.499</w:t>
            </w:r>
          </w:p>
        </w:tc>
      </w:tr>
      <w:tr w:rsidR="003957D7" w:rsidRPr="00B2014C" w:rsidTr="00663660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KRAS G12 or KRAS G13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000000"/>
                <w:sz w:val="20"/>
                <w:szCs w:val="20"/>
              </w:rPr>
              <w:t>108.47 (87.03-129.91)</w:t>
            </w:r>
          </w:p>
        </w:tc>
        <w:tc>
          <w:tcPr>
            <w:tcW w:w="0" w:type="auto"/>
            <w:vMerge/>
            <w:shd w:val="clear" w:color="auto" w:fill="auto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</w:tr>
      <w:tr w:rsidR="003957D7" w:rsidRPr="00B2014C" w:rsidTr="00663660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KRAS wild type vs. </w:t>
            </w:r>
          </w:p>
          <w:p w:rsidR="003957D7" w:rsidRPr="00B2014C" w:rsidRDefault="003957D7" w:rsidP="00C12FA3">
            <w:pPr>
              <w:spacing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KRAS G12 mutation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wt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000000"/>
                <w:sz w:val="20"/>
                <w:szCs w:val="20"/>
              </w:rPr>
              <w:t>130.17 (114.05-146.29)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0.555</w:t>
            </w:r>
          </w:p>
        </w:tc>
      </w:tr>
      <w:tr w:rsidR="003957D7" w:rsidRPr="00B2014C" w:rsidTr="00663660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KRAS G12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000000"/>
                <w:sz w:val="20"/>
                <w:szCs w:val="20"/>
              </w:rPr>
              <w:t>111.85 (89.49-134.21)</w:t>
            </w:r>
          </w:p>
        </w:tc>
        <w:tc>
          <w:tcPr>
            <w:tcW w:w="0" w:type="auto"/>
            <w:vMerge/>
            <w:shd w:val="clear" w:color="auto" w:fill="auto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</w:tr>
      <w:tr w:rsidR="003957D7" w:rsidRPr="00B2014C" w:rsidTr="00663660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KRAS wild type vs. </w:t>
            </w:r>
          </w:p>
          <w:p w:rsidR="003957D7" w:rsidRPr="00B2014C" w:rsidRDefault="003957D7" w:rsidP="00C12FA3">
            <w:pPr>
              <w:spacing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KRAS G13 mutation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wt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 w:cs="Arial"/>
                <w:color w:val="000000"/>
                <w:sz w:val="20"/>
                <w:szCs w:val="20"/>
              </w:rPr>
              <w:t>130.17</w:t>
            </w:r>
            <w:r w:rsidRPr="00B2014C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(114.05-146.29)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0.014</w:t>
            </w:r>
          </w:p>
        </w:tc>
      </w:tr>
      <w:tr w:rsidR="003957D7" w:rsidRPr="00B2014C" w:rsidTr="00663660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KRAS G13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000000"/>
                <w:sz w:val="20"/>
                <w:szCs w:val="20"/>
              </w:rPr>
              <w:t>45.99 (3.05-88.94)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3957D7" w:rsidRPr="00B2014C" w:rsidTr="00663660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KRAS wt </w:t>
            </w:r>
          </w:p>
          <w:p w:rsidR="003957D7" w:rsidRPr="00B2014C" w:rsidRDefault="003957D7" w:rsidP="00C12FA3">
            <w:pPr>
              <w:spacing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+ MACC1 expression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low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 w:cs="Arial"/>
                <w:color w:val="000000"/>
                <w:sz w:val="20"/>
                <w:szCs w:val="20"/>
              </w:rPr>
              <w:t>145.27 (131.50-159.03)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&lt;0.001</w:t>
            </w:r>
          </w:p>
        </w:tc>
      </w:tr>
      <w:tr w:rsidR="003957D7" w:rsidRPr="00B2014C" w:rsidTr="00663660">
        <w:trPr>
          <w:trHeight w:val="103"/>
          <w:jc w:val="center"/>
        </w:trPr>
        <w:tc>
          <w:tcPr>
            <w:tcW w:w="0" w:type="auto"/>
            <w:vMerge/>
            <w:shd w:val="clear" w:color="auto" w:fill="auto"/>
          </w:tcPr>
          <w:p w:rsidR="003957D7" w:rsidRPr="00B2014C" w:rsidRDefault="003957D7" w:rsidP="00663660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 w:cs="Arial"/>
                <w:color w:val="000000"/>
                <w:sz w:val="20"/>
                <w:szCs w:val="20"/>
              </w:rPr>
              <w:t>88.83 (63.93-113.73)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3957D7" w:rsidRPr="00B2014C" w:rsidTr="00663660">
        <w:trPr>
          <w:trHeight w:val="512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High MACC1 expression </w:t>
            </w:r>
          </w:p>
          <w:p w:rsidR="003957D7" w:rsidRPr="00B2014C" w:rsidRDefault="003957D7" w:rsidP="00C12FA3">
            <w:pPr>
              <w:spacing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+ KRAS mutation status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wt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C12FA3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000000"/>
                <w:sz w:val="20"/>
                <w:szCs w:val="20"/>
              </w:rPr>
              <w:t>88.72 (57.81-119.64)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957D7" w:rsidRPr="00B2014C" w:rsidRDefault="003957D7" w:rsidP="00C12FA3">
            <w:pPr>
              <w:spacing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0.039</w:t>
            </w:r>
          </w:p>
        </w:tc>
      </w:tr>
      <w:tr w:rsidR="003957D7" w:rsidRPr="00B2014C" w:rsidTr="00663660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KRAS G13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B2014C">
              <w:rPr>
                <w:rFonts w:asciiTheme="minorHAnsi" w:hAnsiTheme="minorHAnsi"/>
                <w:color w:val="000000"/>
                <w:sz w:val="20"/>
                <w:szCs w:val="20"/>
              </w:rPr>
              <w:t>18.99 (10.64-27.34)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957D7" w:rsidRPr="00B2014C" w:rsidRDefault="003957D7" w:rsidP="00663660">
            <w:pPr>
              <w:spacing w:before="120" w:line="48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3957D7" w:rsidRPr="00B2014C" w:rsidTr="00663660">
        <w:trPr>
          <w:trHeight w:val="1227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</w:tcPr>
          <w:p w:rsidR="003957D7" w:rsidRPr="00E840F4" w:rsidRDefault="003957D7" w:rsidP="009A0B2F">
            <w:pPr>
              <w:autoSpaceDE w:val="0"/>
              <w:autoSpaceDN w:val="0"/>
              <w:adjustRightInd w:val="0"/>
              <w:spacing w:before="120" w:line="48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840F4">
              <w:rPr>
                <w:rFonts w:asciiTheme="minorHAnsi" w:hAnsiTheme="minorHAnsi" w:cs="Arial"/>
                <w:color w:val="000000"/>
                <w:sz w:val="20"/>
                <w:szCs w:val="20"/>
              </w:rPr>
              <w:t>The Kaplan–Meier method was used to estimate cumulative survival rates and MFS time. Significance of differences in survival rates were assessed using the Log Rank test.</w:t>
            </w:r>
          </w:p>
        </w:tc>
      </w:tr>
    </w:tbl>
    <w:p w:rsidR="00BA193C" w:rsidRDefault="00BA193C" w:rsidP="009E4546">
      <w:pPr>
        <w:spacing w:line="480" w:lineRule="auto"/>
        <w:rPr>
          <w:lang w:val="en-GB"/>
        </w:rPr>
      </w:pPr>
    </w:p>
    <w:p w:rsidR="00BA193C" w:rsidRDefault="00BA193C" w:rsidP="009E4546">
      <w:pPr>
        <w:spacing w:after="200" w:line="480" w:lineRule="auto"/>
        <w:rPr>
          <w:lang w:val="en-GB"/>
        </w:rPr>
      </w:pPr>
    </w:p>
    <w:sectPr w:rsidR="00BA193C" w:rsidSect="00E840F4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736CA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246" w:rsidRDefault="007C1246" w:rsidP="00E07E7A">
      <w:r>
        <w:separator/>
      </w:r>
    </w:p>
  </w:endnote>
  <w:endnote w:type="continuationSeparator" w:id="0">
    <w:p w:rsidR="007C1246" w:rsidRDefault="007C1246" w:rsidP="00E07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TIXGeneral-Regular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517797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E07E7A" w:rsidRPr="00E07E7A" w:rsidRDefault="00FC69BC">
        <w:pPr>
          <w:pStyle w:val="Footer"/>
          <w:jc w:val="right"/>
          <w:rPr>
            <w:rFonts w:asciiTheme="minorHAnsi" w:hAnsiTheme="minorHAnsi"/>
            <w:sz w:val="22"/>
            <w:szCs w:val="22"/>
          </w:rPr>
        </w:pPr>
        <w:r w:rsidRPr="00E07E7A">
          <w:rPr>
            <w:rFonts w:asciiTheme="minorHAnsi" w:hAnsiTheme="minorHAnsi"/>
            <w:sz w:val="22"/>
            <w:szCs w:val="22"/>
          </w:rPr>
          <w:fldChar w:fldCharType="begin"/>
        </w:r>
        <w:r w:rsidR="00E07E7A" w:rsidRPr="00E07E7A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07E7A">
          <w:rPr>
            <w:rFonts w:asciiTheme="minorHAnsi" w:hAnsiTheme="minorHAnsi"/>
            <w:sz w:val="22"/>
            <w:szCs w:val="22"/>
          </w:rPr>
          <w:fldChar w:fldCharType="separate"/>
        </w:r>
        <w:r w:rsidR="00642322" w:rsidRPr="00642322">
          <w:rPr>
            <w:rFonts w:asciiTheme="minorHAnsi" w:hAnsiTheme="minorHAnsi"/>
            <w:noProof/>
            <w:sz w:val="22"/>
            <w:szCs w:val="22"/>
            <w:lang w:val="de-DE"/>
          </w:rPr>
          <w:t>1</w:t>
        </w:r>
        <w:r w:rsidRPr="00E07E7A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E07E7A" w:rsidRDefault="00E07E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246" w:rsidRDefault="007C1246" w:rsidP="00E07E7A">
      <w:r>
        <w:separator/>
      </w:r>
    </w:p>
  </w:footnote>
  <w:footnote w:type="continuationSeparator" w:id="0">
    <w:p w:rsidR="007C1246" w:rsidRDefault="007C1246" w:rsidP="00E07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E7A" w:rsidRPr="00E07E7A" w:rsidRDefault="00E07E7A" w:rsidP="00E07E7A">
    <w:pPr>
      <w:pStyle w:val="Header"/>
      <w:jc w:val="right"/>
      <w:rPr>
        <w:rFonts w:asciiTheme="minorHAnsi" w:hAnsiTheme="minorHAnsi"/>
        <w:sz w:val="22"/>
        <w:szCs w:val="22"/>
      </w:rPr>
    </w:pPr>
    <w:r w:rsidRPr="00E07E7A">
      <w:rPr>
        <w:rFonts w:asciiTheme="minorHAnsi" w:hAnsiTheme="minorHAnsi"/>
        <w:sz w:val="22"/>
        <w:szCs w:val="22"/>
      </w:rPr>
      <w:t>Ilm et al.</w:t>
    </w:r>
  </w:p>
  <w:p w:rsidR="00E07E7A" w:rsidRDefault="00E07E7A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mmner, Wolfgang">
    <w15:presenceInfo w15:providerId="None" w15:userId="Kemmner, Wolfgang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AD1"/>
    <w:rsid w:val="00005DB9"/>
    <w:rsid w:val="00014667"/>
    <w:rsid w:val="000463B7"/>
    <w:rsid w:val="00056E62"/>
    <w:rsid w:val="00064AD1"/>
    <w:rsid w:val="00084D0C"/>
    <w:rsid w:val="00224897"/>
    <w:rsid w:val="00246A8D"/>
    <w:rsid w:val="002910AD"/>
    <w:rsid w:val="002D52B0"/>
    <w:rsid w:val="00365630"/>
    <w:rsid w:val="00382E46"/>
    <w:rsid w:val="003957D7"/>
    <w:rsid w:val="00484EE7"/>
    <w:rsid w:val="0050308F"/>
    <w:rsid w:val="0052636B"/>
    <w:rsid w:val="005567A1"/>
    <w:rsid w:val="00566010"/>
    <w:rsid w:val="00574235"/>
    <w:rsid w:val="005F2DA0"/>
    <w:rsid w:val="00642322"/>
    <w:rsid w:val="006522D7"/>
    <w:rsid w:val="00655F15"/>
    <w:rsid w:val="006602B7"/>
    <w:rsid w:val="00663660"/>
    <w:rsid w:val="006C4D3D"/>
    <w:rsid w:val="006D5EEE"/>
    <w:rsid w:val="006E029A"/>
    <w:rsid w:val="006F4CAF"/>
    <w:rsid w:val="0070766C"/>
    <w:rsid w:val="0072201F"/>
    <w:rsid w:val="007314BC"/>
    <w:rsid w:val="007409F2"/>
    <w:rsid w:val="00743F75"/>
    <w:rsid w:val="007472CF"/>
    <w:rsid w:val="00791577"/>
    <w:rsid w:val="007C1246"/>
    <w:rsid w:val="007C4ED6"/>
    <w:rsid w:val="007F04DF"/>
    <w:rsid w:val="008372CA"/>
    <w:rsid w:val="00850C2C"/>
    <w:rsid w:val="008606D6"/>
    <w:rsid w:val="0087763C"/>
    <w:rsid w:val="008B7654"/>
    <w:rsid w:val="008F001E"/>
    <w:rsid w:val="0093687C"/>
    <w:rsid w:val="009A0B2F"/>
    <w:rsid w:val="009C1365"/>
    <w:rsid w:val="009C3B87"/>
    <w:rsid w:val="009C6BA1"/>
    <w:rsid w:val="009E4546"/>
    <w:rsid w:val="00A12374"/>
    <w:rsid w:val="00A742E5"/>
    <w:rsid w:val="00A92C7B"/>
    <w:rsid w:val="00AA1515"/>
    <w:rsid w:val="00AD5FDA"/>
    <w:rsid w:val="00B2014C"/>
    <w:rsid w:val="00B3754E"/>
    <w:rsid w:val="00B90DD9"/>
    <w:rsid w:val="00BA193C"/>
    <w:rsid w:val="00C12FA3"/>
    <w:rsid w:val="00C7303D"/>
    <w:rsid w:val="00C740E5"/>
    <w:rsid w:val="00C81AF8"/>
    <w:rsid w:val="00C94AFF"/>
    <w:rsid w:val="00CA6348"/>
    <w:rsid w:val="00CB6E81"/>
    <w:rsid w:val="00CF6988"/>
    <w:rsid w:val="00D05FF5"/>
    <w:rsid w:val="00D14A5B"/>
    <w:rsid w:val="00D22331"/>
    <w:rsid w:val="00D33A57"/>
    <w:rsid w:val="00D72B89"/>
    <w:rsid w:val="00D850DA"/>
    <w:rsid w:val="00DB7840"/>
    <w:rsid w:val="00DC6343"/>
    <w:rsid w:val="00E07E7A"/>
    <w:rsid w:val="00E47C0F"/>
    <w:rsid w:val="00E56D81"/>
    <w:rsid w:val="00E840F4"/>
    <w:rsid w:val="00E8443A"/>
    <w:rsid w:val="00EC03BE"/>
    <w:rsid w:val="00EC62BC"/>
    <w:rsid w:val="00ED4E75"/>
    <w:rsid w:val="00F43E9E"/>
    <w:rsid w:val="00F5404C"/>
    <w:rsid w:val="00FC69BC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uiPriority w:val="99"/>
    <w:rsid w:val="00064AD1"/>
    <w:pPr>
      <w:suppressAutoHyphens/>
      <w:spacing w:before="28" w:after="119" w:line="100" w:lineRule="atLeast"/>
    </w:pPr>
    <w:rPr>
      <w:kern w:val="1"/>
      <w:lang w:val="de-DE" w:eastAsia="ar-SA"/>
    </w:rPr>
  </w:style>
  <w:style w:type="table" w:styleId="LightShading">
    <w:name w:val="Light Shading"/>
    <w:basedOn w:val="TableNormal"/>
    <w:uiPriority w:val="60"/>
    <w:rsid w:val="00064AD1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64A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AD1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056E6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56E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E6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07E7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E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07E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E7A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HelleSchattierung1">
    <w:name w:val="Helle Schattierung1"/>
    <w:basedOn w:val="TableNormal"/>
    <w:uiPriority w:val="60"/>
    <w:rsid w:val="007C4ED6"/>
    <w:pPr>
      <w:spacing w:after="0" w:line="240" w:lineRule="auto"/>
    </w:pPr>
    <w:rPr>
      <w:rFonts w:ascii="Arial" w:eastAsiaTheme="minorEastAsia" w:hAnsi="Arial"/>
      <w:color w:val="000000" w:themeColor="text1" w:themeShade="BF"/>
      <w:sz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8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89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uiPriority w:val="99"/>
    <w:rsid w:val="00064AD1"/>
    <w:pPr>
      <w:suppressAutoHyphens/>
      <w:spacing w:before="28" w:after="119" w:line="100" w:lineRule="atLeast"/>
    </w:pPr>
    <w:rPr>
      <w:kern w:val="1"/>
      <w:lang w:val="de-DE" w:eastAsia="ar-SA"/>
    </w:rPr>
  </w:style>
  <w:style w:type="table" w:styleId="LightShading">
    <w:name w:val="Light Shading"/>
    <w:basedOn w:val="TableNormal"/>
    <w:uiPriority w:val="60"/>
    <w:rsid w:val="00064AD1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64A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AD1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056E6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56E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E6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07E7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E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07E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E7A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HelleSchattierung1">
    <w:name w:val="Helle Schattierung1"/>
    <w:basedOn w:val="TableNormal"/>
    <w:uiPriority w:val="60"/>
    <w:rsid w:val="007C4ED6"/>
    <w:pPr>
      <w:spacing w:after="0" w:line="240" w:lineRule="auto"/>
    </w:pPr>
    <w:rPr>
      <w:rFonts w:ascii="Arial" w:eastAsiaTheme="minorEastAsia" w:hAnsi="Arial"/>
      <w:color w:val="000000" w:themeColor="text1" w:themeShade="BF"/>
      <w:sz w:val="20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8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89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commentsExtended" Target="commentsExtended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761</Words>
  <Characters>4343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Behncke</dc:creator>
  <cp:lastModifiedBy>jepartosa</cp:lastModifiedBy>
  <cp:revision>7</cp:revision>
  <cp:lastPrinted>2014-10-31T15:10:00Z</cp:lastPrinted>
  <dcterms:created xsi:type="dcterms:W3CDTF">2015-01-30T12:28:00Z</dcterms:created>
  <dcterms:modified xsi:type="dcterms:W3CDTF">2015-02-07T11:44:00Z</dcterms:modified>
</cp:coreProperties>
</file>