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5D9" w:rsidRDefault="008425D9" w:rsidP="00D53F99">
      <w:pPr>
        <w:spacing w:line="480" w:lineRule="auto"/>
        <w:jc w:val="both"/>
        <w:rPr>
          <w:rFonts w:ascii="Calibri" w:hAnsi="Calibri" w:cs="Arial"/>
          <w:b/>
          <w:bCs/>
          <w:sz w:val="28"/>
          <w:szCs w:val="28"/>
        </w:rPr>
      </w:pPr>
      <w:r>
        <w:rPr>
          <w:rFonts w:ascii="Calibri" w:hAnsi="Calibri" w:cs="Arial"/>
          <w:b/>
          <w:bCs/>
          <w:sz w:val="28"/>
          <w:szCs w:val="28"/>
        </w:rPr>
        <w:t>Additional file 1 (</w:t>
      </w:r>
      <w:r w:rsidRPr="00D33A57">
        <w:rPr>
          <w:rFonts w:ascii="Calibri" w:hAnsi="Calibri" w:cs="Arial"/>
          <w:b/>
          <w:bCs/>
          <w:sz w:val="28"/>
          <w:szCs w:val="28"/>
        </w:rPr>
        <w:t>Title</w:t>
      </w:r>
      <w:r>
        <w:rPr>
          <w:rFonts w:ascii="Calibri" w:hAnsi="Calibri" w:cs="Arial"/>
          <w:b/>
          <w:bCs/>
          <w:sz w:val="28"/>
          <w:szCs w:val="28"/>
        </w:rPr>
        <w:t xml:space="preserve"> of data: Material and Methods</w:t>
      </w:r>
      <w:r>
        <w:rPr>
          <w:rFonts w:ascii="Calibri" w:hAnsi="Calibri" w:cs="Arial"/>
          <w:b/>
          <w:bCs/>
          <w:sz w:val="22"/>
          <w:szCs w:val="22"/>
        </w:rPr>
        <w:t>)</w:t>
      </w:r>
    </w:p>
    <w:p w:rsidR="008425D9" w:rsidRPr="00E47C0F" w:rsidRDefault="008425D9" w:rsidP="00D53F99">
      <w:pPr>
        <w:spacing w:line="480" w:lineRule="auto"/>
        <w:jc w:val="both"/>
        <w:rPr>
          <w:rFonts w:ascii="Calibri" w:hAnsi="Calibri" w:cs="Arial"/>
          <w:b/>
          <w:bCs/>
          <w:sz w:val="22"/>
          <w:szCs w:val="22"/>
        </w:rPr>
      </w:pPr>
      <w:r w:rsidRPr="00E47C0F">
        <w:rPr>
          <w:rFonts w:ascii="Calibri" w:hAnsi="Calibri" w:cs="Arial"/>
          <w:b/>
          <w:bCs/>
          <w:sz w:val="22"/>
          <w:szCs w:val="22"/>
        </w:rPr>
        <w:t>Ilm et al: High MACC1 expression in combination with mutated KRAS G13 indicates poor survival of colorectal cancer patients</w:t>
      </w:r>
    </w:p>
    <w:p w:rsidR="008425D9" w:rsidRDefault="008425D9" w:rsidP="00D53F99">
      <w:pPr>
        <w:pStyle w:val="NormalWeb1"/>
        <w:spacing w:before="0" w:after="0" w:line="480" w:lineRule="auto"/>
        <w:rPr>
          <w:rFonts w:ascii="Calibri" w:hAnsi="Calibri" w:cs="Arial"/>
          <w:b/>
          <w:bCs/>
          <w:sz w:val="22"/>
          <w:szCs w:val="22"/>
          <w:lang w:val="en-GB"/>
        </w:rPr>
      </w:pPr>
    </w:p>
    <w:p w:rsidR="005F7EE7" w:rsidRPr="00081DC4" w:rsidRDefault="005F7EE7" w:rsidP="00D53F99">
      <w:pPr>
        <w:pStyle w:val="NormalWeb1"/>
        <w:spacing w:before="0" w:after="0" w:line="480" w:lineRule="auto"/>
        <w:rPr>
          <w:rFonts w:ascii="Calibri" w:hAnsi="Calibri" w:cs="Arial"/>
          <w:bCs/>
          <w:sz w:val="22"/>
          <w:szCs w:val="22"/>
          <w:lang w:val="en-GB"/>
        </w:rPr>
      </w:pPr>
      <w:r>
        <w:rPr>
          <w:rFonts w:ascii="Calibri" w:hAnsi="Calibri" w:cs="Arial"/>
          <w:b/>
          <w:bCs/>
          <w:sz w:val="22"/>
          <w:szCs w:val="22"/>
          <w:lang w:val="en-GB"/>
        </w:rPr>
        <w:t xml:space="preserve">Patient </w:t>
      </w:r>
      <w:r w:rsidRPr="00066495">
        <w:rPr>
          <w:rFonts w:ascii="Calibri" w:hAnsi="Calibri" w:cs="Arial"/>
          <w:b/>
          <w:bCs/>
          <w:sz w:val="22"/>
          <w:szCs w:val="22"/>
          <w:lang w:val="en-GB"/>
        </w:rPr>
        <w:t xml:space="preserve">characteristics </w:t>
      </w:r>
    </w:p>
    <w:p w:rsidR="005F7EE7" w:rsidRPr="00066495" w:rsidRDefault="005F7EE7" w:rsidP="00D53F99">
      <w:pPr>
        <w:pStyle w:val="NormalWeb1"/>
        <w:spacing w:before="0" w:after="0" w:line="480" w:lineRule="auto"/>
        <w:rPr>
          <w:rFonts w:ascii="Calibri" w:hAnsi="Calibri" w:cs="Arial"/>
          <w:bCs/>
          <w:sz w:val="22"/>
          <w:szCs w:val="22"/>
          <w:lang w:val="en-GB"/>
        </w:rPr>
      </w:pPr>
      <w:r w:rsidRPr="000D63C6">
        <w:rPr>
          <w:rFonts w:ascii="Calibri" w:hAnsi="Calibri" w:cs="Arial"/>
          <w:bCs/>
          <w:sz w:val="22"/>
          <w:szCs w:val="22"/>
          <w:lang w:val="en-GB"/>
        </w:rPr>
        <w:t xml:space="preserve">In total, 99 patients with patho-histologically confirmed primary </w:t>
      </w:r>
      <w:r w:rsidR="004B1F3B" w:rsidRPr="000D63C6">
        <w:rPr>
          <w:rFonts w:ascii="Calibri" w:hAnsi="Calibri" w:cs="Arial"/>
          <w:bCs/>
          <w:sz w:val="22"/>
          <w:szCs w:val="22"/>
          <w:lang w:val="en-GB"/>
        </w:rPr>
        <w:t>colorectal</w:t>
      </w:r>
      <w:r w:rsidRPr="000D63C6">
        <w:rPr>
          <w:rFonts w:ascii="Calibri" w:hAnsi="Calibri" w:cs="Arial"/>
          <w:bCs/>
          <w:sz w:val="22"/>
          <w:szCs w:val="22"/>
          <w:lang w:val="en-GB"/>
        </w:rPr>
        <w:t xml:space="preserve"> adenocarcinomas </w:t>
      </w:r>
      <w:r w:rsidRPr="000D63C6">
        <w:rPr>
          <w:rFonts w:ascii="Calibri" w:hAnsi="Calibri" w:cs="Arial"/>
          <w:sz w:val="22"/>
          <w:szCs w:val="22"/>
          <w:lang w:val="en-GB" w:eastAsia="en-US"/>
        </w:rPr>
        <w:t xml:space="preserve">with UICC stages I, II and III were included in this study </w:t>
      </w:r>
      <w:r w:rsidR="00334A79" w:rsidRPr="000D63C6">
        <w:rPr>
          <w:rFonts w:ascii="Calibri" w:hAnsi="Calibri" w:cs="Arial"/>
          <w:sz w:val="22"/>
          <w:szCs w:val="22"/>
          <w:lang w:val="en-GB" w:eastAsia="en-US"/>
        </w:rPr>
        <w:t>(Additional file 2, Supplementary Table 1). The</w:t>
      </w:r>
      <w:r w:rsidRPr="000D63C6">
        <w:rPr>
          <w:rFonts w:ascii="Calibri" w:hAnsi="Calibri" w:cs="Arial"/>
          <w:sz w:val="22"/>
          <w:szCs w:val="22"/>
          <w:lang w:val="en-GB" w:eastAsia="en-US"/>
        </w:rPr>
        <w:t xml:space="preserve"> median </w:t>
      </w:r>
      <w:r w:rsidR="00D53F99" w:rsidRPr="000D63C6">
        <w:rPr>
          <w:rFonts w:ascii="Calibri" w:hAnsi="Calibri" w:cs="Arial"/>
          <w:sz w:val="22"/>
          <w:szCs w:val="22"/>
          <w:lang w:val="en-GB" w:eastAsia="en-US"/>
        </w:rPr>
        <w:t xml:space="preserve">for </w:t>
      </w:r>
      <w:r w:rsidR="00334A79" w:rsidRPr="000D63C6">
        <w:rPr>
          <w:rFonts w:ascii="Calibri" w:hAnsi="Calibri" w:cs="Arial"/>
          <w:sz w:val="22"/>
          <w:szCs w:val="22"/>
          <w:lang w:val="en-GB" w:eastAsia="en-US"/>
        </w:rPr>
        <w:t xml:space="preserve">metastasis-free survival time </w:t>
      </w:r>
      <w:r w:rsidR="00B06DEB" w:rsidRPr="000D63C6">
        <w:rPr>
          <w:rFonts w:ascii="Calibri" w:hAnsi="Calibri" w:cs="Arial"/>
          <w:sz w:val="22"/>
          <w:szCs w:val="22"/>
          <w:lang w:val="en-GB" w:eastAsia="en-US"/>
        </w:rPr>
        <w:t xml:space="preserve">(MFS) </w:t>
      </w:r>
      <w:r w:rsidR="00D53F99" w:rsidRPr="000D63C6">
        <w:rPr>
          <w:rFonts w:ascii="Calibri" w:hAnsi="Calibri" w:cs="Arial"/>
          <w:sz w:val="22"/>
          <w:szCs w:val="22"/>
          <w:lang w:val="en-GB" w:eastAsia="en-US"/>
        </w:rPr>
        <w:t xml:space="preserve">and overall survival </w:t>
      </w:r>
      <w:r w:rsidR="00B06DEB" w:rsidRPr="000D63C6">
        <w:rPr>
          <w:rFonts w:ascii="Calibri" w:hAnsi="Calibri" w:cs="Arial"/>
          <w:sz w:val="22"/>
          <w:szCs w:val="22"/>
          <w:lang w:val="en-GB" w:eastAsia="en-US"/>
        </w:rPr>
        <w:t xml:space="preserve">(OS) </w:t>
      </w:r>
      <w:r w:rsidR="00D53F99" w:rsidRPr="000D63C6">
        <w:rPr>
          <w:rFonts w:ascii="Calibri" w:hAnsi="Calibri" w:cs="Arial"/>
          <w:sz w:val="22"/>
          <w:szCs w:val="22"/>
          <w:lang w:val="en-GB" w:eastAsia="en-US"/>
        </w:rPr>
        <w:t xml:space="preserve">time </w:t>
      </w:r>
      <w:r w:rsidR="00334A79" w:rsidRPr="000D63C6">
        <w:rPr>
          <w:rFonts w:ascii="Calibri" w:hAnsi="Calibri" w:cs="Arial"/>
          <w:sz w:val="22"/>
          <w:szCs w:val="22"/>
          <w:lang w:val="en-GB" w:eastAsia="en-US"/>
        </w:rPr>
        <w:t xml:space="preserve">was </w:t>
      </w:r>
      <w:r w:rsidR="00D53F99" w:rsidRPr="000D63C6">
        <w:rPr>
          <w:rFonts w:ascii="Calibri" w:hAnsi="Calibri" w:cs="Arial"/>
          <w:sz w:val="22"/>
          <w:szCs w:val="22"/>
          <w:lang w:val="en-GB" w:eastAsia="en-US"/>
        </w:rPr>
        <w:t xml:space="preserve">56.0 and </w:t>
      </w:r>
      <w:r w:rsidRPr="000D63C6">
        <w:rPr>
          <w:rFonts w:ascii="Calibri" w:hAnsi="Calibri" w:cs="Arial"/>
          <w:sz w:val="22"/>
          <w:szCs w:val="22"/>
          <w:lang w:val="en-GB" w:eastAsia="en-US"/>
        </w:rPr>
        <w:t>79.4 months</w:t>
      </w:r>
      <w:r w:rsidR="00D53F99" w:rsidRPr="000D63C6">
        <w:rPr>
          <w:rFonts w:ascii="Calibri" w:hAnsi="Calibri" w:cs="Arial"/>
          <w:sz w:val="22"/>
          <w:szCs w:val="22"/>
          <w:lang w:val="en-GB" w:eastAsia="en-US"/>
        </w:rPr>
        <w:t>, respectively.</w:t>
      </w:r>
      <w:r w:rsidRPr="00585413">
        <w:rPr>
          <w:rFonts w:ascii="Calibri" w:hAnsi="Calibri" w:cs="Arial"/>
          <w:sz w:val="22"/>
          <w:szCs w:val="22"/>
          <w:lang w:val="en-GB" w:eastAsia="en-US"/>
        </w:rPr>
        <w:t xml:space="preserve"> </w:t>
      </w:r>
      <w:r w:rsidRPr="00F17052">
        <w:rPr>
          <w:rFonts w:ascii="Calibri" w:hAnsi="Calibri" w:cs="Arial"/>
          <w:bCs/>
          <w:sz w:val="22"/>
          <w:szCs w:val="22"/>
          <w:highlight w:val="yellow"/>
          <w:lang w:val="en-GB"/>
        </w:rPr>
        <w:t>Primary tumors were obtained from all patients</w:t>
      </w:r>
      <w:r w:rsidR="000D63C6" w:rsidRPr="00F17052">
        <w:rPr>
          <w:rFonts w:ascii="Calibri" w:hAnsi="Calibri" w:cs="Arial"/>
          <w:bCs/>
          <w:sz w:val="22"/>
          <w:szCs w:val="22"/>
          <w:highlight w:val="yellow"/>
          <w:lang w:val="en-GB"/>
        </w:rPr>
        <w:t xml:space="preserve"> with informed written consent </w:t>
      </w:r>
      <w:r w:rsidR="00F17052" w:rsidRPr="00F17052">
        <w:rPr>
          <w:rFonts w:ascii="Calibri" w:hAnsi="Calibri" w:cs="Arial"/>
          <w:bCs/>
          <w:sz w:val="22"/>
          <w:szCs w:val="22"/>
          <w:highlight w:val="yellow"/>
          <w:lang w:val="en-GB"/>
        </w:rPr>
        <w:t>and collected between 1996 and 2003.</w:t>
      </w:r>
      <w:r w:rsidR="00F17052" w:rsidRPr="00F17052">
        <w:rPr>
          <w:rFonts w:ascii="Calibri" w:hAnsi="Calibri" w:cs="Arial"/>
          <w:bCs/>
          <w:sz w:val="22"/>
          <w:szCs w:val="22"/>
          <w:highlight w:val="yellow"/>
          <w:lang w:val="en-GB"/>
        </w:rPr>
        <w:t xml:space="preserve"> This patient study protocol was approved by the </w:t>
      </w:r>
      <w:r w:rsidR="00F17052" w:rsidRPr="00F17052">
        <w:rPr>
          <w:rFonts w:ascii="Calibri" w:hAnsi="Calibri" w:cs="Arial"/>
          <w:bCs/>
          <w:sz w:val="22"/>
          <w:szCs w:val="22"/>
          <w:highlight w:val="yellow"/>
          <w:lang w:val="en-GB"/>
        </w:rPr>
        <w:t xml:space="preserve">Institutional Review Board (IRB) of the Charité </w:t>
      </w:r>
      <w:proofErr w:type="spellStart"/>
      <w:r w:rsidR="00F17052" w:rsidRPr="00F17052">
        <w:rPr>
          <w:rFonts w:ascii="Calibri" w:hAnsi="Calibri" w:cs="Arial"/>
          <w:bCs/>
          <w:sz w:val="22"/>
          <w:szCs w:val="22"/>
          <w:highlight w:val="yellow"/>
          <w:lang w:val="en-GB"/>
        </w:rPr>
        <w:t>Universitätsmedizin</w:t>
      </w:r>
      <w:proofErr w:type="spellEnd"/>
      <w:r w:rsidR="00F17052" w:rsidRPr="00F17052">
        <w:rPr>
          <w:rFonts w:ascii="Calibri" w:hAnsi="Calibri" w:cs="Arial"/>
          <w:bCs/>
          <w:sz w:val="22"/>
          <w:szCs w:val="22"/>
          <w:highlight w:val="yellow"/>
          <w:lang w:val="en-GB"/>
        </w:rPr>
        <w:t xml:space="preserve"> Berli</w:t>
      </w:r>
      <w:bookmarkStart w:id="0" w:name="_GoBack"/>
      <w:bookmarkEnd w:id="0"/>
      <w:r w:rsidR="00F17052" w:rsidRPr="00F17052">
        <w:rPr>
          <w:rFonts w:ascii="Calibri" w:hAnsi="Calibri" w:cs="Arial"/>
          <w:bCs/>
          <w:sz w:val="22"/>
          <w:szCs w:val="22"/>
          <w:highlight w:val="yellow"/>
          <w:lang w:val="en-GB"/>
        </w:rPr>
        <w:t>n</w:t>
      </w:r>
      <w:r w:rsidR="00F17052" w:rsidRPr="00F17052">
        <w:rPr>
          <w:rFonts w:ascii="Calibri" w:hAnsi="Calibri" w:cs="Arial"/>
          <w:bCs/>
          <w:sz w:val="22"/>
          <w:szCs w:val="22"/>
          <w:highlight w:val="yellow"/>
          <w:lang w:val="en-GB"/>
        </w:rPr>
        <w:t>, complied with the Helsinki Declaration.</w:t>
      </w:r>
      <w:r w:rsidR="00F17052" w:rsidRPr="00F17052">
        <w:rPr>
          <w:rFonts w:ascii="Calibri" w:hAnsi="Calibri" w:cs="Arial"/>
          <w:bCs/>
          <w:sz w:val="22"/>
          <w:szCs w:val="22"/>
          <w:lang w:val="en-GB"/>
        </w:rPr>
        <w:t xml:space="preserve"> </w:t>
      </w:r>
      <w:r w:rsidRPr="00E82295">
        <w:rPr>
          <w:rFonts w:ascii="Calibri" w:hAnsi="Calibri" w:cs="Arial"/>
          <w:bCs/>
          <w:sz w:val="22"/>
          <w:szCs w:val="22"/>
          <w:lang w:val="en-US"/>
        </w:rPr>
        <w:t>Tumor</w:t>
      </w:r>
      <w:r w:rsidRPr="00066495">
        <w:rPr>
          <w:rFonts w:ascii="Calibri" w:hAnsi="Calibri" w:cs="Arial"/>
          <w:bCs/>
          <w:sz w:val="22"/>
          <w:szCs w:val="22"/>
          <w:lang w:val="en-GB"/>
        </w:rPr>
        <w:t xml:space="preserve"> staging and typing was performed according to UICC and WHO guidelines. </w:t>
      </w:r>
      <w:r w:rsidRPr="00066495">
        <w:rPr>
          <w:rFonts w:ascii="Calibri" w:hAnsi="Calibri" w:cs="Arial"/>
          <w:sz w:val="22"/>
          <w:szCs w:val="22"/>
          <w:lang w:val="en-GB" w:eastAsia="en-US"/>
        </w:rPr>
        <w:t>T</w:t>
      </w:r>
      <w:r>
        <w:rPr>
          <w:rFonts w:ascii="Calibri" w:hAnsi="Calibri" w:cs="Arial"/>
          <w:sz w:val="22"/>
          <w:szCs w:val="22"/>
          <w:lang w:val="en-GB" w:eastAsia="en-US"/>
        </w:rPr>
        <w:t>he patients</w:t>
      </w:r>
      <w:r w:rsidRPr="00066495">
        <w:rPr>
          <w:rFonts w:ascii="Calibri" w:hAnsi="Calibri" w:cs="Arial"/>
          <w:sz w:val="22"/>
          <w:szCs w:val="22"/>
          <w:lang w:val="en-GB" w:eastAsia="en-US"/>
        </w:rPr>
        <w:t xml:space="preserve"> were preoperatively untreated, had no history of familial CRC, did not suffer from a second</w:t>
      </w:r>
      <w:r w:rsidRPr="00E82295">
        <w:rPr>
          <w:rFonts w:ascii="Calibri" w:hAnsi="Calibri" w:cs="Arial"/>
          <w:sz w:val="22"/>
          <w:szCs w:val="22"/>
          <w:lang w:val="en-US" w:eastAsia="en-US"/>
        </w:rPr>
        <w:t xml:space="preserve"> tumor</w:t>
      </w:r>
      <w:r w:rsidRPr="00066495">
        <w:rPr>
          <w:rFonts w:ascii="Calibri" w:hAnsi="Calibri" w:cs="Arial"/>
          <w:sz w:val="22"/>
          <w:szCs w:val="22"/>
          <w:lang w:val="en-GB" w:eastAsia="en-US"/>
        </w:rPr>
        <w:t xml:space="preserve"> and </w:t>
      </w:r>
      <w:r>
        <w:rPr>
          <w:rFonts w:ascii="Calibri" w:hAnsi="Calibri" w:cs="Arial"/>
          <w:sz w:val="22"/>
          <w:szCs w:val="22"/>
          <w:lang w:val="en-GB" w:eastAsia="en-US"/>
        </w:rPr>
        <w:t xml:space="preserve">underwent </w:t>
      </w:r>
      <w:r w:rsidRPr="00066495">
        <w:rPr>
          <w:rFonts w:ascii="Calibri" w:hAnsi="Calibri" w:cs="Arial"/>
          <w:sz w:val="22"/>
          <w:szCs w:val="22"/>
          <w:lang w:val="en-GB" w:eastAsia="en-US"/>
        </w:rPr>
        <w:t>R0 resection.</w:t>
      </w:r>
      <w:r w:rsidRPr="00066495">
        <w:rPr>
          <w:rFonts w:ascii="Calibri" w:hAnsi="Calibri" w:cs="Arial"/>
          <w:bCs/>
          <w:sz w:val="22"/>
          <w:szCs w:val="22"/>
          <w:lang w:val="en-GB"/>
        </w:rPr>
        <w:t xml:space="preserve"> </w:t>
      </w:r>
      <w:r>
        <w:rPr>
          <w:rFonts w:ascii="Calibri" w:hAnsi="Calibri" w:cs="Arial"/>
          <w:bCs/>
          <w:sz w:val="22"/>
          <w:szCs w:val="22"/>
          <w:lang w:val="en-GB"/>
        </w:rPr>
        <w:t>P</w:t>
      </w:r>
      <w:r w:rsidRPr="00066495">
        <w:rPr>
          <w:rFonts w:ascii="Calibri" w:hAnsi="Calibri" w:cs="Arial"/>
          <w:bCs/>
          <w:sz w:val="22"/>
          <w:szCs w:val="22"/>
          <w:lang w:val="en-GB"/>
        </w:rPr>
        <w:t>rimary</w:t>
      </w:r>
      <w:r w:rsidRPr="00E82295">
        <w:rPr>
          <w:rFonts w:ascii="Calibri" w:hAnsi="Calibri" w:cs="Arial"/>
          <w:bCs/>
          <w:sz w:val="22"/>
          <w:szCs w:val="22"/>
          <w:lang w:val="en-US"/>
        </w:rPr>
        <w:t xml:space="preserve"> tumor</w:t>
      </w:r>
      <w:r w:rsidRPr="00066495">
        <w:rPr>
          <w:rFonts w:ascii="Calibri" w:hAnsi="Calibri" w:cs="Arial"/>
          <w:bCs/>
          <w:sz w:val="22"/>
          <w:szCs w:val="22"/>
          <w:lang w:val="en-GB"/>
        </w:rPr>
        <w:t xml:space="preserve"> tissues were collected after surgical removal and were immediately shock frozen in liquid nitrogen after surgery.</w:t>
      </w:r>
      <w:r w:rsidRPr="00A52BFC">
        <w:rPr>
          <w:rFonts w:ascii="Calibri" w:hAnsi="Calibri" w:cs="Arial"/>
          <w:bCs/>
          <w:sz w:val="22"/>
          <w:szCs w:val="22"/>
          <w:lang w:val="en-GB"/>
        </w:rPr>
        <w:t xml:space="preserve"> </w:t>
      </w:r>
      <w:r w:rsidRPr="00066495">
        <w:rPr>
          <w:rFonts w:ascii="Calibri" w:hAnsi="Calibri" w:cs="Arial"/>
          <w:bCs/>
          <w:sz w:val="22"/>
          <w:szCs w:val="22"/>
          <w:lang w:val="en-GB"/>
        </w:rPr>
        <w:t>Cryoconserved</w:t>
      </w:r>
      <w:r w:rsidRPr="00E82295">
        <w:rPr>
          <w:rFonts w:ascii="Calibri" w:hAnsi="Calibri" w:cs="Arial"/>
          <w:bCs/>
          <w:sz w:val="22"/>
          <w:szCs w:val="22"/>
          <w:lang w:val="en-US"/>
        </w:rPr>
        <w:t xml:space="preserve"> tumor</w:t>
      </w:r>
      <w:r w:rsidRPr="00066495">
        <w:rPr>
          <w:rFonts w:ascii="Calibri" w:hAnsi="Calibri" w:cs="Arial"/>
          <w:bCs/>
          <w:sz w:val="22"/>
          <w:szCs w:val="22"/>
          <w:lang w:val="en-GB"/>
        </w:rPr>
        <w:t xml:space="preserve"> specimens were obtained from the</w:t>
      </w:r>
      <w:r w:rsidRPr="00E82295">
        <w:rPr>
          <w:rFonts w:ascii="Calibri" w:hAnsi="Calibri" w:cs="Arial"/>
          <w:bCs/>
          <w:sz w:val="22"/>
          <w:szCs w:val="22"/>
          <w:lang w:val="en-US"/>
        </w:rPr>
        <w:t xml:space="preserve"> tumor</w:t>
      </w:r>
      <w:r>
        <w:rPr>
          <w:rFonts w:ascii="Calibri" w:hAnsi="Calibri" w:cs="Arial"/>
          <w:bCs/>
          <w:sz w:val="22"/>
          <w:szCs w:val="22"/>
          <w:lang w:val="en-GB"/>
        </w:rPr>
        <w:t xml:space="preserve"> bank</w:t>
      </w:r>
      <w:r w:rsidRPr="00066495">
        <w:rPr>
          <w:rFonts w:ascii="Calibri" w:hAnsi="Calibri" w:cs="Arial"/>
          <w:bCs/>
          <w:sz w:val="22"/>
          <w:szCs w:val="22"/>
          <w:lang w:val="en-GB"/>
        </w:rPr>
        <w:t xml:space="preserve"> of the Charité Comprehensive Cancer </w:t>
      </w:r>
      <w:proofErr w:type="spellStart"/>
      <w:r w:rsidRPr="00066495">
        <w:rPr>
          <w:rFonts w:ascii="Calibri" w:hAnsi="Calibri" w:cs="Arial"/>
          <w:bCs/>
          <w:sz w:val="22"/>
          <w:szCs w:val="22"/>
          <w:lang w:val="en-GB"/>
        </w:rPr>
        <w:t>Center</w:t>
      </w:r>
      <w:proofErr w:type="spellEnd"/>
      <w:r w:rsidRPr="00066495">
        <w:rPr>
          <w:rFonts w:ascii="Calibri" w:hAnsi="Calibri" w:cs="Arial"/>
          <w:bCs/>
          <w:sz w:val="22"/>
          <w:szCs w:val="22"/>
          <w:lang w:val="en-GB"/>
        </w:rPr>
        <w:t xml:space="preserve"> (Berlin</w:t>
      </w:r>
      <w:r>
        <w:rPr>
          <w:rFonts w:ascii="Calibri" w:hAnsi="Calibri" w:cs="Arial"/>
          <w:bCs/>
          <w:sz w:val="22"/>
          <w:szCs w:val="22"/>
          <w:lang w:val="en-GB"/>
        </w:rPr>
        <w:t>).</w:t>
      </w:r>
      <w:r w:rsidRPr="00066495">
        <w:rPr>
          <w:rFonts w:ascii="Calibri" w:hAnsi="Calibri" w:cs="Arial"/>
          <w:bCs/>
          <w:sz w:val="22"/>
          <w:szCs w:val="22"/>
          <w:lang w:val="en-GB"/>
        </w:rPr>
        <w:t xml:space="preserve"> Cryosections of all samples were performed and every fifth section was stained with hematoxylin. Histopathology of each sample used for experimental analysis was reviewed by an experienced pathologist to confirm diagnosis, tissue composition and</w:t>
      </w:r>
      <w:r w:rsidRPr="00E82295">
        <w:rPr>
          <w:rFonts w:ascii="Calibri" w:hAnsi="Calibri" w:cs="Arial"/>
          <w:bCs/>
          <w:sz w:val="22"/>
          <w:szCs w:val="22"/>
          <w:lang w:val="en-US"/>
        </w:rPr>
        <w:t xml:space="preserve"> tumor</w:t>
      </w:r>
      <w:r w:rsidRPr="00066495">
        <w:rPr>
          <w:rFonts w:ascii="Calibri" w:hAnsi="Calibri" w:cs="Arial"/>
          <w:bCs/>
          <w:sz w:val="22"/>
          <w:szCs w:val="22"/>
          <w:lang w:val="en-GB"/>
        </w:rPr>
        <w:t xml:space="preserve"> content. After cryosectioning of CRC samples we </w:t>
      </w:r>
      <w:r w:rsidRPr="003C7B8A">
        <w:rPr>
          <w:rFonts w:ascii="Calibri" w:hAnsi="Calibri" w:cs="Arial"/>
          <w:bCs/>
          <w:sz w:val="22"/>
          <w:szCs w:val="22"/>
          <w:lang w:val="en-GB"/>
        </w:rPr>
        <w:t>applied</w:t>
      </w:r>
      <w:r w:rsidRPr="00E82295">
        <w:rPr>
          <w:rFonts w:ascii="Calibri" w:hAnsi="Calibri" w:cs="Arial"/>
          <w:bCs/>
          <w:sz w:val="22"/>
          <w:szCs w:val="22"/>
          <w:lang w:val="en-US"/>
        </w:rPr>
        <w:t xml:space="preserve"> microdissection</w:t>
      </w:r>
      <w:r w:rsidRPr="003C7B8A">
        <w:rPr>
          <w:rFonts w:ascii="Calibri" w:hAnsi="Calibri" w:cs="Arial"/>
          <w:bCs/>
          <w:sz w:val="22"/>
          <w:szCs w:val="22"/>
          <w:lang w:val="en-GB"/>
        </w:rPr>
        <w:t xml:space="preserve"> of unstained slides to obtain almost pure</w:t>
      </w:r>
      <w:r w:rsidRPr="00E82295">
        <w:rPr>
          <w:rFonts w:ascii="Calibri" w:hAnsi="Calibri" w:cs="Arial"/>
          <w:bCs/>
          <w:sz w:val="22"/>
          <w:szCs w:val="22"/>
          <w:lang w:val="en-US"/>
        </w:rPr>
        <w:t xml:space="preserve"> tumor</w:t>
      </w:r>
      <w:r w:rsidRPr="003C7B8A">
        <w:rPr>
          <w:rFonts w:ascii="Calibri" w:hAnsi="Calibri" w:cs="Arial"/>
          <w:bCs/>
          <w:sz w:val="22"/>
          <w:szCs w:val="22"/>
          <w:lang w:val="en-GB"/>
        </w:rPr>
        <w:t xml:space="preserve"> cell populations for DNA and RNA isolation. This study was designed and executed in compliance with the Reporting Recommendations for</w:t>
      </w:r>
      <w:r w:rsidRPr="00E82295">
        <w:rPr>
          <w:rFonts w:ascii="Calibri" w:hAnsi="Calibri" w:cs="Arial"/>
          <w:bCs/>
          <w:sz w:val="22"/>
          <w:szCs w:val="22"/>
          <w:lang w:val="en-US"/>
        </w:rPr>
        <w:t xml:space="preserve"> Tumor</w:t>
      </w:r>
      <w:r w:rsidRPr="003C7B8A">
        <w:rPr>
          <w:rFonts w:ascii="Calibri" w:hAnsi="Calibri" w:cs="Arial"/>
          <w:bCs/>
          <w:sz w:val="22"/>
          <w:szCs w:val="22"/>
          <w:lang w:val="en-GB"/>
        </w:rPr>
        <w:t xml:space="preserve"> Marker Prognostic Studies (REMARK) guidelines</w:t>
      </w:r>
      <w:r>
        <w:rPr>
          <w:rFonts w:ascii="Calibri" w:hAnsi="Calibri" w:cs="Arial"/>
          <w:bCs/>
          <w:sz w:val="22"/>
          <w:szCs w:val="22"/>
          <w:lang w:val="en-GB"/>
        </w:rPr>
        <w:t xml:space="preserve"> </w:t>
      </w:r>
      <w:r w:rsidRPr="003C7B8A">
        <w:rPr>
          <w:rFonts w:ascii="Calibri" w:hAnsi="Calibri" w:cs="Arial"/>
          <w:bCs/>
          <w:sz w:val="22"/>
          <w:szCs w:val="22"/>
          <w:lang w:val="en-GB"/>
        </w:rPr>
        <w:fldChar w:fldCharType="begin" w:fldLock="1"/>
      </w:r>
      <w:r w:rsidR="008425D9">
        <w:rPr>
          <w:rFonts w:ascii="Calibri" w:hAnsi="Calibri" w:cs="Arial"/>
          <w:bCs/>
          <w:sz w:val="22"/>
          <w:szCs w:val="22"/>
          <w:lang w:val="en-GB"/>
        </w:rPr>
        <w:instrText>ADDIN CSL_CITATION { "citationItems" : [ { "id" : "ITEM-1", "itemData" : { "ISSN" : "1743-4254", "PMID" : "16130938", "abstract" : "Despite years of research and hundreds of reports on tumor markers in oncology, the number of markers that have emerged as clinically useful is pitifully small. Often initially reported studies of a marker show great promise, but subsequent studies on the same or related markers yield inconsistent conclusions or stand in direct contradiction to the promising results. It is imperative that we attempt to understand the reasons why multiple studies of the same marker lead to differing conclusions. A variety of methodological problems have been cited to explain these discrepancies. Unfortunately, many tumor marker studies have not been reported in a rigorous fashion, and published articles often lack sufficient information to allow adequate assessment of the quality of the study or the generalizability of study results. The development of guidelines for the reporting of tumor marker studies was a major recommendation of the National Cancer Institute-European Organisation for Research and Treatment of Cancer (NCI-EORTC) First International Meeting on Cancer Diagnostics in 2000. As for the successful CONSORT initiative for randomized trials and for the STARD statement for diagnostic studies, we suggest guidelines to provide relevant information about the study design, preplanned hypotheses, patient and specimen characteristics, assay methods, and statistical analysis methods. In addition, the guidelines provide helpful suggestions on how to present data and important elements to include in discussions. The goal of these guidelines is to encourage transparent and complete reporting so that the relevant information will be available to others to help them to judge the usefulness of the data and understand the context in which the conclusions apply.", "author" : [ { "dropping-particle" : "", "family" : "McShane", "given" : "Lisa M", "non-dropping-particle" : "", "parse-names" : false, "suffix" : "" }, { "dropping-particle" : "", "family" : "Altman", "given" : "Douglas G", "non-dropping-particle" : "", "parse-names" : false, "suffix" : "" }, { "dropping-particle" : "", "family" : "Sauerbrei", "given" : "Willi", "non-dropping-particle" : "", "parse-names" : false, "suffix" : "" }, { "dropping-particle" : "", "family" : "Taube", "given" : "Sheila E", "non-dropping-particle" : "", "parse-names" : false, "suffix" : "" }, { "dropping-particle" : "", "family" : "Gion", "given" : "Massimo", "non-dropping-particle" : "", "parse-names" : false, "suffix" : "" }, { "dropping-particle" : "", "family" : "Clark", "given" : "Gary M", "non-dropping-particle" : "", "parse-names" : false, "suffix" : "" } ], "container-title" : "Nature clinical practice. Oncology", "id" : "ITEM-1", "issue" : "8", "issued" : { "date-parts" : [ [ "2005", "8" ] ] }, "page" : "416-22", "title" : "REporting recommendations for tumor MARKer prognostic studies (REMARK).", "type" : "article-journal", "volume" : "2" }, "uris" : [ "http://www.mendeley.com/documents/?uuid=84f38608-2cb6-4b95-aaef-2d17c2f90b56" ] }, { "id" : "ITEM-2", "itemData" : { "DOI" : "10.1371/journal.pmed.1001216", "ISSN" : "1549-1676", "PMID" : "22675273", "abstract" : "The REMARK (Reporting Recommendations for Tumor Marker Prognostic Studies) guideline includes a checklist which aims to improve the reporting of these types of studies. Here, we expand on the REMARK checklist to enhance its use and effectiveness through better understanding of the intent of each item and why the information is important to report. Each checklist item of the REMARK guideline is explained in detail and accompanied by published examples of good reporting. The paper provides a comprehensive overview to educate on good reporting and provide a valuable reference of issues to consider when designing, conducting, and analyzing tumor marker studies and prognostic studies in medicine in general.", "author" : [ { "dropping-particle" : "", "family" : "Altman", "given" : "Douglas G", "non-dropping-particle" : "", "parse-names" : false, "suffix" : "" }, { "dropping-particle" : "", "family" : "McShane", "given" : "Lisa M", "non-dropping-particle" : "", "parse-names" : false, "suffix" : "" }, { "dropping-particle" : "", "family" : "Sauerbrei", "given" : "Willi", "non-dropping-particle" : "", "parse-names" : false, "suffix" : "" }, { "dropping-particle" : "", "family" : "Taube", "given" : "Sheila E", "non-dropping-particle" : "", "parse-names" : false, "suffix" : "" } ], "container-title" : "PLoS medicine", "id" : "ITEM-2", "issue" : "5", "issued" : { "date-parts" : [ [ "2012", "1" ] ] }, "page" : "e1001216", "publisher" : "Public Library of Science", "title" : "Reporting Recommendations for Tumor Marker Prognostic Studies (REMARK): explanation and elaboration.", "type" : "article-journal", "volume" : "9" }, "uris" : [ "http://www.mendeley.com/documents/?uuid=a7187f3a-8776-4197-8129-22a166fe1fda" ] } ], "mendeley" : { "manualFormatting" : "[14]", "previouslyFormattedCitation" : "[33, 34]" }, "properties" : { "noteIndex" : 0 }, "schema" : "https://github.com/citation-style-language/schema/raw/master/csl-citation.json" }</w:instrText>
      </w:r>
      <w:r w:rsidRPr="003C7B8A">
        <w:rPr>
          <w:rFonts w:ascii="Calibri" w:hAnsi="Calibri" w:cs="Arial"/>
          <w:bCs/>
          <w:sz w:val="22"/>
          <w:szCs w:val="22"/>
          <w:lang w:val="en-GB"/>
        </w:rPr>
        <w:fldChar w:fldCharType="separate"/>
      </w:r>
      <w:r w:rsidR="008425D9">
        <w:rPr>
          <w:rFonts w:ascii="Calibri" w:hAnsi="Calibri" w:cs="Arial"/>
          <w:bCs/>
          <w:noProof/>
          <w:sz w:val="22"/>
          <w:szCs w:val="22"/>
          <w:lang w:val="en-GB"/>
        </w:rPr>
        <w:t>[14</w:t>
      </w:r>
      <w:r w:rsidRPr="00B678E4">
        <w:rPr>
          <w:rFonts w:ascii="Calibri" w:hAnsi="Calibri" w:cs="Arial"/>
          <w:bCs/>
          <w:noProof/>
          <w:sz w:val="22"/>
          <w:szCs w:val="22"/>
          <w:lang w:val="en-GB"/>
        </w:rPr>
        <w:t>]</w:t>
      </w:r>
      <w:r w:rsidRPr="003C7B8A">
        <w:rPr>
          <w:rFonts w:ascii="Calibri" w:hAnsi="Calibri" w:cs="Arial"/>
          <w:bCs/>
          <w:sz w:val="22"/>
          <w:szCs w:val="22"/>
          <w:lang w:val="en-GB"/>
        </w:rPr>
        <w:fldChar w:fldCharType="end"/>
      </w:r>
      <w:r w:rsidRPr="003C7B8A">
        <w:rPr>
          <w:rFonts w:ascii="Calibri" w:hAnsi="Calibri" w:cs="Arial"/>
          <w:bCs/>
          <w:sz w:val="22"/>
          <w:szCs w:val="22"/>
          <w:lang w:val="en-GB"/>
        </w:rPr>
        <w:t>.</w:t>
      </w:r>
      <w:r>
        <w:rPr>
          <w:rFonts w:ascii="Calibri" w:hAnsi="Calibri" w:cs="Arial"/>
          <w:bCs/>
          <w:sz w:val="22"/>
          <w:szCs w:val="22"/>
          <w:lang w:val="en-GB"/>
        </w:rPr>
        <w:t xml:space="preserve"> </w:t>
      </w:r>
    </w:p>
    <w:p w:rsidR="005F7EE7" w:rsidRDefault="005F7EE7" w:rsidP="00D53F99">
      <w:pPr>
        <w:pStyle w:val="NormalWeb1"/>
        <w:spacing w:before="0" w:after="0" w:line="480" w:lineRule="auto"/>
        <w:rPr>
          <w:rFonts w:ascii="Calibri" w:hAnsi="Calibri" w:cs="Arial"/>
          <w:b/>
          <w:bCs/>
          <w:sz w:val="22"/>
          <w:szCs w:val="22"/>
          <w:lang w:val="en-GB"/>
        </w:rPr>
      </w:pPr>
    </w:p>
    <w:p w:rsidR="005F7EE7" w:rsidRPr="00066495" w:rsidRDefault="005F7EE7" w:rsidP="00D53F99">
      <w:pPr>
        <w:pStyle w:val="NormalWeb1"/>
        <w:spacing w:before="0" w:after="0" w:line="480" w:lineRule="auto"/>
        <w:rPr>
          <w:rFonts w:ascii="Calibri" w:hAnsi="Calibri" w:cs="Arial"/>
          <w:b/>
          <w:bCs/>
          <w:sz w:val="22"/>
          <w:szCs w:val="22"/>
          <w:lang w:val="en-GB"/>
        </w:rPr>
      </w:pPr>
      <w:r w:rsidRPr="00066495">
        <w:rPr>
          <w:rFonts w:ascii="Calibri" w:hAnsi="Calibri" w:cs="Arial"/>
          <w:b/>
          <w:bCs/>
          <w:sz w:val="22"/>
          <w:szCs w:val="22"/>
          <w:lang w:val="en-GB"/>
        </w:rPr>
        <w:t>DNA</w:t>
      </w:r>
      <w:r>
        <w:rPr>
          <w:rFonts w:ascii="Calibri" w:hAnsi="Calibri" w:cs="Arial"/>
          <w:b/>
          <w:bCs/>
          <w:sz w:val="22"/>
          <w:szCs w:val="22"/>
          <w:lang w:val="en-GB"/>
        </w:rPr>
        <w:t xml:space="preserve"> and RNA</w:t>
      </w:r>
      <w:r w:rsidRPr="00066495">
        <w:rPr>
          <w:rFonts w:ascii="Calibri" w:hAnsi="Calibri" w:cs="Arial"/>
          <w:b/>
          <w:bCs/>
          <w:sz w:val="22"/>
          <w:szCs w:val="22"/>
          <w:lang w:val="en-GB"/>
        </w:rPr>
        <w:t xml:space="preserve"> isolation </w:t>
      </w:r>
    </w:p>
    <w:p w:rsidR="005F7EE7" w:rsidRPr="00585413" w:rsidRDefault="005F7EE7" w:rsidP="00D53F99">
      <w:pPr>
        <w:pStyle w:val="NormalWeb1"/>
        <w:spacing w:before="0" w:after="0" w:line="480" w:lineRule="auto"/>
        <w:rPr>
          <w:rFonts w:ascii="Calibri" w:hAnsi="Calibri" w:cs="Arial"/>
          <w:bCs/>
          <w:sz w:val="22"/>
          <w:szCs w:val="22"/>
          <w:lang w:val="en-US"/>
        </w:rPr>
      </w:pPr>
      <w:r w:rsidRPr="00066495">
        <w:rPr>
          <w:rFonts w:ascii="Calibri" w:hAnsi="Calibri" w:cs="Arial"/>
          <w:bCs/>
          <w:sz w:val="22"/>
          <w:szCs w:val="22"/>
          <w:lang w:val="en-GB"/>
        </w:rPr>
        <w:t>Gen</w:t>
      </w:r>
      <w:r>
        <w:rPr>
          <w:rFonts w:ascii="Calibri" w:hAnsi="Calibri" w:cs="Arial"/>
          <w:bCs/>
          <w:sz w:val="22"/>
          <w:szCs w:val="22"/>
          <w:lang w:val="en-GB"/>
        </w:rPr>
        <w:t>omic DNA was isolated from cryo</w:t>
      </w:r>
      <w:r w:rsidRPr="00066495">
        <w:rPr>
          <w:rFonts w:ascii="Calibri" w:hAnsi="Calibri" w:cs="Arial"/>
          <w:bCs/>
          <w:sz w:val="22"/>
          <w:szCs w:val="22"/>
          <w:lang w:val="en-GB"/>
        </w:rPr>
        <w:t>conserved</w:t>
      </w:r>
      <w:r w:rsidRPr="00E82295">
        <w:rPr>
          <w:rFonts w:ascii="Calibri" w:hAnsi="Calibri" w:cs="Arial"/>
          <w:bCs/>
          <w:sz w:val="22"/>
          <w:szCs w:val="22"/>
          <w:lang w:val="en-US"/>
        </w:rPr>
        <w:t xml:space="preserve"> tumor</w:t>
      </w:r>
      <w:r w:rsidRPr="00066495">
        <w:rPr>
          <w:rFonts w:ascii="Calibri" w:hAnsi="Calibri" w:cs="Arial"/>
          <w:bCs/>
          <w:sz w:val="22"/>
          <w:szCs w:val="22"/>
          <w:lang w:val="en-GB"/>
        </w:rPr>
        <w:t xml:space="preserve"> tissues using Charge Switch </w:t>
      </w:r>
      <w:proofErr w:type="spellStart"/>
      <w:r w:rsidRPr="00066495">
        <w:rPr>
          <w:rFonts w:ascii="Calibri" w:hAnsi="Calibri" w:cs="Arial"/>
          <w:bCs/>
          <w:sz w:val="22"/>
          <w:szCs w:val="22"/>
          <w:lang w:val="en-GB"/>
        </w:rPr>
        <w:t>gDNA</w:t>
      </w:r>
      <w:proofErr w:type="spellEnd"/>
      <w:r w:rsidRPr="00066495">
        <w:rPr>
          <w:rFonts w:ascii="Calibri" w:hAnsi="Calibri" w:cs="Arial"/>
          <w:bCs/>
          <w:sz w:val="22"/>
          <w:szCs w:val="22"/>
          <w:lang w:val="en-GB"/>
        </w:rPr>
        <w:t xml:space="preserve"> Micro Tissue Kit (Invitrogen) according to the manufacturer’s protocol. </w:t>
      </w:r>
      <w:r w:rsidRPr="00066495">
        <w:rPr>
          <w:rFonts w:ascii="Calibri" w:hAnsi="Calibri" w:cs="Arial"/>
          <w:bCs/>
          <w:sz w:val="22"/>
          <w:szCs w:val="22"/>
          <w:lang w:val="en-US"/>
        </w:rPr>
        <w:t>Total RNA w</w:t>
      </w:r>
      <w:r>
        <w:rPr>
          <w:rFonts w:ascii="Calibri" w:hAnsi="Calibri" w:cs="Arial"/>
          <w:bCs/>
          <w:sz w:val="22"/>
          <w:szCs w:val="22"/>
          <w:lang w:val="en-US"/>
        </w:rPr>
        <w:t>as</w:t>
      </w:r>
      <w:r w:rsidRPr="00066495">
        <w:rPr>
          <w:rFonts w:ascii="Calibri" w:hAnsi="Calibri" w:cs="Arial"/>
          <w:bCs/>
          <w:sz w:val="22"/>
          <w:szCs w:val="22"/>
          <w:lang w:val="en-US"/>
        </w:rPr>
        <w:t xml:space="preserve"> isolated using </w:t>
      </w:r>
      <w:proofErr w:type="spellStart"/>
      <w:r w:rsidRPr="00066495">
        <w:rPr>
          <w:rFonts w:ascii="Calibri" w:hAnsi="Calibri" w:cs="Arial"/>
          <w:bCs/>
          <w:sz w:val="22"/>
          <w:szCs w:val="22"/>
          <w:lang w:val="en-US"/>
        </w:rPr>
        <w:t>TRIzol</w:t>
      </w:r>
      <w:proofErr w:type="spellEnd"/>
      <w:r w:rsidRPr="00066495">
        <w:rPr>
          <w:rFonts w:ascii="Calibri" w:hAnsi="Calibri" w:cs="Arial"/>
          <w:bCs/>
          <w:sz w:val="22"/>
          <w:szCs w:val="22"/>
          <w:lang w:val="en-US"/>
        </w:rPr>
        <w:t xml:space="preserve"> reagent </w:t>
      </w:r>
      <w:r w:rsidRPr="00066495">
        <w:rPr>
          <w:rFonts w:ascii="Calibri" w:hAnsi="Calibri" w:cs="Arial"/>
          <w:bCs/>
          <w:sz w:val="22"/>
          <w:szCs w:val="22"/>
          <w:lang w:val="en-US"/>
        </w:rPr>
        <w:lastRenderedPageBreak/>
        <w:t>(Invitrogen)</w:t>
      </w:r>
      <w:r>
        <w:rPr>
          <w:rFonts w:ascii="Calibri" w:hAnsi="Calibri" w:cs="Arial"/>
          <w:bCs/>
          <w:sz w:val="22"/>
          <w:szCs w:val="22"/>
          <w:lang w:val="en-US"/>
        </w:rPr>
        <w:t>,</w:t>
      </w:r>
      <w:r w:rsidRPr="00066495">
        <w:rPr>
          <w:rFonts w:ascii="Calibri" w:hAnsi="Calibri" w:cs="Arial"/>
          <w:bCs/>
          <w:sz w:val="22"/>
          <w:szCs w:val="22"/>
          <w:lang w:val="en-US"/>
        </w:rPr>
        <w:t xml:space="preserve"> </w:t>
      </w:r>
      <w:r w:rsidRPr="00585413">
        <w:rPr>
          <w:rFonts w:ascii="Calibri" w:hAnsi="Calibri" w:cs="Arial"/>
          <w:bCs/>
          <w:sz w:val="22"/>
          <w:szCs w:val="22"/>
          <w:lang w:val="en-US"/>
        </w:rPr>
        <w:t xml:space="preserve">including a DNase step. Eluted DNA and </w:t>
      </w:r>
      <w:r w:rsidRPr="00585413">
        <w:rPr>
          <w:rFonts w:ascii="Calibri" w:hAnsi="Calibri" w:cs="Arial"/>
          <w:bCs/>
          <w:sz w:val="22"/>
          <w:szCs w:val="22"/>
          <w:lang w:val="en-GB"/>
        </w:rPr>
        <w:t>RNA were quantified</w:t>
      </w:r>
      <w:r w:rsidRPr="00585413">
        <w:rPr>
          <w:rFonts w:ascii="Calibri" w:hAnsi="Calibri" w:cs="Arial"/>
          <w:sz w:val="22"/>
          <w:szCs w:val="22"/>
          <w:lang w:val="en-US"/>
        </w:rPr>
        <w:t xml:space="preserve"> using </w:t>
      </w:r>
      <w:proofErr w:type="spellStart"/>
      <w:r w:rsidRPr="00585413">
        <w:rPr>
          <w:rFonts w:ascii="Calibri" w:hAnsi="Calibri" w:cs="Arial"/>
          <w:sz w:val="22"/>
          <w:szCs w:val="22"/>
          <w:lang w:val="en-US"/>
        </w:rPr>
        <w:t>Nanodrop</w:t>
      </w:r>
      <w:proofErr w:type="spellEnd"/>
      <w:r w:rsidRPr="00585413">
        <w:rPr>
          <w:rFonts w:ascii="Calibri" w:hAnsi="Calibri" w:cs="Arial"/>
          <w:sz w:val="22"/>
          <w:szCs w:val="22"/>
          <w:lang w:val="en-US"/>
        </w:rPr>
        <w:t xml:space="preserve"> 1000 (</w:t>
      </w:r>
      <w:proofErr w:type="spellStart"/>
      <w:r w:rsidRPr="00585413">
        <w:rPr>
          <w:rFonts w:ascii="Calibri" w:hAnsi="Calibri" w:cs="Arial"/>
          <w:sz w:val="22"/>
          <w:szCs w:val="22"/>
          <w:lang w:val="en-US"/>
        </w:rPr>
        <w:t>Peqlab</w:t>
      </w:r>
      <w:proofErr w:type="spellEnd"/>
      <w:r w:rsidRPr="00585413">
        <w:rPr>
          <w:rFonts w:ascii="Calibri" w:hAnsi="Calibri" w:cs="Arial"/>
          <w:sz w:val="22"/>
          <w:szCs w:val="22"/>
          <w:lang w:val="en-US"/>
        </w:rPr>
        <w:t xml:space="preserve"> </w:t>
      </w:r>
      <w:proofErr w:type="spellStart"/>
      <w:r w:rsidRPr="00585413">
        <w:rPr>
          <w:rFonts w:asciiTheme="minorHAnsi" w:hAnsiTheme="minorHAnsi" w:cs="Arial"/>
          <w:sz w:val="22"/>
          <w:szCs w:val="22"/>
          <w:lang w:val="en-US"/>
        </w:rPr>
        <w:t>Biotechnologie</w:t>
      </w:r>
      <w:proofErr w:type="spellEnd"/>
      <w:r w:rsidRPr="00585413">
        <w:rPr>
          <w:rFonts w:asciiTheme="minorHAnsi" w:hAnsiTheme="minorHAnsi" w:cs="Arial"/>
          <w:sz w:val="22"/>
          <w:szCs w:val="22"/>
          <w:lang w:val="en-US"/>
        </w:rPr>
        <w:t>).</w:t>
      </w:r>
      <w:r w:rsidR="004B1F3B" w:rsidRPr="00585413">
        <w:rPr>
          <w:rFonts w:asciiTheme="minorHAnsi" w:hAnsiTheme="minorHAnsi" w:cs="Arial"/>
          <w:sz w:val="22"/>
          <w:szCs w:val="22"/>
          <w:lang w:val="en-US"/>
        </w:rPr>
        <w:t xml:space="preserve"> </w:t>
      </w:r>
      <w:r w:rsidR="000921D3" w:rsidRPr="00585413">
        <w:rPr>
          <w:rFonts w:asciiTheme="minorHAnsi" w:hAnsiTheme="minorHAnsi" w:cs="Arial"/>
          <w:bCs/>
          <w:sz w:val="22"/>
          <w:szCs w:val="22"/>
          <w:lang w:val="en-GB"/>
        </w:rPr>
        <w:t xml:space="preserve">RNA quality was proven using 2100 </w:t>
      </w:r>
      <w:proofErr w:type="spellStart"/>
      <w:r w:rsidR="000921D3" w:rsidRPr="00585413">
        <w:rPr>
          <w:rFonts w:asciiTheme="minorHAnsi" w:hAnsiTheme="minorHAnsi" w:cs="Arial"/>
          <w:bCs/>
          <w:sz w:val="22"/>
          <w:szCs w:val="22"/>
          <w:lang w:val="en-GB"/>
        </w:rPr>
        <w:t>Bioanalyzer</w:t>
      </w:r>
      <w:proofErr w:type="spellEnd"/>
      <w:r w:rsidR="000921D3" w:rsidRPr="00585413">
        <w:rPr>
          <w:rFonts w:asciiTheme="minorHAnsi" w:hAnsiTheme="minorHAnsi" w:cs="Arial"/>
          <w:bCs/>
          <w:sz w:val="22"/>
          <w:szCs w:val="22"/>
          <w:lang w:val="en-GB"/>
        </w:rPr>
        <w:t xml:space="preserve"> (Agilent).</w:t>
      </w:r>
      <w:r w:rsidR="000921D3" w:rsidRPr="00585413">
        <w:rPr>
          <w:rFonts w:ascii="Arial" w:hAnsi="Arial" w:cs="Arial"/>
          <w:bCs/>
          <w:sz w:val="20"/>
          <w:szCs w:val="20"/>
          <w:lang w:val="en-GB"/>
        </w:rPr>
        <w:t xml:space="preserve"> </w:t>
      </w:r>
    </w:p>
    <w:p w:rsidR="005F7EE7" w:rsidRPr="00585413" w:rsidRDefault="005F7EE7" w:rsidP="00D53F99">
      <w:pPr>
        <w:spacing w:line="480" w:lineRule="auto"/>
        <w:rPr>
          <w:rFonts w:asciiTheme="minorHAnsi" w:hAnsiTheme="minorHAnsi" w:cs="Arial"/>
          <w:b/>
          <w:bCs/>
          <w:kern w:val="1"/>
          <w:sz w:val="22"/>
          <w:szCs w:val="22"/>
          <w:lang w:val="en-GB" w:eastAsia="ar-SA"/>
        </w:rPr>
      </w:pPr>
    </w:p>
    <w:p w:rsidR="005F7EE7" w:rsidRPr="00585413" w:rsidRDefault="005F7EE7" w:rsidP="00D53F99">
      <w:pPr>
        <w:pStyle w:val="NormalWeb1"/>
        <w:spacing w:before="0" w:after="0" w:line="480" w:lineRule="auto"/>
        <w:rPr>
          <w:rFonts w:asciiTheme="minorHAnsi" w:hAnsiTheme="minorHAnsi" w:cs="Arial"/>
          <w:b/>
          <w:bCs/>
          <w:sz w:val="22"/>
          <w:szCs w:val="22"/>
          <w:lang w:val="en-GB"/>
        </w:rPr>
      </w:pPr>
      <w:r w:rsidRPr="00585413">
        <w:rPr>
          <w:rFonts w:asciiTheme="minorHAnsi" w:hAnsiTheme="minorHAnsi" w:cs="Arial"/>
          <w:b/>
          <w:bCs/>
          <w:sz w:val="22"/>
          <w:szCs w:val="22"/>
          <w:lang w:val="en-GB"/>
        </w:rPr>
        <w:t>KRAS and BRAF mutation analyses</w:t>
      </w:r>
    </w:p>
    <w:p w:rsidR="005F7EE7" w:rsidRDefault="005F7EE7" w:rsidP="00D53F99">
      <w:pPr>
        <w:pStyle w:val="NormalWeb1"/>
        <w:spacing w:before="0" w:after="0" w:line="480" w:lineRule="auto"/>
        <w:rPr>
          <w:rFonts w:asciiTheme="minorHAnsi" w:hAnsiTheme="minorHAnsi" w:cs="Arial"/>
          <w:sz w:val="22"/>
          <w:szCs w:val="22"/>
          <w:lang w:val="en-GB"/>
        </w:rPr>
      </w:pPr>
      <w:r w:rsidRPr="00585413">
        <w:rPr>
          <w:rFonts w:asciiTheme="minorHAnsi" w:hAnsiTheme="minorHAnsi" w:cs="Arial"/>
          <w:sz w:val="22"/>
          <w:szCs w:val="22"/>
          <w:lang w:val="en-GB"/>
        </w:rPr>
        <w:t>The extracted DNA was subjected to PCR and KRAS (forward primer, 5’-</w:t>
      </w:r>
      <w:r w:rsidRPr="00585413">
        <w:rPr>
          <w:rFonts w:asciiTheme="minorHAnsi" w:hAnsiTheme="minorHAnsi" w:cs="Arial"/>
          <w:sz w:val="22"/>
          <w:szCs w:val="22"/>
          <w:lang w:val="en-US"/>
        </w:rPr>
        <w:t xml:space="preserve">GGT GGA GTA TTT GAT AGT GTA TTA ACC-3’; reverse primer, 5’-AGA ATG GTC CTG CAC CAG TAA-3’) </w:t>
      </w:r>
      <w:r w:rsidRPr="00585413">
        <w:rPr>
          <w:rFonts w:asciiTheme="minorHAnsi" w:hAnsiTheme="minorHAnsi" w:cs="Arial"/>
          <w:sz w:val="22"/>
          <w:szCs w:val="22"/>
          <w:lang w:val="en-GB"/>
        </w:rPr>
        <w:t>and BRAF (forward primer, 5’-</w:t>
      </w:r>
      <w:r w:rsidRPr="00585413">
        <w:rPr>
          <w:rFonts w:asciiTheme="minorHAnsi" w:hAnsiTheme="minorHAnsi" w:cs="Arial"/>
          <w:sz w:val="22"/>
          <w:szCs w:val="22"/>
          <w:lang w:val="en-US"/>
        </w:rPr>
        <w:t>CCTAAACTCTTCATAATGCTTGCTC-3’; reverse primer, 5’-</w:t>
      </w:r>
      <w:r w:rsidRPr="00585413">
        <w:rPr>
          <w:rFonts w:asciiTheme="minorHAnsi" w:hAnsiTheme="minorHAnsi" w:cs="Arial"/>
          <w:sz w:val="22"/>
          <w:szCs w:val="22"/>
          <w:lang w:val="en-GB"/>
        </w:rPr>
        <w:t>CCACAAAATGGATCCAGACA</w:t>
      </w:r>
      <w:r w:rsidRPr="00A1732D">
        <w:rPr>
          <w:rFonts w:asciiTheme="minorHAnsi" w:hAnsiTheme="minorHAnsi" w:cs="Arial"/>
          <w:sz w:val="22"/>
          <w:szCs w:val="22"/>
          <w:lang w:val="en-GB"/>
        </w:rPr>
        <w:t>-3’</w:t>
      </w:r>
      <w:r w:rsidRPr="00C04588">
        <w:rPr>
          <w:rFonts w:asciiTheme="minorHAnsi" w:hAnsiTheme="minorHAnsi" w:cs="Arial"/>
          <w:sz w:val="22"/>
          <w:szCs w:val="22"/>
          <w:lang w:val="en-US"/>
        </w:rPr>
        <w:t>)</w:t>
      </w:r>
      <w:r w:rsidRPr="00A1732D">
        <w:rPr>
          <w:rFonts w:asciiTheme="minorHAnsi" w:hAnsiTheme="minorHAnsi" w:cs="Arial"/>
          <w:sz w:val="22"/>
          <w:szCs w:val="22"/>
          <w:lang w:val="en-GB"/>
        </w:rPr>
        <w:t xml:space="preserve"> sequences were amplified. The PCR conditions were as follows: 95°C for 5 minutes, 40 cycles of 95°C for 30 seconds, 61°C for 30 seconds, and </w:t>
      </w:r>
      <w:r w:rsidRPr="00C04588">
        <w:rPr>
          <w:rFonts w:asciiTheme="minorHAnsi" w:hAnsiTheme="minorHAnsi" w:cs="Arial"/>
          <w:sz w:val="22"/>
          <w:szCs w:val="22"/>
          <w:lang w:val="en-US"/>
        </w:rPr>
        <w:t>72°C for 40 seconds, 72°C for 5 minutes</w:t>
      </w:r>
      <w:r>
        <w:rPr>
          <w:rFonts w:asciiTheme="minorHAnsi" w:hAnsiTheme="minorHAnsi" w:cs="Arial"/>
          <w:sz w:val="22"/>
          <w:szCs w:val="22"/>
          <w:lang w:val="en-US"/>
        </w:rPr>
        <w:t xml:space="preserve"> </w:t>
      </w:r>
      <w:r w:rsidRPr="000D63C6">
        <w:rPr>
          <w:rFonts w:asciiTheme="minorHAnsi" w:hAnsiTheme="minorHAnsi" w:cs="Arial"/>
          <w:color w:val="000000"/>
          <w:sz w:val="22"/>
          <w:szCs w:val="22"/>
          <w:highlight w:val="yellow"/>
        </w:rPr>
        <w:fldChar w:fldCharType="begin" w:fldLock="1"/>
      </w:r>
      <w:r w:rsidR="008425D9" w:rsidRPr="000D63C6">
        <w:rPr>
          <w:rFonts w:asciiTheme="minorHAnsi" w:hAnsiTheme="minorHAnsi" w:cs="Arial"/>
          <w:sz w:val="22"/>
          <w:szCs w:val="22"/>
          <w:highlight w:val="yellow"/>
          <w:lang w:val="en-US"/>
        </w:rPr>
        <w:instrText>ADDIN CSL_CITATION { "citationItems" : [ { "id" : "ITEM-1", "itemData" : { "DOI" : "10.1158/0008-5472.CAN-07-0343", "ISSN" : "0008-5472", "PMID" : "17440063", "abstract" : "We previously reported that colon carcinomas, adenomas, and hyperplastic polyps exhibiting a serrated histology were very likely to possess BRAF mutations, whereas when these same advanced colonic lesions exhibited non-serrated histology, they were wild type for BRAF; among hyperplastic polyps, KRAS mutations were found mainly in a non-serrated variant. On this basis, we predicted that hyperplastic aberrant crypt foci (ACF), a putative precancerous lesion found in the colon, exhibiting a serrated phenotype would also harbor BRAF mutations and that non-serrated ACF would not. In contrast, KRAS mutations would be found more often in the non-serrated ACF. We examined 55 ACF collected during screening colonoscopy from a total of 28 patients. Following laser capture microdissection, DNA was isolated, and mutations in BRAF and KRAS were determined by direct PCR sequencing. When hyperplastic lesions were further classified into serrated and non-serrated histologies, there was a strong inverse relationship between BRAF and KRAS mutations: a BRAF(V600E) mutation was identified in 10 of 16 serrated compared with 1 of 33 non-serrated lesions (P = 0.001); conversely, KRAS mutations were present in 3 of 16 serrated compared with 14 of 33 non-serrated lesions. Our finding of a strong association between BRAF mutations and serrated histology in hyperplastic ACF supports the idea that these lesions are an early, sentinel, or a potentially initiating step on the serrated pathway to colorectal carcinoma.", "author" : [ { "dropping-particle" : "", "family" : "Rosenberg", "given" : "Daniel W", "non-dropping-particle" : "", "parse-names" : false, "suffix" : "" }, { "dropping-particle" : "", "family" : "Yang", "given" : "Shi", "non-dropping-particle" : "", "parse-names" : false, "suffix" : "" }, { "dropping-particle" : "", "family" : "Pleau", "given" : "Devon C", "non-dropping-particle" : "", "parse-names" : false, "suffix" : "" }, { "dropping-particle" : "", "family" : "Greenspan", "given" : "Emily J", "non-dropping-particle" : "", "parse-names" : false, "suffix" : "" }, { "dropping-particle" : "", "family" : "Stevens", "given" : "Richard G", "non-dropping-particle" : "", "parse-names" : false, "suffix" : "" }, { "dropping-particle" : "V", "family" : "Rajan", "given" : "Thiruchandurai", "non-dropping-particle" : "", "parse-names" : false, "suffix" : "" }, { "dropping-particle" : "", "family" : "Heinen", "given" : "Christopher D", "non-dropping-particle" : "", "parse-names" : false, "suffix" : "" }, { "dropping-particle" : "", "family" : "Levine", "given" : "Joel", "non-dropping-particle" : "", "parse-names" : false, "suffix" : "" }, { "dropping-particle" : "", "family" : "Zhou", "given" : "Yijian", "non-dropping-particle" : "", "parse-names" : false, "suffix" : "" }, { "dropping-particle" : "", "family" : "O'Brien", "given" : "Michael J", "non-dropping-particle" : "", "parse-names" : false, "suffix" : "" } ], "container-title" : "Cancer research", "id" : "ITEM-1", "issue" : "8", "issued" : { "date-parts" : [ [ "2007", "4", "15" ] ] }, "page" : "3551-4", "title" : "Mutations in BRAF and KRAS differentially distinguish serrated versus non-serrated hyperplastic aberrant crypt foci in humans.", "type" : "article-journal", "volume" : "67" }, "uris" : [ "http://www.mendeley.com/documents/?uuid=b315cbc2-1069-4e0c-b6d6-3ab27c077ca8" ] } ], "mendeley" : { "manualFormatting" : "[16]", "previouslyFormattedCitation" : "[35]" }, "properties" : { "noteIndex" : 0 }, "schema" : "https://github.com/citation-style-language/schema/raw/master/csl-citation.json" }</w:instrText>
      </w:r>
      <w:r w:rsidRPr="000D63C6">
        <w:rPr>
          <w:rFonts w:asciiTheme="minorHAnsi" w:hAnsiTheme="minorHAnsi" w:cs="Arial"/>
          <w:color w:val="000000"/>
          <w:sz w:val="22"/>
          <w:szCs w:val="22"/>
          <w:highlight w:val="yellow"/>
        </w:rPr>
        <w:fldChar w:fldCharType="separate"/>
      </w:r>
      <w:r w:rsidR="000D63C6" w:rsidRPr="000D63C6">
        <w:rPr>
          <w:rFonts w:asciiTheme="minorHAnsi" w:hAnsiTheme="minorHAnsi" w:cs="Arial"/>
          <w:noProof/>
          <w:sz w:val="22"/>
          <w:szCs w:val="22"/>
          <w:highlight w:val="yellow"/>
          <w:lang w:val="en-US"/>
        </w:rPr>
        <w:t>[15</w:t>
      </w:r>
      <w:r w:rsidRPr="000D63C6">
        <w:rPr>
          <w:rFonts w:asciiTheme="minorHAnsi" w:hAnsiTheme="minorHAnsi" w:cs="Arial"/>
          <w:noProof/>
          <w:sz w:val="22"/>
          <w:szCs w:val="22"/>
          <w:highlight w:val="yellow"/>
          <w:lang w:val="en-US"/>
        </w:rPr>
        <w:t>]</w:t>
      </w:r>
      <w:r w:rsidRPr="000D63C6">
        <w:rPr>
          <w:rFonts w:asciiTheme="minorHAnsi" w:hAnsiTheme="minorHAnsi" w:cs="Arial"/>
          <w:color w:val="000000"/>
          <w:sz w:val="22"/>
          <w:szCs w:val="22"/>
          <w:highlight w:val="yellow"/>
        </w:rPr>
        <w:fldChar w:fldCharType="end"/>
      </w:r>
      <w:r w:rsidRPr="000D63C6">
        <w:rPr>
          <w:rFonts w:asciiTheme="minorHAnsi" w:hAnsiTheme="minorHAnsi" w:cs="Arial"/>
          <w:sz w:val="22"/>
          <w:szCs w:val="22"/>
          <w:highlight w:val="yellow"/>
          <w:lang w:val="en-US"/>
        </w:rPr>
        <w:t>.</w:t>
      </w:r>
      <w:r w:rsidRPr="00C04588">
        <w:rPr>
          <w:rFonts w:asciiTheme="minorHAnsi" w:hAnsiTheme="minorHAnsi" w:cs="Arial"/>
          <w:sz w:val="22"/>
          <w:szCs w:val="22"/>
          <w:lang w:val="en-US"/>
        </w:rPr>
        <w:t xml:space="preserve"> PCR products were purified using </w:t>
      </w:r>
      <w:proofErr w:type="spellStart"/>
      <w:r w:rsidRPr="00C04588">
        <w:rPr>
          <w:rFonts w:asciiTheme="minorHAnsi" w:hAnsiTheme="minorHAnsi" w:cs="Arial"/>
          <w:sz w:val="22"/>
          <w:szCs w:val="22"/>
          <w:lang w:val="en-US"/>
        </w:rPr>
        <w:t>QIAquick®PCR</w:t>
      </w:r>
      <w:proofErr w:type="spellEnd"/>
      <w:r w:rsidRPr="00C04588">
        <w:rPr>
          <w:rFonts w:asciiTheme="minorHAnsi" w:hAnsiTheme="minorHAnsi" w:cs="Arial"/>
          <w:sz w:val="22"/>
          <w:szCs w:val="22"/>
          <w:lang w:val="en-US"/>
        </w:rPr>
        <w:t xml:space="preserve"> Purification Kit (</w:t>
      </w:r>
      <w:proofErr w:type="spellStart"/>
      <w:r w:rsidRPr="00C04588">
        <w:rPr>
          <w:rFonts w:asciiTheme="minorHAnsi" w:hAnsiTheme="minorHAnsi" w:cs="Arial"/>
          <w:sz w:val="22"/>
          <w:szCs w:val="22"/>
          <w:lang w:val="en-US"/>
        </w:rPr>
        <w:t>Qiagen</w:t>
      </w:r>
      <w:proofErr w:type="spellEnd"/>
      <w:r w:rsidRPr="00C04588">
        <w:rPr>
          <w:rFonts w:asciiTheme="minorHAnsi" w:hAnsiTheme="minorHAnsi" w:cs="Arial"/>
          <w:sz w:val="22"/>
          <w:szCs w:val="22"/>
          <w:lang w:val="en-US"/>
        </w:rPr>
        <w:t xml:space="preserve">) according to the manufacturer’s instruction and sent to </w:t>
      </w:r>
      <w:proofErr w:type="spellStart"/>
      <w:r w:rsidRPr="00C04588">
        <w:rPr>
          <w:rFonts w:asciiTheme="minorHAnsi" w:hAnsiTheme="minorHAnsi" w:cs="Arial"/>
          <w:sz w:val="22"/>
          <w:szCs w:val="22"/>
          <w:lang w:val="en-US"/>
        </w:rPr>
        <w:t>Stratec</w:t>
      </w:r>
      <w:proofErr w:type="spellEnd"/>
      <w:r w:rsidRPr="00C04588">
        <w:rPr>
          <w:rFonts w:asciiTheme="minorHAnsi" w:hAnsiTheme="minorHAnsi" w:cs="Arial"/>
          <w:sz w:val="22"/>
          <w:szCs w:val="22"/>
          <w:lang w:val="en-US"/>
        </w:rPr>
        <w:t xml:space="preserve"> (Berlin) sequencing service for sequencing. </w:t>
      </w:r>
      <w:r w:rsidRPr="00A1732D">
        <w:rPr>
          <w:rFonts w:asciiTheme="minorHAnsi" w:hAnsiTheme="minorHAnsi" w:cs="Arial"/>
          <w:sz w:val="22"/>
          <w:szCs w:val="22"/>
          <w:lang w:val="en-GB"/>
        </w:rPr>
        <w:t xml:space="preserve">As positive controls for KRAS, DNAs from the cell lines SW480 (KRAS G12 mutation) and HCT116 (KRAS G13 mutation) were included. DNA from the cell line Colo205 was included as positive control for BRAF V600 mutation. </w:t>
      </w:r>
    </w:p>
    <w:p w:rsidR="005F7EE7" w:rsidRPr="00AB4FED" w:rsidRDefault="005F7EE7" w:rsidP="00D53F99">
      <w:pPr>
        <w:pStyle w:val="NormalWeb1"/>
        <w:spacing w:before="0" w:after="0" w:line="480" w:lineRule="auto"/>
        <w:rPr>
          <w:rFonts w:ascii="Calibri" w:hAnsi="Calibri" w:cs="Arial"/>
          <w:b/>
          <w:bCs/>
          <w:sz w:val="22"/>
          <w:szCs w:val="22"/>
          <w:lang w:val="en-US"/>
        </w:rPr>
      </w:pPr>
    </w:p>
    <w:p w:rsidR="005F7EE7" w:rsidRPr="00585413" w:rsidRDefault="005F7EE7" w:rsidP="00D53F99">
      <w:pPr>
        <w:pStyle w:val="NormalWeb1"/>
        <w:spacing w:before="0" w:after="0" w:line="480" w:lineRule="auto"/>
        <w:rPr>
          <w:rFonts w:ascii="Calibri" w:hAnsi="Calibri" w:cs="Arial"/>
          <w:b/>
          <w:bCs/>
          <w:sz w:val="22"/>
          <w:szCs w:val="22"/>
          <w:lang w:val="en-GB"/>
        </w:rPr>
      </w:pPr>
      <w:r w:rsidRPr="00585413">
        <w:rPr>
          <w:rFonts w:ascii="Calibri" w:hAnsi="Calibri" w:cs="Arial"/>
          <w:b/>
          <w:bCs/>
          <w:sz w:val="22"/>
          <w:szCs w:val="22"/>
          <w:lang w:val="en-GB"/>
        </w:rPr>
        <w:t xml:space="preserve">Microsatellite analysis (MSI status) </w:t>
      </w:r>
    </w:p>
    <w:p w:rsidR="005F7EE7" w:rsidRPr="00585413" w:rsidRDefault="005F7EE7" w:rsidP="00D53F99">
      <w:pPr>
        <w:pStyle w:val="NormalWeb1"/>
        <w:spacing w:before="0" w:after="0" w:line="480" w:lineRule="auto"/>
        <w:rPr>
          <w:rFonts w:ascii="Calibri" w:hAnsi="Calibri" w:cs="Arial"/>
          <w:bCs/>
          <w:sz w:val="22"/>
          <w:szCs w:val="22"/>
          <w:lang w:val="en-GB"/>
        </w:rPr>
      </w:pPr>
      <w:r w:rsidRPr="00585413">
        <w:rPr>
          <w:rFonts w:ascii="Calibri" w:hAnsi="Calibri" w:cs="Arial"/>
          <w:bCs/>
          <w:sz w:val="22"/>
          <w:szCs w:val="22"/>
          <w:lang w:val="en-GB"/>
        </w:rPr>
        <w:t>DNA was</w:t>
      </w:r>
      <w:r w:rsidRPr="00585413">
        <w:rPr>
          <w:rFonts w:ascii="Calibri" w:hAnsi="Calibri" w:cs="Arial"/>
          <w:bCs/>
          <w:sz w:val="22"/>
          <w:szCs w:val="22"/>
          <w:lang w:val="en-US"/>
        </w:rPr>
        <w:t xml:space="preserve"> analyzed</w:t>
      </w:r>
      <w:r w:rsidRPr="00585413">
        <w:rPr>
          <w:rFonts w:ascii="Calibri" w:hAnsi="Calibri" w:cs="Arial"/>
          <w:bCs/>
          <w:sz w:val="22"/>
          <w:szCs w:val="22"/>
          <w:lang w:val="en-GB"/>
        </w:rPr>
        <w:t xml:space="preserve"> using the MSI Analysis System (Promega, Madison, USA) according to the manufacturer’s protocol, including five mononucleotides (NR-21, BAT-26, BAT-25, NR-24, MONO-27; genes SLC7A8, MSH2, c-kit, ZNF-2 and MAP4K3, respectively). </w:t>
      </w:r>
      <w:r w:rsidRPr="00585413">
        <w:rPr>
          <w:rFonts w:ascii="Calibri" w:hAnsi="Calibri"/>
          <w:sz w:val="22"/>
          <w:szCs w:val="22"/>
          <w:lang w:val="en-US"/>
        </w:rPr>
        <w:t xml:space="preserve">These mononucleotides are the most sensitive and specific markers for detection of MSI-H tumors. </w:t>
      </w:r>
      <w:r w:rsidRPr="00585413">
        <w:rPr>
          <w:rFonts w:ascii="Calibri" w:hAnsi="Calibri" w:cs="Arial"/>
          <w:bCs/>
          <w:sz w:val="22"/>
          <w:szCs w:val="22"/>
          <w:lang w:val="en-GB"/>
        </w:rPr>
        <w:t xml:space="preserve">In addition, two pentanucleotide markers were </w:t>
      </w:r>
      <w:r w:rsidRPr="00585413">
        <w:rPr>
          <w:rFonts w:ascii="Calibri" w:hAnsi="Calibri"/>
          <w:sz w:val="22"/>
          <w:szCs w:val="22"/>
          <w:lang w:val="en-US"/>
        </w:rPr>
        <w:t xml:space="preserve">included for identification of sample cross contaminations </w:t>
      </w:r>
      <w:r w:rsidRPr="000D63C6">
        <w:rPr>
          <w:rFonts w:ascii="Calibri" w:hAnsi="Calibri" w:cs="Arial"/>
          <w:bCs/>
          <w:sz w:val="22"/>
          <w:szCs w:val="22"/>
          <w:highlight w:val="yellow"/>
          <w:lang w:val="en-GB"/>
        </w:rPr>
        <w:fldChar w:fldCharType="begin" w:fldLock="1"/>
      </w:r>
      <w:r w:rsidR="008425D9" w:rsidRPr="000D63C6">
        <w:rPr>
          <w:rFonts w:ascii="Calibri" w:hAnsi="Calibri" w:cs="Arial"/>
          <w:bCs/>
          <w:sz w:val="22"/>
          <w:szCs w:val="22"/>
          <w:highlight w:val="yellow"/>
          <w:lang w:val="en-GB"/>
        </w:rPr>
        <w:instrText>ADDIN CSL_CITATION { "citationItems" : [ { "id" : "ITEM-1", "itemData" : { "ISSN" : "0278-0240", "PMID" : "15528789", "abstract" : "Determining whether a tumor exhibits microsatellite instability (MSI) is useful in identifying patients with hereditary non-polyposis colorectal cancer and sporadic gastrointestinal cancers with defective DNA mismatch repair (MMR). The assessment of MSI status aids in establishing a clinical prognosis and may be predictive of tumor response to chemotherapy. A reference panel of five markers was suggested for MSI analysis by a National Cancer Institute (NCI) workshop in 1997 that has helped to standardize testing. But this panel of markers has limitations resulting from the inclusion of dinucleotide markers, which are less sensitive and specific for detection of tumors with MMR deficiencies compared to other types of markers that are currently available. This study demonstrates that mononucleotides are the most sensitive and specific markers for detection of tumors with defects in MMR and identifies an optimal panel of markers for detection of MSI-H tumors. A set of 266 mono-, di-, tetra- and penta-nucleotide repeat microsatellite markers were used to screen for MSI in colorectal tumors. The best markers for detection of MSI-H tumors were selected for a MSI Multiplex System, which included five mononucleotide markers: BAT-25, BAT-26, NR-21, NR-24 and MONO-27. In addition, two pentanucleotide markers were added to identify sample mix-ups and/or contamination. We classified 153 colorectal tumors using the new MSI Multiplex System and compared the results to those obtained with a panel of 10 microsatellite markers combined with immunohistochemical (IHC) analysis. We observed 99% concordance between the two methods with nearly 100% accuracy in detection of MSI-H tumors. Approximately 5% of the MSI-H tumors had normal levels of four MMR proteins and as a result would have been misclassified based solely on IHC analysis, emphasizing the importance of performing MSI testing. The new MSI Multiplex System offers several distinct advantages over other methods of MSI testing in that it is both extremely sensitive and specific and amenable to high-throughput analysis. The MSI Multiplex System meets the new recommendations proposed at the recent 2002 NCI workshop on HNPCC and MSI testing and overcomes problems inherent to the original five-marker panel. The use of a single multiplex fluorescent MSI assay reduces the time and costs involved in MSI testing with increased reliability and accuracy and thus should facilitate widespread screening for microsatellite instabi\u2026", "author" : [ { "dropping-particle" : "", "family" : "Bacher", "given" : "Jeffery W", "non-dropping-particle" : "", "parse-names" : false, "suffix" : "" }, { "dropping-particle" : "", "family" : "Flanagan", "given" : "Laura a", "non-dropping-particle" : "", "parse-names" : false, "suffix" : "" }, { "dropping-particle" : "", "family" : "Smalley", "given" : "Regenia L", "non-dropping-particle" : "", "parse-names" : false, "suffix" : "" }, { "dropping-particle" : "", "family" : "Nassif", "given" : "Nadine a", "non-dropping-particle" : "", "parse-names" : false, "suffix" : "" }, { "dropping-particle" : "", "family" : "Burgart", "given" : "Lawrence J", "non-dropping-particle" : "", "parse-names" : false, "suffix" : "" }, { "dropping-particle" : "", "family" : "Halberg", "given" : "Richard B", "non-dropping-particle" : "", "parse-names" : false, "suffix" : "" }, { "dropping-particle" : "", "family" : "Megid", "given" : "Wael M Abdel", "non-dropping-particle" : "", "parse-names" : false, "suffix" : "" }, { "dropping-particle" : "", "family" : "Thibodeau", "given" : "Stephen N", "non-dropping-particle" : "", "parse-names" : false, "suffix" : "" } ], "container-title" : "Disease markers", "id" : "ITEM-1", "issue" : "4-5", "issued" : { "date-parts" : [ [ "2004", "1" ] ] }, "page" : "237-50", "title" : "Development of a fluorescent multiplex assay for detection of MSI-High tumors.", "type" : "article-journal", "volume" : "20" }, "uris" : [ "http://www.mendeley.com/documents/?uuid=cc8d48cc-211a-4fba-bc65-1c5b46b6312c" ] } ], "mendeley" : { "manualFormatting" : "[15]", "previouslyFormattedCitation" : "[24]" }, "properties" : { "noteIndex" : 0 }, "schema" : "https://github.com/citation-style-language/schema/raw/master/csl-citation.json" }</w:instrText>
      </w:r>
      <w:r w:rsidRPr="000D63C6">
        <w:rPr>
          <w:rFonts w:ascii="Calibri" w:hAnsi="Calibri" w:cs="Arial"/>
          <w:bCs/>
          <w:sz w:val="22"/>
          <w:szCs w:val="22"/>
          <w:highlight w:val="yellow"/>
          <w:lang w:val="en-GB"/>
        </w:rPr>
        <w:fldChar w:fldCharType="separate"/>
      </w:r>
      <w:r w:rsidR="000D63C6" w:rsidRPr="000D63C6">
        <w:rPr>
          <w:rFonts w:ascii="Calibri" w:hAnsi="Calibri" w:cs="Arial"/>
          <w:bCs/>
          <w:noProof/>
          <w:sz w:val="22"/>
          <w:szCs w:val="22"/>
          <w:highlight w:val="yellow"/>
          <w:lang w:val="en-GB"/>
        </w:rPr>
        <w:t>[16</w:t>
      </w:r>
      <w:r w:rsidRPr="000D63C6">
        <w:rPr>
          <w:rFonts w:ascii="Calibri" w:hAnsi="Calibri" w:cs="Arial"/>
          <w:bCs/>
          <w:noProof/>
          <w:sz w:val="22"/>
          <w:szCs w:val="22"/>
          <w:highlight w:val="yellow"/>
          <w:lang w:val="en-GB"/>
        </w:rPr>
        <w:t>]</w:t>
      </w:r>
      <w:r w:rsidRPr="000D63C6">
        <w:rPr>
          <w:rFonts w:ascii="Calibri" w:hAnsi="Calibri" w:cs="Arial"/>
          <w:bCs/>
          <w:sz w:val="22"/>
          <w:szCs w:val="22"/>
          <w:highlight w:val="yellow"/>
          <w:lang w:val="en-GB"/>
        </w:rPr>
        <w:fldChar w:fldCharType="end"/>
      </w:r>
      <w:r w:rsidRPr="000D63C6">
        <w:rPr>
          <w:rFonts w:ascii="Calibri" w:hAnsi="Calibri"/>
          <w:sz w:val="22"/>
          <w:szCs w:val="22"/>
          <w:highlight w:val="yellow"/>
          <w:lang w:val="en-US"/>
        </w:rPr>
        <w:t>.</w:t>
      </w:r>
      <w:r w:rsidRPr="00585413">
        <w:rPr>
          <w:rFonts w:ascii="Calibri" w:hAnsi="Calibri"/>
          <w:sz w:val="22"/>
          <w:szCs w:val="22"/>
          <w:lang w:val="en-US"/>
        </w:rPr>
        <w:t xml:space="preserve"> </w:t>
      </w:r>
      <w:r w:rsidRPr="00585413">
        <w:rPr>
          <w:rFonts w:ascii="Calibri" w:hAnsi="Calibri" w:cs="Arial"/>
          <w:bCs/>
          <w:sz w:val="22"/>
          <w:szCs w:val="22"/>
          <w:lang w:val="en-GB"/>
        </w:rPr>
        <w:t xml:space="preserve">PCR products were sequenced on an ABI 3700 sequencer (Applied Biosystems). Tumors were discriminated in </w:t>
      </w:r>
      <w:r w:rsidR="00E82295" w:rsidRPr="00585413">
        <w:rPr>
          <w:rFonts w:ascii="Calibri" w:hAnsi="Calibri" w:cs="Arial"/>
          <w:bCs/>
          <w:sz w:val="22"/>
          <w:szCs w:val="22"/>
          <w:lang w:val="en-GB"/>
        </w:rPr>
        <w:t>Microsatellite</w:t>
      </w:r>
      <w:r w:rsidRPr="00585413">
        <w:rPr>
          <w:rFonts w:ascii="Calibri" w:hAnsi="Calibri" w:cs="Arial"/>
          <w:bCs/>
          <w:sz w:val="22"/>
          <w:szCs w:val="22"/>
          <w:lang w:val="en-GB"/>
        </w:rPr>
        <w:t xml:space="preserve"> stable (MSS)/MSI-low (MSI-L) (0 or 1 markers demonstrating instability) or MSI-H (two or more markers instable). </w:t>
      </w:r>
    </w:p>
    <w:p w:rsidR="005F7EE7" w:rsidRPr="00585413" w:rsidRDefault="005F7EE7" w:rsidP="00D53F99">
      <w:pPr>
        <w:pStyle w:val="NormalWeb1"/>
        <w:spacing w:before="0" w:after="0" w:line="480" w:lineRule="auto"/>
        <w:rPr>
          <w:rFonts w:ascii="Calibri" w:hAnsi="Calibri" w:cs="Arial"/>
          <w:b/>
          <w:bCs/>
          <w:sz w:val="22"/>
          <w:szCs w:val="22"/>
          <w:lang w:val="en-US"/>
        </w:rPr>
      </w:pPr>
    </w:p>
    <w:p w:rsidR="00D53F99" w:rsidRDefault="00D53F99">
      <w:pPr>
        <w:spacing w:after="200" w:line="276" w:lineRule="auto"/>
        <w:rPr>
          <w:rFonts w:ascii="Calibri" w:hAnsi="Calibri" w:cs="Arial"/>
          <w:b/>
          <w:bCs/>
          <w:kern w:val="1"/>
          <w:sz w:val="22"/>
          <w:szCs w:val="22"/>
          <w:lang w:eastAsia="ar-SA"/>
        </w:rPr>
      </w:pPr>
      <w:r>
        <w:rPr>
          <w:rFonts w:ascii="Calibri" w:hAnsi="Calibri" w:cs="Arial"/>
          <w:b/>
          <w:bCs/>
          <w:sz w:val="22"/>
          <w:szCs w:val="22"/>
        </w:rPr>
        <w:br w:type="page"/>
      </w:r>
    </w:p>
    <w:p w:rsidR="005F7EE7" w:rsidRPr="00585413" w:rsidRDefault="005F7EE7" w:rsidP="00D53F99">
      <w:pPr>
        <w:pStyle w:val="NormalWeb1"/>
        <w:spacing w:before="0" w:after="0" w:line="480" w:lineRule="auto"/>
        <w:rPr>
          <w:rFonts w:ascii="Calibri" w:hAnsi="Calibri" w:cs="Arial"/>
          <w:b/>
          <w:bCs/>
          <w:sz w:val="22"/>
          <w:szCs w:val="22"/>
          <w:lang w:val="en-US"/>
        </w:rPr>
      </w:pPr>
      <w:r w:rsidRPr="00585413">
        <w:rPr>
          <w:rFonts w:ascii="Calibri" w:hAnsi="Calibri" w:cs="Arial"/>
          <w:b/>
          <w:bCs/>
          <w:sz w:val="22"/>
          <w:szCs w:val="22"/>
          <w:lang w:val="en-US"/>
        </w:rPr>
        <w:lastRenderedPageBreak/>
        <w:t>Quantitative real-time RT-PCR (qRT-PCR)</w:t>
      </w:r>
    </w:p>
    <w:p w:rsidR="005F7EE7" w:rsidRPr="00585413" w:rsidRDefault="005F7EE7" w:rsidP="00D53F99">
      <w:pPr>
        <w:pStyle w:val="NormalWeb1"/>
        <w:spacing w:before="0" w:after="0" w:line="480" w:lineRule="auto"/>
        <w:rPr>
          <w:rFonts w:asciiTheme="minorHAnsi" w:hAnsiTheme="minorHAnsi" w:cs="Arial"/>
          <w:bCs/>
          <w:sz w:val="22"/>
          <w:szCs w:val="22"/>
          <w:lang w:val="en-GB"/>
        </w:rPr>
      </w:pPr>
      <w:r w:rsidRPr="00585413">
        <w:rPr>
          <w:rFonts w:ascii="Calibri" w:hAnsi="Calibri" w:cs="Arial"/>
          <w:bCs/>
          <w:sz w:val="22"/>
          <w:szCs w:val="22"/>
          <w:lang w:val="en-GB"/>
        </w:rPr>
        <w:t>Reverse transcriptase reaction was performed with 50 ng of total RNA. Quantitative real-time PCR (95°C 60 seconds, 45 cycles of 95°C 10 seconds, 60°C 10 seconds, 72°C 20 seconds) was performed for quantification of the MACC1 expression (forward primer, 5’-</w:t>
      </w:r>
      <w:r w:rsidRPr="00585413">
        <w:rPr>
          <w:rFonts w:ascii="Calibri" w:hAnsi="Calibri" w:cs="Arial"/>
          <w:bCs/>
          <w:sz w:val="22"/>
          <w:szCs w:val="22"/>
          <w:lang w:val="en-US"/>
        </w:rPr>
        <w:t xml:space="preserve"> TTC TTT TGA TTC CTC CGG TGA -3‘; reverse primer, 5‘-ACT CTG ATG GGC ATG TGC TG-3’; FITC probe, 5’-GCA GAC TTC CTC AAG AAA TTC TGG AAG ATC TA-3’;</w:t>
      </w:r>
      <w:r w:rsidRPr="00585413">
        <w:rPr>
          <w:rFonts w:ascii="Calibri" w:hAnsi="Calibri" w:cs="Arial"/>
          <w:bCs/>
          <w:sz w:val="22"/>
          <w:szCs w:val="22"/>
          <w:lang w:val="en-GB"/>
        </w:rPr>
        <w:t xml:space="preserve"> </w:t>
      </w:r>
      <w:proofErr w:type="spellStart"/>
      <w:r w:rsidRPr="00585413">
        <w:rPr>
          <w:rFonts w:ascii="Calibri" w:hAnsi="Calibri" w:cs="Arial"/>
          <w:bCs/>
          <w:sz w:val="22"/>
          <w:szCs w:val="22"/>
          <w:lang w:val="en-GB"/>
        </w:rPr>
        <w:t>LCRed</w:t>
      </w:r>
      <w:proofErr w:type="spellEnd"/>
      <w:r w:rsidRPr="00585413">
        <w:rPr>
          <w:rFonts w:ascii="Calibri" w:hAnsi="Calibri" w:cs="Arial"/>
          <w:bCs/>
          <w:sz w:val="22"/>
          <w:szCs w:val="22"/>
          <w:lang w:val="en-GB"/>
        </w:rPr>
        <w:t xml:space="preserve"> 640 probe, 5’-</w:t>
      </w:r>
      <w:r w:rsidRPr="00585413">
        <w:rPr>
          <w:rFonts w:ascii="Calibri" w:hAnsi="Calibri" w:cs="Arial"/>
          <w:bCs/>
          <w:sz w:val="22"/>
          <w:szCs w:val="22"/>
          <w:lang w:val="en-US"/>
        </w:rPr>
        <w:t xml:space="preserve"> AGT GTT TCA GAA CTT CTG GAC ATT TTA GAC GA</w:t>
      </w:r>
      <w:r w:rsidRPr="00585413">
        <w:rPr>
          <w:rFonts w:ascii="Calibri" w:hAnsi="Calibri" w:cs="Arial"/>
          <w:bCs/>
          <w:sz w:val="22"/>
          <w:szCs w:val="22"/>
          <w:lang w:val="en-GB"/>
        </w:rPr>
        <w:t xml:space="preserve">-3’; </w:t>
      </w:r>
      <w:proofErr w:type="spellStart"/>
      <w:r w:rsidRPr="00585413">
        <w:rPr>
          <w:rFonts w:ascii="Calibri" w:hAnsi="Calibri" w:cs="Arial"/>
          <w:bCs/>
          <w:sz w:val="22"/>
          <w:szCs w:val="22"/>
          <w:lang w:val="en-US"/>
        </w:rPr>
        <w:t>BioTeZ</w:t>
      </w:r>
      <w:proofErr w:type="spellEnd"/>
      <w:r w:rsidRPr="00585413">
        <w:rPr>
          <w:rFonts w:ascii="Calibri" w:hAnsi="Calibri" w:cs="Arial"/>
          <w:bCs/>
          <w:sz w:val="22"/>
          <w:szCs w:val="22"/>
          <w:lang w:val="en-US"/>
        </w:rPr>
        <w:t xml:space="preserve"> and TIB </w:t>
      </w:r>
      <w:proofErr w:type="spellStart"/>
      <w:r w:rsidRPr="00585413">
        <w:rPr>
          <w:rFonts w:ascii="Calibri" w:hAnsi="Calibri" w:cs="Arial"/>
          <w:bCs/>
          <w:sz w:val="22"/>
          <w:szCs w:val="22"/>
          <w:lang w:val="en-US"/>
        </w:rPr>
        <w:t>MolBiol</w:t>
      </w:r>
      <w:proofErr w:type="spellEnd"/>
      <w:r w:rsidRPr="00585413">
        <w:rPr>
          <w:rFonts w:ascii="Calibri" w:hAnsi="Calibri" w:cs="Arial"/>
          <w:bCs/>
          <w:sz w:val="22"/>
          <w:szCs w:val="22"/>
          <w:lang w:val="en-US"/>
        </w:rPr>
        <w:t xml:space="preserve">) </w:t>
      </w:r>
      <w:r w:rsidRPr="00585413">
        <w:rPr>
          <w:rFonts w:ascii="Calibri" w:hAnsi="Calibri" w:cs="Arial"/>
          <w:bCs/>
          <w:sz w:val="22"/>
          <w:szCs w:val="22"/>
          <w:lang w:val="en-GB"/>
        </w:rPr>
        <w:t xml:space="preserve">using the LightCycler480 (DNA Master Hybridization Probes kit, Roche Diagnostics) as previously described </w:t>
      </w:r>
      <w:r w:rsidRPr="00585413">
        <w:rPr>
          <w:rFonts w:ascii="Calibri" w:hAnsi="Calibri" w:cs="Arial"/>
          <w:bCs/>
          <w:sz w:val="22"/>
          <w:szCs w:val="22"/>
          <w:lang w:val="en-GB"/>
        </w:rPr>
        <w:fldChar w:fldCharType="begin" w:fldLock="1"/>
      </w:r>
      <w:r w:rsidRPr="00585413">
        <w:rPr>
          <w:rFonts w:ascii="Calibri" w:hAnsi="Calibri" w:cs="Arial"/>
          <w:bCs/>
          <w:sz w:val="22"/>
          <w:szCs w:val="22"/>
          <w:lang w:val="en-GB"/>
        </w:rPr>
        <w:instrText>ADDIN CSL_CITATION { "citationItems" : [ { "id" : "ITEM-1", "itemData" : { "DOI" : "10.1038/nm.1889", "ISSN" : "1546-170X", "PMID" : "19098908", "abstract" : "We identified a previously undescribed gene associated with colon cancer by genome-wide expression analysis in primary and metastatic carcinomas: metastasis-associated in colon cancer-1, MACC1. MACC1 expression in tumor specimens is an independent prognostic indicator of metastasis formation and metastasis-free survival. We show that the gene encoding the hepatocyte growth factor (HGF) receptor, MET, is a transcriptional target of MACC1. MACC1 promotes proliferation, invasion and HGF-induced scattering of colon cancer cells in cell culture and tumor growth and metastasis in mouse models. These phenotypes are lost in cells expressing MACC1 mutants lacking the SH3 domain or the proline-rich motif. For clinical practice, MACC1 will be useful for the identification of poor prognosis subjects with colorectal cancer and is a promising new target for intervention in metastasis formation.", "author" : [ { "dropping-particle" : "", "family" : "Stein", "given" : "Ulrike", "non-dropping-particle" : "", "parse-names" : false, "suffix" : "" }, { "dropping-particle" : "", "family" : "Walther", "given" : "Wolfgang", "non-dropping-particle" : "", "parse-names" : false, "suffix" : "" }, { "dropping-particle" : "", "family" : "Arlt", "given" : "Franziska", "non-dropping-particle" : "", "parse-names" : false, "suffix" : "" }, { "dropping-particle" : "", "family" : "Schwabe", "given" : "Holger", "non-dropping-particle" : "", "parse-names" : false, "suffix" : "" }, { "dropping-particle" : "", "family" : "Smith", "given" : "Janice", "non-dropping-particle" : "", "parse-names" : false, "suffix" : "" }, { "dropping-particle" : "", "family" : "Fichtner", "given" : "Iduna", "non-dropping-particle" : "", "parse-names" : false, "suffix" : "" }, { "dropping-particle" : "", "family" : "Birchmeier", "given" : "Walter", "non-dropping-particle" : "", "parse-names" : false, "suffix" : "" }, { "dropping-particle" : "", "family" : "Schlag", "given" : "Peter M", "non-dropping-particle" : "", "parse-names" : false, "suffix" : "" } ], "container-title" : "Nature medicine", "id" : "ITEM-1", "issue" : "1", "issued" : { "date-parts" : [ [ "2009", "1" ] ] }, "page" : "59-67", "title" : "MACC1, a newly identified key regulator of HGF-MET signaling, predicts colon cancer metastasis.", "type" : "article-journal", "volume" : "15" }, "uris" : [ "http://www.mendeley.com/documents/?uuid=3a8fc829-df9f-4348-b67d-38be6f0345d2" ] } ], "mendeley" : { "previouslyFormattedCitation" : "[11]" }, "properties" : { "noteIndex" : 0 }, "schema" : "https://github.com/citation-style-language/schema/raw/master/csl-citation.json" }</w:instrText>
      </w:r>
      <w:r w:rsidRPr="00585413">
        <w:rPr>
          <w:rFonts w:ascii="Calibri" w:hAnsi="Calibri" w:cs="Arial"/>
          <w:bCs/>
          <w:sz w:val="22"/>
          <w:szCs w:val="22"/>
          <w:lang w:val="en-GB"/>
        </w:rPr>
        <w:fldChar w:fldCharType="separate"/>
      </w:r>
      <w:r w:rsidRPr="00585413">
        <w:rPr>
          <w:rFonts w:ascii="Calibri" w:hAnsi="Calibri" w:cs="Arial"/>
          <w:bCs/>
          <w:noProof/>
          <w:sz w:val="22"/>
          <w:szCs w:val="22"/>
          <w:lang w:val="en-GB"/>
        </w:rPr>
        <w:t>[</w:t>
      </w:r>
      <w:r w:rsidR="008425D9" w:rsidRPr="00585413">
        <w:rPr>
          <w:rFonts w:ascii="Calibri" w:hAnsi="Calibri" w:cs="Arial"/>
          <w:bCs/>
          <w:noProof/>
          <w:sz w:val="22"/>
          <w:szCs w:val="22"/>
          <w:lang w:val="en-GB"/>
        </w:rPr>
        <w:t>9</w:t>
      </w:r>
      <w:r w:rsidRPr="00585413">
        <w:rPr>
          <w:rFonts w:ascii="Calibri" w:hAnsi="Calibri" w:cs="Arial"/>
          <w:bCs/>
          <w:noProof/>
          <w:sz w:val="22"/>
          <w:szCs w:val="22"/>
          <w:lang w:val="en-GB"/>
        </w:rPr>
        <w:t>]</w:t>
      </w:r>
      <w:r w:rsidRPr="00585413">
        <w:rPr>
          <w:rFonts w:ascii="Calibri" w:hAnsi="Calibri" w:cs="Arial"/>
          <w:bCs/>
          <w:sz w:val="22"/>
          <w:szCs w:val="22"/>
          <w:lang w:val="en-GB"/>
        </w:rPr>
        <w:fldChar w:fldCharType="end"/>
      </w:r>
      <w:r w:rsidRPr="00585413">
        <w:rPr>
          <w:rFonts w:ascii="Calibri" w:hAnsi="Calibri" w:cs="Arial"/>
          <w:bCs/>
          <w:sz w:val="22"/>
          <w:szCs w:val="22"/>
          <w:lang w:val="en-GB"/>
        </w:rPr>
        <w:t>.</w:t>
      </w:r>
      <w:r w:rsidR="000921D3" w:rsidRPr="00585413">
        <w:rPr>
          <w:rFonts w:ascii="Calibri" w:hAnsi="Calibri" w:cs="Arial"/>
          <w:bCs/>
          <w:sz w:val="22"/>
          <w:szCs w:val="22"/>
          <w:lang w:val="en-GB"/>
        </w:rPr>
        <w:t xml:space="preserve"> </w:t>
      </w:r>
    </w:p>
    <w:p w:rsidR="005F7EE7" w:rsidRPr="00585413" w:rsidRDefault="005F7EE7" w:rsidP="00D53F99">
      <w:pPr>
        <w:spacing w:line="480" w:lineRule="auto"/>
        <w:rPr>
          <w:rFonts w:asciiTheme="minorHAnsi" w:hAnsiTheme="minorHAnsi"/>
          <w:sz w:val="22"/>
          <w:szCs w:val="22"/>
          <w:lang w:val="en-GB"/>
        </w:rPr>
      </w:pPr>
    </w:p>
    <w:p w:rsidR="005F7EE7" w:rsidRPr="00585413" w:rsidRDefault="005F7EE7" w:rsidP="00D53F99">
      <w:pPr>
        <w:spacing w:line="480" w:lineRule="auto"/>
        <w:rPr>
          <w:rFonts w:asciiTheme="minorHAnsi" w:hAnsiTheme="minorHAnsi"/>
          <w:b/>
          <w:sz w:val="22"/>
          <w:szCs w:val="22"/>
          <w:lang w:val="en-GB"/>
        </w:rPr>
      </w:pPr>
      <w:r w:rsidRPr="00585413">
        <w:rPr>
          <w:rFonts w:asciiTheme="minorHAnsi" w:hAnsiTheme="minorHAnsi"/>
          <w:b/>
          <w:sz w:val="22"/>
          <w:szCs w:val="22"/>
          <w:lang w:val="en-GB"/>
        </w:rPr>
        <w:t>Statistics</w:t>
      </w:r>
    </w:p>
    <w:p w:rsidR="005F7EE7" w:rsidRPr="00585413" w:rsidRDefault="005F7EE7" w:rsidP="00D53F99">
      <w:pPr>
        <w:autoSpaceDE w:val="0"/>
        <w:autoSpaceDN w:val="0"/>
        <w:adjustRightInd w:val="0"/>
        <w:spacing w:line="480" w:lineRule="auto"/>
        <w:rPr>
          <w:rFonts w:asciiTheme="minorHAnsi" w:eastAsia="Calibri" w:hAnsiTheme="minorHAnsi"/>
          <w:sz w:val="22"/>
          <w:szCs w:val="22"/>
          <w:lang w:eastAsia="de-DE"/>
        </w:rPr>
      </w:pPr>
      <w:r w:rsidRPr="000D63C6">
        <w:rPr>
          <w:rFonts w:asciiTheme="minorHAnsi" w:hAnsiTheme="minorHAnsi" w:cs="Arial"/>
          <w:color w:val="000000"/>
          <w:sz w:val="22"/>
          <w:szCs w:val="22"/>
        </w:rPr>
        <w:t xml:space="preserve">All calculations and statistical analyses were performed with IBM® SPSS® Statistics 21. </w:t>
      </w:r>
      <w:r w:rsidRPr="000D63C6">
        <w:rPr>
          <w:rFonts w:asciiTheme="minorHAnsi" w:eastAsia="Calibri" w:hAnsiTheme="minorHAnsi"/>
          <w:sz w:val="22"/>
          <w:szCs w:val="22"/>
          <w:lang w:eastAsia="de-DE"/>
        </w:rPr>
        <w:t>Receiver operating characteristics (ROC) analysis was performed on MACC1 mRNA expression levels to denominate low and high MACC1 expression groups for further analyses.</w:t>
      </w:r>
      <w:r w:rsidR="00585413" w:rsidRPr="000D63C6">
        <w:rPr>
          <w:rFonts w:asciiTheme="minorHAnsi" w:eastAsia="Calibri" w:hAnsiTheme="minorHAnsi"/>
          <w:sz w:val="22"/>
          <w:szCs w:val="22"/>
          <w:lang w:eastAsia="de-DE"/>
        </w:rPr>
        <w:t xml:space="preserve"> In the resulting ROC curve the calculated AUC was 0.699. Based on the coordinates for sensitivity and 1-specificity the optimal ROC cutoff for the MACC1 expression was 226.81. </w:t>
      </w:r>
      <w:r w:rsidRPr="000D63C6">
        <w:rPr>
          <w:rFonts w:ascii="Calibri" w:hAnsi="Calibri" w:cs="Arial"/>
          <w:bCs/>
          <w:sz w:val="22"/>
          <w:szCs w:val="22"/>
          <w:lang w:val="en-GB"/>
        </w:rPr>
        <w:t xml:space="preserve">For retrospective analyses clinical follow-up information </w:t>
      </w:r>
      <w:r w:rsidR="003A3536" w:rsidRPr="000D63C6">
        <w:rPr>
          <w:rFonts w:ascii="Calibri" w:hAnsi="Calibri" w:cs="Arial"/>
          <w:bCs/>
          <w:sz w:val="22"/>
          <w:szCs w:val="22"/>
          <w:lang w:val="en-GB"/>
        </w:rPr>
        <w:t xml:space="preserve">was </w:t>
      </w:r>
      <w:r w:rsidRPr="000D63C6">
        <w:rPr>
          <w:rFonts w:ascii="Calibri" w:hAnsi="Calibri" w:cs="Arial"/>
          <w:bCs/>
          <w:sz w:val="22"/>
          <w:szCs w:val="22"/>
          <w:lang w:val="en-GB"/>
        </w:rPr>
        <w:t>obtained from the</w:t>
      </w:r>
      <w:r w:rsidRPr="000D63C6">
        <w:rPr>
          <w:rFonts w:ascii="Calibri" w:hAnsi="Calibri" w:cs="Arial"/>
          <w:bCs/>
          <w:sz w:val="22"/>
          <w:szCs w:val="22"/>
        </w:rPr>
        <w:t xml:space="preserve"> tumor</w:t>
      </w:r>
      <w:r w:rsidRPr="000D63C6">
        <w:rPr>
          <w:rFonts w:ascii="Calibri" w:hAnsi="Calibri" w:cs="Arial"/>
          <w:bCs/>
          <w:sz w:val="22"/>
          <w:szCs w:val="22"/>
          <w:lang w:val="en-GB"/>
        </w:rPr>
        <w:t xml:space="preserve"> bank of the Charité Comprehensive Cancer </w:t>
      </w:r>
      <w:proofErr w:type="spellStart"/>
      <w:r w:rsidRPr="000D63C6">
        <w:rPr>
          <w:rFonts w:ascii="Calibri" w:hAnsi="Calibri" w:cs="Arial"/>
          <w:bCs/>
          <w:sz w:val="22"/>
          <w:szCs w:val="22"/>
          <w:lang w:val="en-GB"/>
        </w:rPr>
        <w:t>Center</w:t>
      </w:r>
      <w:proofErr w:type="spellEnd"/>
      <w:r w:rsidRPr="000D63C6">
        <w:rPr>
          <w:rFonts w:ascii="Calibri" w:hAnsi="Calibri" w:cs="Arial"/>
          <w:bCs/>
          <w:sz w:val="22"/>
          <w:szCs w:val="22"/>
          <w:lang w:val="en-GB"/>
        </w:rPr>
        <w:t xml:space="preserve"> (Berlin) after completed mutation analyses and mRNA quantification. </w:t>
      </w:r>
      <w:r w:rsidRPr="000D63C6">
        <w:rPr>
          <w:rFonts w:asciiTheme="minorHAnsi" w:hAnsiTheme="minorHAnsi" w:cs="Arial"/>
          <w:color w:val="000000"/>
          <w:sz w:val="22"/>
          <w:szCs w:val="22"/>
        </w:rPr>
        <w:t>The chi-square (</w:t>
      </w:r>
      <m:oMath>
        <m:sSup>
          <m:sSupPr>
            <m:ctrlPr>
              <w:rPr>
                <w:rFonts w:ascii="Cambria Math" w:hAnsiTheme="minorHAnsi" w:cs="Arial"/>
                <w:i/>
                <w:sz w:val="22"/>
                <w:szCs w:val="22"/>
              </w:rPr>
            </m:ctrlPr>
          </m:sSupPr>
          <m:e>
            <m:r>
              <w:rPr>
                <w:rFonts w:ascii="Cambria Math" w:hAnsi="Cambria Math" w:cs="STIXGeneral-Regular"/>
                <w:sz w:val="22"/>
                <w:szCs w:val="22"/>
              </w:rPr>
              <m:t>χ</m:t>
            </m:r>
          </m:e>
          <m:sup>
            <m:r>
              <w:rPr>
                <w:rFonts w:ascii="Cambria Math" w:hAnsiTheme="minorHAnsi" w:cs="Arial"/>
                <w:sz w:val="22"/>
                <w:szCs w:val="22"/>
              </w:rPr>
              <m:t>2</m:t>
            </m:r>
          </m:sup>
        </m:sSup>
      </m:oMath>
      <w:r w:rsidRPr="000D63C6">
        <w:rPr>
          <w:rFonts w:asciiTheme="minorHAnsi" w:hAnsiTheme="minorHAnsi" w:cs="Arial"/>
          <w:sz w:val="22"/>
          <w:szCs w:val="22"/>
        </w:rPr>
        <w:t>) test</w:t>
      </w:r>
      <w:r w:rsidRPr="000D63C6">
        <w:rPr>
          <w:rFonts w:asciiTheme="minorHAnsi" w:hAnsiTheme="minorHAnsi" w:cs="Arial"/>
          <w:color w:val="000000"/>
          <w:sz w:val="22"/>
          <w:szCs w:val="22"/>
        </w:rPr>
        <w:t xml:space="preserve"> was used to compare MACC1 expression with </w:t>
      </w:r>
      <w:r w:rsidRPr="000D63C6">
        <w:rPr>
          <w:rFonts w:asciiTheme="minorHAnsi" w:hAnsiTheme="minorHAnsi" w:cs="Arial"/>
          <w:sz w:val="22"/>
          <w:szCs w:val="22"/>
        </w:rPr>
        <w:t>clinicopathological factors</w:t>
      </w:r>
      <w:r w:rsidRPr="000D63C6">
        <w:rPr>
          <w:rFonts w:asciiTheme="minorHAnsi" w:hAnsiTheme="minorHAnsi" w:cs="Arial"/>
          <w:color w:val="000000"/>
          <w:sz w:val="22"/>
          <w:szCs w:val="22"/>
        </w:rPr>
        <w:t xml:space="preserve">. Furthermore, the relative risk (RR) with corresponding 95% confidence intervals (CI) was calculated </w:t>
      </w:r>
      <w:r w:rsidRPr="000D63C6">
        <w:rPr>
          <w:rFonts w:asciiTheme="minorHAnsi" w:eastAsia="Calibri" w:hAnsiTheme="minorHAnsi"/>
          <w:sz w:val="22"/>
          <w:szCs w:val="22"/>
          <w:lang w:eastAsia="de-DE"/>
        </w:rPr>
        <w:t>(</w:t>
      </w:r>
      <w:r w:rsidRPr="000D63C6">
        <w:rPr>
          <w:rFonts w:ascii="Calibri" w:hAnsi="Calibri" w:cs="Arial"/>
          <w:sz w:val="22"/>
          <w:szCs w:val="22"/>
          <w:lang w:val="en-GB"/>
        </w:rPr>
        <w:t>Additional file</w:t>
      </w:r>
      <w:r w:rsidR="002325EB" w:rsidRPr="000D63C6">
        <w:rPr>
          <w:rFonts w:ascii="Calibri" w:hAnsi="Calibri" w:cs="Arial"/>
          <w:sz w:val="22"/>
          <w:szCs w:val="22"/>
          <w:lang w:val="en-GB"/>
        </w:rPr>
        <w:t xml:space="preserve"> 2</w:t>
      </w:r>
      <w:r w:rsidRPr="000D63C6">
        <w:rPr>
          <w:rFonts w:ascii="Calibri" w:hAnsi="Calibri" w:cs="Arial"/>
          <w:sz w:val="22"/>
          <w:szCs w:val="22"/>
          <w:lang w:val="en-GB"/>
        </w:rPr>
        <w:t xml:space="preserve">, </w:t>
      </w:r>
      <w:r w:rsidR="001A2F90" w:rsidRPr="000D63C6">
        <w:rPr>
          <w:rFonts w:ascii="Calibri" w:hAnsi="Calibri" w:cs="Arial"/>
          <w:sz w:val="22"/>
          <w:szCs w:val="22"/>
          <w:lang w:val="en-GB"/>
        </w:rPr>
        <w:t xml:space="preserve">Supplementary </w:t>
      </w:r>
      <w:r w:rsidRPr="000D63C6">
        <w:rPr>
          <w:rFonts w:ascii="Calibri" w:hAnsi="Calibri" w:cs="Arial"/>
          <w:sz w:val="22"/>
          <w:szCs w:val="22"/>
          <w:lang w:val="en-GB"/>
        </w:rPr>
        <w:t>Table 1</w:t>
      </w:r>
      <w:r w:rsidRPr="000D63C6">
        <w:rPr>
          <w:rFonts w:asciiTheme="minorHAnsi" w:eastAsia="Calibri" w:hAnsiTheme="minorHAnsi"/>
          <w:sz w:val="22"/>
          <w:szCs w:val="22"/>
          <w:lang w:eastAsia="de-DE"/>
        </w:rPr>
        <w:t>)</w:t>
      </w:r>
      <w:r w:rsidRPr="000D63C6">
        <w:rPr>
          <w:rFonts w:asciiTheme="minorHAnsi" w:hAnsiTheme="minorHAnsi" w:cs="Arial"/>
          <w:color w:val="000000"/>
          <w:sz w:val="22"/>
          <w:szCs w:val="22"/>
        </w:rPr>
        <w:t>.</w:t>
      </w:r>
      <w:r w:rsidRPr="000D63C6">
        <w:rPr>
          <w:rFonts w:asciiTheme="minorHAnsi" w:eastAsia="Calibri" w:hAnsiTheme="minorHAnsi"/>
          <w:sz w:val="22"/>
          <w:szCs w:val="22"/>
          <w:lang w:eastAsia="de-DE"/>
        </w:rPr>
        <w:t xml:space="preserve"> Distribution of MACC1 mRNA expression</w:t>
      </w:r>
      <w:r w:rsidRPr="00585413">
        <w:rPr>
          <w:rFonts w:asciiTheme="minorHAnsi" w:eastAsia="Calibri" w:hAnsiTheme="minorHAnsi"/>
          <w:sz w:val="22"/>
          <w:szCs w:val="22"/>
          <w:lang w:eastAsia="de-DE"/>
        </w:rPr>
        <w:t xml:space="preserve"> levels with regard to the different parameters were examined using box and whisker plots. Significance in differential mRNA expression was determined by Mann-Whitney U-test. Calculation of </w:t>
      </w:r>
      <w:r w:rsidRPr="00585413">
        <w:rPr>
          <w:rFonts w:asciiTheme="minorHAnsi" w:eastAsia="Calibri" w:hAnsiTheme="minorHAnsi"/>
          <w:i/>
          <w:iCs/>
          <w:sz w:val="22"/>
          <w:szCs w:val="22"/>
          <w:lang w:eastAsia="de-DE"/>
        </w:rPr>
        <w:t>q</w:t>
      </w:r>
      <w:r w:rsidRPr="00585413">
        <w:rPr>
          <w:rFonts w:asciiTheme="minorHAnsi" w:eastAsia="Calibri" w:hAnsiTheme="minorHAnsi"/>
          <w:sz w:val="22"/>
          <w:szCs w:val="22"/>
          <w:lang w:eastAsia="de-DE"/>
        </w:rPr>
        <w:t xml:space="preserve">-values from the corresponding </w:t>
      </w:r>
      <w:r w:rsidRPr="00585413">
        <w:rPr>
          <w:rFonts w:asciiTheme="minorHAnsi" w:eastAsia="Calibri" w:hAnsiTheme="minorHAnsi"/>
          <w:i/>
          <w:iCs/>
          <w:sz w:val="22"/>
          <w:szCs w:val="22"/>
          <w:lang w:eastAsia="de-DE"/>
        </w:rPr>
        <w:t>p-</w:t>
      </w:r>
      <w:r w:rsidRPr="00585413">
        <w:rPr>
          <w:rFonts w:asciiTheme="minorHAnsi" w:eastAsia="Calibri" w:hAnsiTheme="minorHAnsi"/>
          <w:sz w:val="22"/>
          <w:szCs w:val="22"/>
          <w:lang w:eastAsia="de-DE"/>
        </w:rPr>
        <w:t xml:space="preserve">values was performed to control for the false discovery rate </w:t>
      </w:r>
      <w:r w:rsidRPr="000D63C6">
        <w:rPr>
          <w:rFonts w:asciiTheme="minorHAnsi" w:eastAsia="Calibri" w:hAnsiTheme="minorHAnsi"/>
          <w:sz w:val="22"/>
          <w:szCs w:val="22"/>
          <w:highlight w:val="yellow"/>
          <w:lang w:eastAsia="de-DE"/>
        </w:rPr>
        <w:fldChar w:fldCharType="begin" w:fldLock="1"/>
      </w:r>
      <w:r w:rsidRPr="000D63C6">
        <w:rPr>
          <w:rFonts w:asciiTheme="minorHAnsi" w:eastAsia="Calibri" w:hAnsiTheme="minorHAnsi"/>
          <w:sz w:val="22"/>
          <w:szCs w:val="22"/>
          <w:highlight w:val="yellow"/>
          <w:lang w:eastAsia="de-DE"/>
        </w:rPr>
        <w:instrText>ADDIN CSL_CITATION { "citationItems" : [ { "id" : "ITEM-1", "itemData" : { "DOI" : "10.1073/pnas.1530509100", "ISSN" : "0027-8424", "PMID" : "12883005", "abstract" : "With the increase in genomewide experiments and the sequencing of multiple genomes, the analysis of large data sets has become commonplace in biology. It is often the case that thousands of features in a genomewide data set are tested against some null hypothesis, where a number of features are expected to be significant. Here we propose an approach to measuring statistical significance in these genomewide studies based on the concept of the false discovery rate. This approach offers a sensible balance between the number of true and false positives that is automatically calibrated and easily interpreted. In doing so, a measure of statistical significance called the q value is associated with each tested feature. The q value is similar to the well known p value, except it is a measure of significance in terms of the false discovery rate rather than the false positive rate. Our approach avoids a flood of false positive results, while offering a more liberal criterion than what has been used in genome scans for linkage.", "author" : [ { "dropping-particle" : "", "family" : "Storey", "given" : "John D", "non-dropping-particle" : "", "parse-names" : false, "suffix" : "" }, { "dropping-particle" : "", "family" : "Tibshirani", "given" : "Robert", "non-dropping-particle" : "", "parse-names" : false, "suffix" : "" } ], "container-title" : "Proceedings of the National Academy of Sciences of the United States of America", "id" : "ITEM-1", "issue" : "16", "issued" : { "date-parts" : [ [ "2003", "8", "5" ] ] }, "page" : "9440-5", "title" : "Statistical significance for genomewide studies.", "type" : "article-journal", "volume" : "100" }, "uris" : [ "http://www.mendeley.com/documents/?uuid=67b286fd-d7da-421f-9e5f-23dba232fdb5" ] } ], "mendeley" : { "previouslyFormattedCitation" : "[36]" }, "properties" : { "noteIndex" : 0 }, "schema" : "https://github.com/citation-style-language/schema/raw/master/csl-citation.json" }</w:instrText>
      </w:r>
      <w:r w:rsidRPr="000D63C6">
        <w:rPr>
          <w:rFonts w:asciiTheme="minorHAnsi" w:eastAsia="Calibri" w:hAnsiTheme="minorHAnsi"/>
          <w:sz w:val="22"/>
          <w:szCs w:val="22"/>
          <w:highlight w:val="yellow"/>
          <w:lang w:eastAsia="de-DE"/>
        </w:rPr>
        <w:fldChar w:fldCharType="separate"/>
      </w:r>
      <w:r w:rsidR="000D63C6" w:rsidRPr="000D63C6">
        <w:rPr>
          <w:rFonts w:asciiTheme="minorHAnsi" w:eastAsia="Calibri" w:hAnsiTheme="minorHAnsi"/>
          <w:noProof/>
          <w:sz w:val="22"/>
          <w:szCs w:val="22"/>
          <w:highlight w:val="yellow"/>
          <w:lang w:eastAsia="de-DE"/>
        </w:rPr>
        <w:t>[17</w:t>
      </w:r>
      <w:r w:rsidRPr="000D63C6">
        <w:rPr>
          <w:rFonts w:asciiTheme="minorHAnsi" w:eastAsia="Calibri" w:hAnsiTheme="minorHAnsi"/>
          <w:noProof/>
          <w:sz w:val="22"/>
          <w:szCs w:val="22"/>
          <w:highlight w:val="yellow"/>
          <w:lang w:eastAsia="de-DE"/>
        </w:rPr>
        <w:t>]</w:t>
      </w:r>
      <w:r w:rsidRPr="000D63C6">
        <w:rPr>
          <w:rFonts w:asciiTheme="minorHAnsi" w:eastAsia="Calibri" w:hAnsiTheme="minorHAnsi"/>
          <w:sz w:val="22"/>
          <w:szCs w:val="22"/>
          <w:highlight w:val="yellow"/>
          <w:lang w:eastAsia="de-DE"/>
        </w:rPr>
        <w:fldChar w:fldCharType="end"/>
      </w:r>
      <w:r w:rsidRPr="000D63C6">
        <w:rPr>
          <w:rFonts w:asciiTheme="minorHAnsi" w:eastAsia="Calibri" w:hAnsiTheme="minorHAnsi"/>
          <w:sz w:val="22"/>
          <w:szCs w:val="22"/>
          <w:highlight w:val="yellow"/>
          <w:lang w:eastAsia="de-DE"/>
        </w:rPr>
        <w:t>.</w:t>
      </w:r>
      <w:r w:rsidRPr="00585413">
        <w:rPr>
          <w:rFonts w:asciiTheme="minorHAnsi" w:eastAsia="Calibri" w:hAnsiTheme="minorHAnsi"/>
          <w:sz w:val="22"/>
          <w:szCs w:val="22"/>
          <w:lang w:eastAsia="de-DE"/>
        </w:rPr>
        <w:t xml:space="preserve"> The </w:t>
      </w:r>
      <w:r w:rsidRPr="00585413">
        <w:rPr>
          <w:rFonts w:asciiTheme="minorHAnsi" w:eastAsia="Calibri" w:hAnsiTheme="minorHAnsi"/>
          <w:i/>
          <w:iCs/>
          <w:sz w:val="22"/>
          <w:szCs w:val="22"/>
          <w:lang w:eastAsia="de-DE"/>
        </w:rPr>
        <w:t>q</w:t>
      </w:r>
      <w:r w:rsidRPr="00585413">
        <w:rPr>
          <w:rFonts w:asciiTheme="minorHAnsi" w:eastAsia="Calibri" w:hAnsiTheme="minorHAnsi"/>
          <w:sz w:val="22"/>
          <w:szCs w:val="22"/>
          <w:lang w:eastAsia="de-DE"/>
        </w:rPr>
        <w:t xml:space="preserve">-values for this study were calculated using QVALUE software from the non-corrected </w:t>
      </w:r>
      <w:r w:rsidRPr="00585413">
        <w:rPr>
          <w:rFonts w:asciiTheme="minorHAnsi" w:eastAsia="Calibri" w:hAnsiTheme="minorHAnsi"/>
          <w:i/>
          <w:iCs/>
          <w:sz w:val="22"/>
          <w:szCs w:val="22"/>
          <w:lang w:eastAsia="de-DE"/>
        </w:rPr>
        <w:t>p</w:t>
      </w:r>
      <w:r w:rsidRPr="00585413">
        <w:rPr>
          <w:rFonts w:asciiTheme="minorHAnsi" w:eastAsia="Calibri" w:hAnsiTheme="minorHAnsi"/>
          <w:sz w:val="22"/>
          <w:szCs w:val="22"/>
          <w:lang w:eastAsia="de-DE"/>
        </w:rPr>
        <w:t xml:space="preserve">-values. FDR-adjusted </w:t>
      </w:r>
      <w:r w:rsidRPr="00585413">
        <w:rPr>
          <w:rFonts w:asciiTheme="minorHAnsi" w:hAnsiTheme="minorHAnsi" w:cs="Arial"/>
          <w:i/>
          <w:iCs/>
          <w:color w:val="000000"/>
          <w:sz w:val="22"/>
          <w:szCs w:val="22"/>
        </w:rPr>
        <w:t>p-</w:t>
      </w:r>
      <w:r w:rsidRPr="00585413">
        <w:rPr>
          <w:rFonts w:asciiTheme="minorHAnsi" w:hAnsiTheme="minorHAnsi" w:cs="Arial"/>
          <w:color w:val="000000"/>
          <w:sz w:val="22"/>
          <w:szCs w:val="22"/>
        </w:rPr>
        <w:t>values less than 0.05 were considered to be statistically significant.</w:t>
      </w:r>
    </w:p>
    <w:p w:rsidR="00ED4A86" w:rsidRPr="005F7EE7" w:rsidRDefault="005F7EE7" w:rsidP="00D53F99">
      <w:pPr>
        <w:autoSpaceDE w:val="0"/>
        <w:autoSpaceDN w:val="0"/>
        <w:adjustRightInd w:val="0"/>
        <w:spacing w:line="480" w:lineRule="auto"/>
        <w:rPr>
          <w:rFonts w:asciiTheme="minorHAnsi" w:eastAsia="Calibri" w:hAnsiTheme="minorHAnsi"/>
          <w:sz w:val="22"/>
          <w:szCs w:val="22"/>
          <w:lang w:eastAsia="de-DE"/>
        </w:rPr>
      </w:pPr>
      <w:r w:rsidRPr="00585413">
        <w:rPr>
          <w:rFonts w:asciiTheme="minorHAnsi" w:hAnsiTheme="minorHAnsi" w:cs="Arial"/>
          <w:color w:val="000000"/>
          <w:sz w:val="22"/>
          <w:szCs w:val="22"/>
        </w:rPr>
        <w:lastRenderedPageBreak/>
        <w:t xml:space="preserve">The Kaplan–Meier method was used to estimate cumulative survival rates and significance of differences in survival rates were assessed using the Log Rank test. </w:t>
      </w:r>
      <w:r w:rsidRPr="00585413">
        <w:rPr>
          <w:rFonts w:asciiTheme="minorHAnsi" w:hAnsiTheme="minorHAnsi" w:cs="Arial"/>
          <w:bCs/>
          <w:sz w:val="22"/>
          <w:szCs w:val="22"/>
          <w:lang w:val="en-GB"/>
        </w:rPr>
        <w:t xml:space="preserve">MFS time was defined as the time period from the date </w:t>
      </w:r>
      <w:r w:rsidRPr="00585413">
        <w:rPr>
          <w:rFonts w:asciiTheme="minorHAnsi" w:hAnsiTheme="minorHAnsi" w:cs="Arial"/>
          <w:bCs/>
          <w:color w:val="000000"/>
          <w:sz w:val="22"/>
          <w:szCs w:val="22"/>
          <w:lang w:val="en-GB"/>
        </w:rPr>
        <w:t>of surgery</w:t>
      </w:r>
      <w:r w:rsidRPr="00585413">
        <w:rPr>
          <w:rFonts w:asciiTheme="minorHAnsi" w:hAnsiTheme="minorHAnsi" w:cs="Arial"/>
          <w:bCs/>
          <w:sz w:val="22"/>
          <w:szCs w:val="22"/>
          <w:lang w:val="en-GB"/>
        </w:rPr>
        <w:t xml:space="preserve"> to the date of confirmed distant metastases or to the date of last follow-up contact/death for censored patients. The </w:t>
      </w:r>
      <w:r w:rsidRPr="00585413">
        <w:rPr>
          <w:rFonts w:asciiTheme="minorHAnsi" w:hAnsiTheme="minorHAnsi" w:cs="Arial"/>
          <w:color w:val="000000"/>
          <w:sz w:val="22"/>
          <w:szCs w:val="22"/>
        </w:rPr>
        <w:t xml:space="preserve">p-values, hazard ratios (HR) and 95% CI of </w:t>
      </w:r>
      <w:r w:rsidRPr="00585413">
        <w:rPr>
          <w:rFonts w:asciiTheme="minorHAnsi" w:hAnsiTheme="minorHAnsi" w:cs="Arial"/>
          <w:bCs/>
          <w:sz w:val="22"/>
          <w:szCs w:val="22"/>
          <w:lang w:val="en-GB"/>
        </w:rPr>
        <w:t xml:space="preserve">different parameters concerning MFS </w:t>
      </w:r>
      <w:r w:rsidRPr="00585413">
        <w:rPr>
          <w:rFonts w:asciiTheme="minorHAnsi" w:hAnsiTheme="minorHAnsi" w:cs="Arial"/>
          <w:color w:val="000000"/>
          <w:sz w:val="22"/>
          <w:szCs w:val="22"/>
        </w:rPr>
        <w:t xml:space="preserve">were calculated using </w:t>
      </w:r>
      <w:r w:rsidRPr="00585413">
        <w:rPr>
          <w:rFonts w:asciiTheme="minorHAnsi" w:hAnsiTheme="minorHAnsi" w:cs="Arial"/>
          <w:bCs/>
          <w:sz w:val="22"/>
          <w:szCs w:val="22"/>
          <w:lang w:val="en-GB"/>
        </w:rPr>
        <w:t xml:space="preserve">univariate und multivariate </w:t>
      </w:r>
      <w:r w:rsidRPr="00585413">
        <w:rPr>
          <w:rFonts w:asciiTheme="minorHAnsi" w:hAnsiTheme="minorHAnsi" w:cs="Arial"/>
          <w:color w:val="000000"/>
          <w:sz w:val="22"/>
          <w:szCs w:val="22"/>
        </w:rPr>
        <w:t>Cox regression</w:t>
      </w:r>
      <w:r w:rsidRPr="00585413">
        <w:rPr>
          <w:rFonts w:asciiTheme="minorHAnsi" w:hAnsiTheme="minorHAnsi" w:cs="Arial"/>
          <w:bCs/>
          <w:sz w:val="22"/>
          <w:szCs w:val="22"/>
          <w:lang w:val="en-GB"/>
        </w:rPr>
        <w:t xml:space="preserve">. </w:t>
      </w:r>
      <w:r w:rsidRPr="00585413">
        <w:rPr>
          <w:rFonts w:asciiTheme="minorHAnsi" w:eastAsia="Calibri" w:hAnsiTheme="minorHAnsi"/>
          <w:sz w:val="22"/>
          <w:szCs w:val="22"/>
          <w:lang w:eastAsia="de-DE"/>
        </w:rPr>
        <w:t xml:space="preserve">The analysis was performed separately for each factor with the parameters listed in Table 1 and </w:t>
      </w:r>
      <w:r w:rsidR="002325EB" w:rsidRPr="00585413">
        <w:rPr>
          <w:rFonts w:asciiTheme="minorHAnsi" w:eastAsia="Calibri" w:hAnsiTheme="minorHAnsi"/>
          <w:sz w:val="22"/>
          <w:szCs w:val="22"/>
          <w:lang w:eastAsia="de-DE"/>
        </w:rPr>
        <w:t xml:space="preserve">in </w:t>
      </w:r>
      <w:r w:rsidR="002325EB" w:rsidRPr="00585413">
        <w:rPr>
          <w:rFonts w:ascii="Calibri" w:hAnsi="Calibri" w:cs="Arial"/>
          <w:sz w:val="22"/>
          <w:szCs w:val="22"/>
          <w:lang w:val="en-GB"/>
        </w:rPr>
        <w:t>Additional file 2</w:t>
      </w:r>
      <w:r w:rsidR="00A53819" w:rsidRPr="00585413">
        <w:rPr>
          <w:rFonts w:ascii="Calibri" w:hAnsi="Calibri" w:cs="Arial"/>
          <w:sz w:val="22"/>
          <w:szCs w:val="22"/>
          <w:lang w:val="en-GB"/>
        </w:rPr>
        <w:t>,</w:t>
      </w:r>
      <w:r w:rsidR="002325EB" w:rsidRPr="00585413">
        <w:rPr>
          <w:rFonts w:ascii="Calibri" w:hAnsi="Calibri" w:cs="Arial"/>
          <w:sz w:val="22"/>
          <w:szCs w:val="22"/>
          <w:lang w:val="en-GB"/>
        </w:rPr>
        <w:t xml:space="preserve"> </w:t>
      </w:r>
      <w:r w:rsidR="00E82295" w:rsidRPr="00585413">
        <w:rPr>
          <w:rFonts w:ascii="Calibri" w:hAnsi="Calibri" w:cs="Arial"/>
          <w:sz w:val="22"/>
          <w:szCs w:val="22"/>
          <w:lang w:val="en-GB"/>
        </w:rPr>
        <w:t xml:space="preserve">Supplementary </w:t>
      </w:r>
      <w:r w:rsidR="002325EB" w:rsidRPr="00585413">
        <w:rPr>
          <w:rFonts w:ascii="Calibri" w:hAnsi="Calibri" w:cs="Arial"/>
          <w:sz w:val="22"/>
          <w:szCs w:val="22"/>
          <w:lang w:val="en-GB"/>
        </w:rPr>
        <w:t xml:space="preserve">Table </w:t>
      </w:r>
      <w:r w:rsidR="00E82295" w:rsidRPr="00585413">
        <w:rPr>
          <w:rFonts w:asciiTheme="minorHAnsi" w:eastAsia="Calibri" w:hAnsiTheme="minorHAnsi"/>
          <w:sz w:val="22"/>
          <w:szCs w:val="22"/>
          <w:lang w:eastAsia="de-DE"/>
        </w:rPr>
        <w:t>5</w:t>
      </w:r>
      <w:r w:rsidRPr="00585413">
        <w:rPr>
          <w:rFonts w:asciiTheme="minorHAnsi" w:eastAsia="Calibri" w:hAnsiTheme="minorHAnsi"/>
          <w:sz w:val="22"/>
          <w:szCs w:val="22"/>
          <w:lang w:eastAsia="de-DE"/>
        </w:rPr>
        <w:t xml:space="preserve"> being introduced</w:t>
      </w:r>
      <w:r w:rsidRPr="003C7B8A">
        <w:rPr>
          <w:rFonts w:asciiTheme="minorHAnsi" w:eastAsia="Calibri" w:hAnsiTheme="minorHAnsi"/>
          <w:sz w:val="22"/>
          <w:szCs w:val="22"/>
          <w:lang w:eastAsia="de-DE"/>
        </w:rPr>
        <w:t xml:space="preserve"> as covariates, respectively. </w:t>
      </w:r>
      <w:r w:rsidRPr="003C7B8A">
        <w:rPr>
          <w:rFonts w:asciiTheme="minorHAnsi" w:hAnsiTheme="minorHAnsi" w:cs="Arial"/>
          <w:color w:val="000000"/>
          <w:sz w:val="22"/>
          <w:szCs w:val="22"/>
        </w:rPr>
        <w:t xml:space="preserve">Clustering of the tumors concerning KRAS G13 mutation, MACC1 expression, BRAF V600 mutation and MSI status was performed by the SPSS 2-step cluster function </w:t>
      </w:r>
      <w:r w:rsidRPr="003C7B8A">
        <w:rPr>
          <w:rFonts w:asciiTheme="minorHAnsi" w:hAnsiTheme="minorHAnsi" w:cs="Arial"/>
          <w:sz w:val="22"/>
          <w:szCs w:val="22"/>
        </w:rPr>
        <w:t>(Fig. 3).</w:t>
      </w:r>
      <w:r>
        <w:rPr>
          <w:rFonts w:asciiTheme="minorHAnsi" w:hAnsiTheme="minorHAnsi" w:cs="Arial"/>
          <w:sz w:val="22"/>
          <w:szCs w:val="22"/>
        </w:rPr>
        <w:t xml:space="preserve"> </w:t>
      </w:r>
      <w:r>
        <w:rPr>
          <w:rFonts w:ascii="Calibri" w:hAnsi="Calibri" w:cs="Arial"/>
          <w:sz w:val="22"/>
          <w:szCs w:val="22"/>
        </w:rPr>
        <w:t xml:space="preserve">Tumors harboring mutations in codon 12 (KRAS G12) were excluded for the </w:t>
      </w:r>
      <w:r>
        <w:rPr>
          <w:rFonts w:asciiTheme="minorHAnsi" w:hAnsiTheme="minorHAnsi" w:cs="Arial"/>
          <w:color w:val="000000"/>
          <w:sz w:val="22"/>
          <w:szCs w:val="22"/>
        </w:rPr>
        <w:t>2-step cluster analysis.</w:t>
      </w:r>
    </w:p>
    <w:sectPr w:rsidR="00ED4A86" w:rsidRPr="005F7EE7">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5D9" w:rsidRDefault="008425D9" w:rsidP="008425D9">
      <w:r>
        <w:separator/>
      </w:r>
    </w:p>
  </w:endnote>
  <w:endnote w:type="continuationSeparator" w:id="0">
    <w:p w:rsidR="008425D9" w:rsidRDefault="008425D9" w:rsidP="0084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TIXGeneral-Regular">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753213"/>
      <w:docPartObj>
        <w:docPartGallery w:val="Page Numbers (Bottom of Page)"/>
        <w:docPartUnique/>
      </w:docPartObj>
    </w:sdtPr>
    <w:sdtEndPr>
      <w:rPr>
        <w:rFonts w:asciiTheme="minorHAnsi" w:hAnsiTheme="minorHAnsi"/>
        <w:noProof/>
        <w:sz w:val="22"/>
        <w:szCs w:val="22"/>
      </w:rPr>
    </w:sdtEndPr>
    <w:sdtContent>
      <w:p w:rsidR="001A2F90" w:rsidRPr="001A2F90" w:rsidRDefault="001A2F90">
        <w:pPr>
          <w:pStyle w:val="Footer"/>
          <w:jc w:val="right"/>
          <w:rPr>
            <w:rFonts w:asciiTheme="minorHAnsi" w:hAnsiTheme="minorHAnsi"/>
            <w:sz w:val="22"/>
            <w:szCs w:val="22"/>
          </w:rPr>
        </w:pPr>
        <w:r w:rsidRPr="001A2F90">
          <w:rPr>
            <w:rFonts w:asciiTheme="minorHAnsi" w:hAnsiTheme="minorHAnsi"/>
            <w:sz w:val="22"/>
            <w:szCs w:val="22"/>
          </w:rPr>
          <w:fldChar w:fldCharType="begin"/>
        </w:r>
        <w:r w:rsidRPr="001A2F90">
          <w:rPr>
            <w:rFonts w:asciiTheme="minorHAnsi" w:hAnsiTheme="minorHAnsi"/>
            <w:sz w:val="22"/>
            <w:szCs w:val="22"/>
          </w:rPr>
          <w:instrText xml:space="preserve"> PAGE   \* MERGEFORMAT </w:instrText>
        </w:r>
        <w:r w:rsidRPr="001A2F90">
          <w:rPr>
            <w:rFonts w:asciiTheme="minorHAnsi" w:hAnsiTheme="minorHAnsi"/>
            <w:sz w:val="22"/>
            <w:szCs w:val="22"/>
          </w:rPr>
          <w:fldChar w:fldCharType="separate"/>
        </w:r>
        <w:r w:rsidR="00F17052">
          <w:rPr>
            <w:rFonts w:asciiTheme="minorHAnsi" w:hAnsiTheme="minorHAnsi"/>
            <w:noProof/>
            <w:sz w:val="22"/>
            <w:szCs w:val="22"/>
          </w:rPr>
          <w:t>2</w:t>
        </w:r>
        <w:r w:rsidRPr="001A2F90">
          <w:rPr>
            <w:rFonts w:asciiTheme="minorHAnsi" w:hAnsiTheme="minorHAnsi"/>
            <w:noProof/>
            <w:sz w:val="22"/>
            <w:szCs w:val="22"/>
          </w:rPr>
          <w:fldChar w:fldCharType="end"/>
        </w:r>
      </w:p>
    </w:sdtContent>
  </w:sdt>
  <w:p w:rsidR="001A2F90" w:rsidRDefault="001A2F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5D9" w:rsidRDefault="008425D9" w:rsidP="008425D9">
      <w:r>
        <w:separator/>
      </w:r>
    </w:p>
  </w:footnote>
  <w:footnote w:type="continuationSeparator" w:id="0">
    <w:p w:rsidR="008425D9" w:rsidRDefault="008425D9" w:rsidP="00842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D9" w:rsidRPr="008425D9" w:rsidRDefault="008425D9" w:rsidP="008425D9">
    <w:pPr>
      <w:pStyle w:val="Header"/>
      <w:jc w:val="right"/>
      <w:rPr>
        <w:rFonts w:asciiTheme="minorHAnsi" w:hAnsiTheme="minorHAnsi"/>
        <w:sz w:val="22"/>
        <w:szCs w:val="22"/>
      </w:rPr>
    </w:pPr>
    <w:r w:rsidRPr="00E07E7A">
      <w:rPr>
        <w:rFonts w:asciiTheme="minorHAnsi" w:hAnsiTheme="minorHAnsi"/>
        <w:sz w:val="22"/>
        <w:szCs w:val="22"/>
      </w:rPr>
      <w:t>Ilm et al.</w:t>
    </w:r>
  </w:p>
  <w:p w:rsidR="008425D9" w:rsidRDefault="008425D9">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mmner, Wolfgang">
    <w15:presenceInfo w15:providerId="None" w15:userId="Kemmner, Wolfg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EE7"/>
    <w:rsid w:val="000921D3"/>
    <w:rsid w:val="000D63C6"/>
    <w:rsid w:val="00127636"/>
    <w:rsid w:val="001A2F90"/>
    <w:rsid w:val="002325EB"/>
    <w:rsid w:val="00334A79"/>
    <w:rsid w:val="003A3536"/>
    <w:rsid w:val="00453EEA"/>
    <w:rsid w:val="00484D26"/>
    <w:rsid w:val="004B1F3B"/>
    <w:rsid w:val="00544A1A"/>
    <w:rsid w:val="00585413"/>
    <w:rsid w:val="005F7EE7"/>
    <w:rsid w:val="00654D28"/>
    <w:rsid w:val="007F5885"/>
    <w:rsid w:val="008425D9"/>
    <w:rsid w:val="00923B85"/>
    <w:rsid w:val="00974D33"/>
    <w:rsid w:val="00A50940"/>
    <w:rsid w:val="00A50B90"/>
    <w:rsid w:val="00A53819"/>
    <w:rsid w:val="00AB2A55"/>
    <w:rsid w:val="00B06DEB"/>
    <w:rsid w:val="00C82FD3"/>
    <w:rsid w:val="00D53F99"/>
    <w:rsid w:val="00DC4DE0"/>
    <w:rsid w:val="00DD38A6"/>
    <w:rsid w:val="00E13B8C"/>
    <w:rsid w:val="00E82295"/>
    <w:rsid w:val="00ED4A86"/>
    <w:rsid w:val="00F170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EE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eb1">
    <w:name w:val="Normal (Web)1"/>
    <w:basedOn w:val="Normal"/>
    <w:uiPriority w:val="99"/>
    <w:rsid w:val="005F7EE7"/>
    <w:pPr>
      <w:suppressAutoHyphens/>
      <w:spacing w:before="28" w:after="119" w:line="100" w:lineRule="atLeast"/>
    </w:pPr>
    <w:rPr>
      <w:kern w:val="1"/>
      <w:lang w:val="de-DE" w:eastAsia="ar-SA"/>
    </w:rPr>
  </w:style>
  <w:style w:type="paragraph" w:styleId="BalloonText">
    <w:name w:val="Balloon Text"/>
    <w:basedOn w:val="Normal"/>
    <w:link w:val="BalloonTextChar"/>
    <w:uiPriority w:val="99"/>
    <w:semiHidden/>
    <w:unhideWhenUsed/>
    <w:rsid w:val="005F7EE7"/>
    <w:rPr>
      <w:rFonts w:ascii="Tahoma" w:hAnsi="Tahoma" w:cs="Tahoma"/>
      <w:sz w:val="16"/>
      <w:szCs w:val="16"/>
    </w:rPr>
  </w:style>
  <w:style w:type="character" w:customStyle="1" w:styleId="BalloonTextChar">
    <w:name w:val="Balloon Text Char"/>
    <w:basedOn w:val="DefaultParagraphFont"/>
    <w:link w:val="BalloonText"/>
    <w:uiPriority w:val="99"/>
    <w:semiHidden/>
    <w:rsid w:val="005F7EE7"/>
    <w:rPr>
      <w:rFonts w:ascii="Tahoma" w:eastAsia="Times New Roman" w:hAnsi="Tahoma" w:cs="Tahoma"/>
      <w:sz w:val="16"/>
      <w:szCs w:val="16"/>
      <w:lang w:val="en-US"/>
    </w:rPr>
  </w:style>
  <w:style w:type="paragraph" w:styleId="Header">
    <w:name w:val="header"/>
    <w:basedOn w:val="Normal"/>
    <w:link w:val="HeaderChar"/>
    <w:uiPriority w:val="99"/>
    <w:unhideWhenUsed/>
    <w:rsid w:val="008425D9"/>
    <w:pPr>
      <w:tabs>
        <w:tab w:val="center" w:pos="4680"/>
        <w:tab w:val="right" w:pos="9360"/>
      </w:tabs>
    </w:pPr>
  </w:style>
  <w:style w:type="character" w:customStyle="1" w:styleId="HeaderChar">
    <w:name w:val="Header Char"/>
    <w:basedOn w:val="DefaultParagraphFont"/>
    <w:link w:val="Header"/>
    <w:uiPriority w:val="99"/>
    <w:rsid w:val="008425D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425D9"/>
    <w:pPr>
      <w:tabs>
        <w:tab w:val="center" w:pos="4680"/>
        <w:tab w:val="right" w:pos="9360"/>
      </w:tabs>
    </w:pPr>
  </w:style>
  <w:style w:type="character" w:customStyle="1" w:styleId="FooterChar">
    <w:name w:val="Footer Char"/>
    <w:basedOn w:val="DefaultParagraphFont"/>
    <w:link w:val="Footer"/>
    <w:uiPriority w:val="99"/>
    <w:rsid w:val="008425D9"/>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EE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eb1">
    <w:name w:val="Normal (Web)1"/>
    <w:basedOn w:val="Normal"/>
    <w:uiPriority w:val="99"/>
    <w:rsid w:val="005F7EE7"/>
    <w:pPr>
      <w:suppressAutoHyphens/>
      <w:spacing w:before="28" w:after="119" w:line="100" w:lineRule="atLeast"/>
    </w:pPr>
    <w:rPr>
      <w:kern w:val="1"/>
      <w:lang w:val="de-DE" w:eastAsia="ar-SA"/>
    </w:rPr>
  </w:style>
  <w:style w:type="paragraph" w:styleId="BalloonText">
    <w:name w:val="Balloon Text"/>
    <w:basedOn w:val="Normal"/>
    <w:link w:val="BalloonTextChar"/>
    <w:uiPriority w:val="99"/>
    <w:semiHidden/>
    <w:unhideWhenUsed/>
    <w:rsid w:val="005F7EE7"/>
    <w:rPr>
      <w:rFonts w:ascii="Tahoma" w:hAnsi="Tahoma" w:cs="Tahoma"/>
      <w:sz w:val="16"/>
      <w:szCs w:val="16"/>
    </w:rPr>
  </w:style>
  <w:style w:type="character" w:customStyle="1" w:styleId="BalloonTextChar">
    <w:name w:val="Balloon Text Char"/>
    <w:basedOn w:val="DefaultParagraphFont"/>
    <w:link w:val="BalloonText"/>
    <w:uiPriority w:val="99"/>
    <w:semiHidden/>
    <w:rsid w:val="005F7EE7"/>
    <w:rPr>
      <w:rFonts w:ascii="Tahoma" w:eastAsia="Times New Roman" w:hAnsi="Tahoma" w:cs="Tahoma"/>
      <w:sz w:val="16"/>
      <w:szCs w:val="16"/>
      <w:lang w:val="en-US"/>
    </w:rPr>
  </w:style>
  <w:style w:type="paragraph" w:styleId="Header">
    <w:name w:val="header"/>
    <w:basedOn w:val="Normal"/>
    <w:link w:val="HeaderChar"/>
    <w:uiPriority w:val="99"/>
    <w:unhideWhenUsed/>
    <w:rsid w:val="008425D9"/>
    <w:pPr>
      <w:tabs>
        <w:tab w:val="center" w:pos="4680"/>
        <w:tab w:val="right" w:pos="9360"/>
      </w:tabs>
    </w:pPr>
  </w:style>
  <w:style w:type="character" w:customStyle="1" w:styleId="HeaderChar">
    <w:name w:val="Header Char"/>
    <w:basedOn w:val="DefaultParagraphFont"/>
    <w:link w:val="Header"/>
    <w:uiPriority w:val="99"/>
    <w:rsid w:val="008425D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425D9"/>
    <w:pPr>
      <w:tabs>
        <w:tab w:val="center" w:pos="4680"/>
        <w:tab w:val="right" w:pos="9360"/>
      </w:tabs>
    </w:pPr>
  </w:style>
  <w:style w:type="character" w:customStyle="1" w:styleId="FooterChar">
    <w:name w:val="Footer Char"/>
    <w:basedOn w:val="DefaultParagraphFont"/>
    <w:link w:val="Footer"/>
    <w:uiPriority w:val="99"/>
    <w:rsid w:val="008425D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3744</Words>
  <Characters>21345</Characters>
  <Application>Microsoft Office Word</Application>
  <DocSecurity>0</DocSecurity>
  <Lines>177</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katha.ilm</dc:creator>
  <cp:lastModifiedBy>AG Stein_Walther</cp:lastModifiedBy>
  <cp:revision>3</cp:revision>
  <cp:lastPrinted>2014-10-31T15:11:00Z</cp:lastPrinted>
  <dcterms:created xsi:type="dcterms:W3CDTF">2015-02-10T08:12:00Z</dcterms:created>
  <dcterms:modified xsi:type="dcterms:W3CDTF">2015-02-10T09:18:00Z</dcterms:modified>
</cp:coreProperties>
</file>