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:rsidR="006B0EEB" w:rsidRDefault="006B0EEB" w:rsidP="006B0EEB">
      <w:pPr>
        <w:pStyle w:val="Titel"/>
      </w:pPr>
      <w:r w:rsidRPr="009A31C1">
        <w:t>MRI Markers and Functional Performance in Patients with CIS and MS: A Cross-Sectional Study</w:t>
      </w:r>
      <w:r w:rsidRPr="00376CC5">
        <w:t xml:space="preserve"> </w:t>
      </w:r>
    </w:p>
    <w:p w:rsidR="006B0EEB" w:rsidRDefault="006B0EEB" w:rsidP="006B0EEB">
      <w:pPr>
        <w:rPr>
          <w:vertAlign w:val="superscript"/>
        </w:rPr>
      </w:pPr>
      <w:r w:rsidRPr="009A31C1">
        <w:t>Ludwig Rasche, Michael Scheel, Karen Otte, Patrik Althoff, Annemieke Van Vuuren</w:t>
      </w:r>
      <w:r>
        <w:t>, Rene M.</w:t>
      </w:r>
      <w:r w:rsidRPr="009A31C1">
        <w:t xml:space="preserve"> Gieß, </w:t>
      </w:r>
      <w:r>
        <w:t xml:space="preserve">Joseph Kuchling, </w:t>
      </w:r>
      <w:r w:rsidRPr="009A31C1">
        <w:t>Judith Bellmann-Strobl, Klemens Ruprecht, Friedemann Paul, Alexander U. Brandt, Tanja Schmitz-Hübsch</w:t>
      </w:r>
      <w:r w:rsidRPr="009A31C1">
        <w:rPr>
          <w:vertAlign w:val="superscript"/>
        </w:rPr>
        <w:t>*</w:t>
      </w:r>
    </w:p>
    <w:p w:rsidR="00E9086C" w:rsidRPr="006F32CD" w:rsidRDefault="00DF3536" w:rsidP="00DF3536">
      <w:pPr>
        <w:spacing w:before="240"/>
        <w:rPr>
          <w:b/>
        </w:rPr>
      </w:pPr>
      <w:r w:rsidRPr="00495AF2">
        <w:rPr>
          <w:b/>
        </w:rPr>
        <w:t xml:space="preserve">* Correspondence: </w:t>
      </w:r>
      <w:r w:rsidRPr="00495AF2">
        <w:rPr>
          <w:b/>
        </w:rPr>
        <w:br/>
      </w:r>
      <w:r w:rsidRPr="00495AF2">
        <w:t>Corresponding Author</w:t>
      </w:r>
      <w:r w:rsidRPr="00495AF2">
        <w:br/>
      </w:r>
      <w:hyperlink r:id="rId8" w:history="1">
        <w:r w:rsidR="00E9086C" w:rsidRPr="0093486F">
          <w:rPr>
            <w:rStyle w:val="Hyperlink"/>
          </w:rPr>
          <w:t>tanja.schmitz-huebsch@charite.de</w:t>
        </w:r>
      </w:hyperlink>
    </w:p>
    <w:p w:rsidR="00994A3D" w:rsidRPr="00994A3D" w:rsidRDefault="00654E8F" w:rsidP="0001436A">
      <w:pPr>
        <w:pStyle w:val="berschrift1"/>
      </w:pPr>
      <w:r w:rsidRPr="00994A3D">
        <w:t>Supplementary Figures and Tables</w:t>
      </w:r>
    </w:p>
    <w:p w:rsidR="00994A3D" w:rsidRPr="00E9086C" w:rsidRDefault="006F32CD" w:rsidP="00E9086C">
      <w:pPr>
        <w:pStyle w:val="berschrift2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608965</wp:posOffset>
            </wp:positionV>
            <wp:extent cx="2879725" cy="2879725"/>
            <wp:effectExtent l="0" t="0" r="3175" b="317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e S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A3D" w:rsidRPr="0001436A">
        <w:t>Supplementary</w:t>
      </w:r>
      <w:r w:rsidR="00994A3D" w:rsidRPr="001549D3">
        <w:t xml:space="preserve"> Figures</w:t>
      </w:r>
    </w:p>
    <w:p w:rsidR="006F32CD" w:rsidRDefault="006F32CD" w:rsidP="006F32CD">
      <w:pPr>
        <w:keepNext/>
      </w:pPr>
    </w:p>
    <w:p w:rsidR="006F32CD" w:rsidRDefault="006F32CD" w:rsidP="006F32CD">
      <w:pPr>
        <w:keepNext/>
      </w:pPr>
    </w:p>
    <w:p w:rsidR="006F32CD" w:rsidRDefault="006F32CD" w:rsidP="006F32CD">
      <w:pPr>
        <w:keepNext/>
      </w:pPr>
    </w:p>
    <w:p w:rsidR="006F32CD" w:rsidRDefault="006F32CD" w:rsidP="006F32CD">
      <w:pPr>
        <w:keepNext/>
      </w:pPr>
    </w:p>
    <w:p w:rsidR="006F32CD" w:rsidRDefault="006F32CD" w:rsidP="006F32CD">
      <w:pPr>
        <w:keepNext/>
      </w:pPr>
    </w:p>
    <w:p w:rsidR="006F32CD" w:rsidRDefault="006F32CD" w:rsidP="006F32CD">
      <w:pPr>
        <w:keepNext/>
      </w:pPr>
    </w:p>
    <w:p w:rsidR="006F32CD" w:rsidRDefault="006F32CD" w:rsidP="006F32CD">
      <w:pPr>
        <w:keepNext/>
      </w:pPr>
    </w:p>
    <w:p w:rsidR="006F32CD" w:rsidRDefault="006F32CD" w:rsidP="006F32CD">
      <w:pPr>
        <w:keepNext/>
      </w:pPr>
    </w:p>
    <w:p w:rsidR="006F32CD" w:rsidRDefault="006F32CD" w:rsidP="006F32CD">
      <w:pPr>
        <w:keepNext/>
      </w:pPr>
    </w:p>
    <w:p w:rsidR="006F32CD" w:rsidRDefault="006F32CD" w:rsidP="006F32CD">
      <w:pPr>
        <w:keepNext/>
      </w:pPr>
    </w:p>
    <w:p w:rsidR="006F32CD" w:rsidRDefault="006F32CD" w:rsidP="006F32CD">
      <w:pPr>
        <w:keepNext/>
      </w:pPr>
    </w:p>
    <w:p w:rsidR="006F32CD" w:rsidRDefault="006F32CD" w:rsidP="006F32CD">
      <w:pPr>
        <w:keepNext/>
      </w:pPr>
    </w:p>
    <w:p w:rsidR="006F32CD" w:rsidRDefault="006F32CD" w:rsidP="006F32CD">
      <w:pPr>
        <w:keepNext/>
      </w:pPr>
    </w:p>
    <w:p w:rsidR="006F32CD" w:rsidRDefault="006F32CD" w:rsidP="006F32CD">
      <w:pPr>
        <w:keepNext/>
      </w:pPr>
    </w:p>
    <w:p w:rsidR="006F32CD" w:rsidRDefault="006F32CD" w:rsidP="006F32CD">
      <w:pPr>
        <w:keepNext/>
      </w:pPr>
    </w:p>
    <w:p w:rsidR="006F32CD" w:rsidRDefault="006F32CD" w:rsidP="006F32CD">
      <w:pPr>
        <w:pStyle w:val="AuthorList"/>
      </w:pPr>
    </w:p>
    <w:p w:rsidR="00CC0630" w:rsidRPr="006F32CD" w:rsidRDefault="00994A3D" w:rsidP="006F32CD">
      <w:pPr>
        <w:pStyle w:val="AuthorList"/>
        <w:rPr>
          <w:b w:val="0"/>
        </w:rPr>
      </w:pPr>
      <w:r w:rsidRPr="0001436A">
        <w:lastRenderedPageBreak/>
        <w:t xml:space="preserve">Supplementary Figure </w:t>
      </w:r>
      <w:r w:rsidR="00642034">
        <w:rPr>
          <w:noProof/>
        </w:rPr>
        <w:fldChar w:fldCharType="begin"/>
      </w:r>
      <w:r w:rsidR="00642034">
        <w:rPr>
          <w:noProof/>
        </w:rPr>
        <w:instrText xml:space="preserve"> SEQ Figure \* ARABIC </w:instrText>
      </w:r>
      <w:r w:rsidR="00642034">
        <w:rPr>
          <w:noProof/>
        </w:rPr>
        <w:fldChar w:fldCharType="separate"/>
      </w:r>
      <w:r w:rsidR="006B0EEB">
        <w:rPr>
          <w:noProof/>
        </w:rPr>
        <w:t>1</w:t>
      </w:r>
      <w:r w:rsidR="00642034">
        <w:rPr>
          <w:noProof/>
        </w:rPr>
        <w:fldChar w:fldCharType="end"/>
      </w:r>
      <w:r w:rsidRPr="0001436A">
        <w:t>.</w:t>
      </w:r>
      <w:r w:rsidRPr="001549D3">
        <w:t xml:space="preserve"> </w:t>
      </w:r>
      <w:r w:rsidR="00CC0630" w:rsidRPr="00D9218D">
        <w:rPr>
          <w:b w:val="0"/>
        </w:rPr>
        <w:t xml:space="preserve">Association of </w:t>
      </w:r>
      <w:r w:rsidR="00E9086C">
        <w:rPr>
          <w:b w:val="0"/>
        </w:rPr>
        <w:t xml:space="preserve">time since onset and age in </w:t>
      </w:r>
      <w:r w:rsidR="00E8299D">
        <w:rPr>
          <w:b w:val="0"/>
        </w:rPr>
        <w:t>all patients</w:t>
      </w:r>
      <w:r w:rsidR="00CC0630" w:rsidRPr="00D9218D">
        <w:rPr>
          <w:b w:val="0"/>
        </w:rPr>
        <w:t>. Given are the spearman´s rho and p. When excluding the two individuals with a time since onset &gt;10years, only a trend remained for this correlation (r</w:t>
      </w:r>
      <w:r w:rsidR="00CC0630" w:rsidRPr="00225ABD">
        <w:rPr>
          <w:b w:val="0"/>
          <w:vertAlign w:val="subscript"/>
        </w:rPr>
        <w:t>s</w:t>
      </w:r>
      <w:r w:rsidR="00CC0630" w:rsidRPr="00D9218D">
        <w:rPr>
          <w:b w:val="0"/>
        </w:rPr>
        <w:t>=0.21, p=0.053).</w:t>
      </w:r>
    </w:p>
    <w:p w:rsidR="00CC0630" w:rsidRDefault="00CC0630" w:rsidP="00CC0630">
      <w:pPr>
        <w:pStyle w:val="NCRCtext"/>
        <w:rPr>
          <w:rFonts w:eastAsiaTheme="minorHAnsi"/>
        </w:rPr>
      </w:pPr>
    </w:p>
    <w:p w:rsidR="006F32CD" w:rsidRDefault="006F32CD" w:rsidP="00CC0630">
      <w:pPr>
        <w:pStyle w:val="NCRCtext"/>
        <w:rPr>
          <w:rFonts w:eastAsiaTheme="minorHAnsi"/>
        </w:rPr>
      </w:pPr>
      <w:r>
        <w:rPr>
          <w:rFonts w:eastAsiaTheme="minorHAnsi"/>
          <w:noProof/>
        </w:rPr>
        <w:drawing>
          <wp:inline distT="0" distB="0" distL="0" distR="0">
            <wp:extent cx="3600000" cy="36000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eS2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2CD" w:rsidRPr="006F32CD" w:rsidRDefault="006F32CD" w:rsidP="00CC0630">
      <w:pPr>
        <w:pStyle w:val="NCRCtext"/>
      </w:pPr>
      <w:r w:rsidRPr="006F32CD">
        <w:rPr>
          <w:b/>
        </w:rPr>
        <w:t>Supplementary Figure 2.</w:t>
      </w:r>
      <w:r w:rsidRPr="001549D3">
        <w:t xml:space="preserve"> </w:t>
      </w:r>
      <w:r w:rsidRPr="00D9218D">
        <w:t xml:space="preserve">Association of </w:t>
      </w:r>
      <w:r>
        <w:t xml:space="preserve">short maximum walking speed (SMSW) and age in </w:t>
      </w:r>
      <w:r w:rsidR="00E8299D">
        <w:t>patients with relapsing-remitting multiple sclerosis (</w:t>
      </w:r>
      <w:r>
        <w:t>RR</w:t>
      </w:r>
      <w:r w:rsidRPr="00D9218D">
        <w:t>MS</w:t>
      </w:r>
      <w:r w:rsidR="00E8299D">
        <w:t>)</w:t>
      </w:r>
      <w:r>
        <w:t>, stratified by sex. Given are the Pearsons r</w:t>
      </w:r>
      <w:r w:rsidRPr="00D9218D">
        <w:t xml:space="preserve"> and p. </w:t>
      </w:r>
    </w:p>
    <w:p w:rsidR="006F32CD" w:rsidRDefault="006F32CD" w:rsidP="00CC0630">
      <w:pPr>
        <w:pStyle w:val="NCRCtext"/>
        <w:rPr>
          <w:rFonts w:eastAsiaTheme="minorHAnsi"/>
        </w:rPr>
      </w:pPr>
    </w:p>
    <w:p w:rsidR="006F32CD" w:rsidRDefault="006F32CD" w:rsidP="00CC0630">
      <w:pPr>
        <w:pStyle w:val="NCRCtext"/>
        <w:rPr>
          <w:rFonts w:eastAsiaTheme="minorHAnsi"/>
        </w:rPr>
      </w:pPr>
    </w:p>
    <w:p w:rsidR="006F32CD" w:rsidRDefault="006F32CD" w:rsidP="00CC0630">
      <w:pPr>
        <w:pStyle w:val="NCRCtext"/>
        <w:rPr>
          <w:rFonts w:eastAsiaTheme="minorHAnsi"/>
        </w:rPr>
      </w:pPr>
    </w:p>
    <w:p w:rsidR="006F32CD" w:rsidRDefault="00CC0630" w:rsidP="006F32CD">
      <w:pPr>
        <w:pStyle w:val="berschrift2"/>
      </w:pPr>
      <w:r>
        <w:t>Supplementary Tables</w:t>
      </w:r>
    </w:p>
    <w:p w:rsidR="006F32CD" w:rsidRPr="006F32CD" w:rsidRDefault="006F32CD" w:rsidP="006F32CD">
      <w:pPr>
        <w:rPr>
          <w:lang w:val="en-US" w:eastAsia="en-US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1057"/>
        <w:gridCol w:w="1060"/>
        <w:gridCol w:w="1060"/>
        <w:gridCol w:w="1060"/>
        <w:gridCol w:w="1057"/>
        <w:gridCol w:w="1060"/>
        <w:gridCol w:w="1060"/>
        <w:gridCol w:w="1060"/>
        <w:gridCol w:w="1057"/>
        <w:gridCol w:w="1060"/>
        <w:gridCol w:w="1060"/>
        <w:gridCol w:w="1055"/>
      </w:tblGrid>
      <w:tr w:rsidR="00BC24FC" w:rsidTr="00BC24FC">
        <w:trPr>
          <w:trHeight w:val="3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468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Dependent variables:</w:t>
            </w:r>
          </w:p>
        </w:tc>
      </w:tr>
      <w:tr w:rsidR="00BC24FC" w:rsidTr="00BC24FC">
        <w:trPr>
          <w:trHeight w:val="3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SDMT</w:t>
            </w: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9HPTr</w:t>
            </w: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SMSW speed</w:t>
            </w:r>
          </w:p>
        </w:tc>
        <w:tc>
          <w:tcPr>
            <w:tcW w:w="11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EDSS</w:t>
            </w:r>
          </w:p>
        </w:tc>
      </w:tr>
      <w:tr w:rsidR="00BC24FC" w:rsidTr="00BC24FC">
        <w:trPr>
          <w:trHeight w:val="3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Age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C24FC">
              <w:rPr>
                <w:i/>
                <w:color w:val="000000"/>
                <w:sz w:val="20"/>
                <w:szCs w:val="20"/>
              </w:rPr>
              <w:t>-0.361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C24FC">
              <w:rPr>
                <w:i/>
                <w:color w:val="000000"/>
                <w:sz w:val="20"/>
                <w:szCs w:val="20"/>
              </w:rPr>
              <w:t>-0.361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C24FC">
              <w:rPr>
                <w:i/>
                <w:color w:val="000000"/>
                <w:sz w:val="20"/>
                <w:szCs w:val="20"/>
              </w:rPr>
              <w:t>-0.360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C24FC">
              <w:rPr>
                <w:i/>
                <w:color w:val="000000"/>
                <w:sz w:val="20"/>
                <w:szCs w:val="20"/>
              </w:rPr>
              <w:t>-0.491</w:t>
            </w:r>
            <w:r w:rsidRPr="00BC24FC">
              <w:rPr>
                <w:i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C24FC">
              <w:rPr>
                <w:i/>
                <w:color w:val="000000"/>
                <w:sz w:val="20"/>
                <w:szCs w:val="20"/>
              </w:rPr>
              <w:t>-0.488</w:t>
            </w:r>
            <w:r w:rsidRPr="00BC24FC">
              <w:rPr>
                <w:i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C24FC">
              <w:rPr>
                <w:i/>
                <w:color w:val="000000"/>
                <w:sz w:val="20"/>
                <w:szCs w:val="20"/>
              </w:rPr>
              <w:t>-0.481</w:t>
            </w:r>
            <w:r w:rsidRPr="00BC24FC">
              <w:rPr>
                <w:i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C24FC">
              <w:rPr>
                <w:i/>
                <w:color w:val="000000"/>
                <w:sz w:val="20"/>
                <w:szCs w:val="20"/>
              </w:rPr>
              <w:t>-0.235</w:t>
            </w:r>
            <w:r w:rsidRPr="00BC24FC">
              <w:rPr>
                <w:i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C24FC">
              <w:rPr>
                <w:i/>
                <w:color w:val="000000"/>
                <w:sz w:val="20"/>
                <w:szCs w:val="20"/>
              </w:rPr>
              <w:t>-0.237</w:t>
            </w:r>
            <w:r w:rsidRPr="00BC24FC">
              <w:rPr>
                <w:i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C24FC">
              <w:rPr>
                <w:i/>
                <w:color w:val="000000"/>
                <w:sz w:val="20"/>
                <w:szCs w:val="20"/>
              </w:rPr>
              <w:t>-0.214</w:t>
            </w:r>
            <w:r w:rsidRPr="00BC24FC">
              <w:rPr>
                <w:i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C24FC">
              <w:rPr>
                <w:i/>
                <w:color w:val="000000"/>
                <w:sz w:val="20"/>
                <w:szCs w:val="20"/>
              </w:rPr>
              <w:t>0.419</w:t>
            </w:r>
            <w:r w:rsidRPr="00BC24FC">
              <w:rPr>
                <w:i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C24FC">
              <w:rPr>
                <w:i/>
                <w:color w:val="000000"/>
                <w:sz w:val="20"/>
                <w:szCs w:val="20"/>
              </w:rPr>
              <w:t>0.419</w:t>
            </w:r>
            <w:r w:rsidRPr="00BC24FC">
              <w:rPr>
                <w:i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C24FC">
              <w:rPr>
                <w:i/>
                <w:color w:val="000000"/>
                <w:sz w:val="20"/>
                <w:szCs w:val="20"/>
              </w:rPr>
              <w:t>0.385</w:t>
            </w:r>
            <w:r w:rsidRPr="00BC24FC">
              <w:rPr>
                <w:i/>
                <w:color w:val="000000"/>
                <w:sz w:val="20"/>
                <w:szCs w:val="20"/>
                <w:vertAlign w:val="superscript"/>
              </w:rPr>
              <w:t>***</w:t>
            </w:r>
          </w:p>
        </w:tc>
      </w:tr>
      <w:tr w:rsidR="00BC24FC" w:rsidTr="00BC24FC">
        <w:trPr>
          <w:trHeight w:val="3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= 0.016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= 0.016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= 0.019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&lt; 0.0001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&lt; 0.0001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&lt; 0.0001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&lt; 0.0001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&lt; 0.0001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&lt; 0.0001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&lt; 0.0001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&lt; 0.0001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&lt; 0.0001</w:t>
            </w:r>
          </w:p>
        </w:tc>
      </w:tr>
      <w:tr w:rsidR="00BC24FC" w:rsidTr="00BC24FC">
        <w:trPr>
          <w:trHeight w:val="3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SexM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C24FC">
              <w:rPr>
                <w:i/>
                <w:color w:val="000000"/>
                <w:sz w:val="20"/>
                <w:szCs w:val="20"/>
              </w:rPr>
              <w:t>0.044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C24FC">
              <w:rPr>
                <w:i/>
                <w:color w:val="000000"/>
                <w:sz w:val="20"/>
                <w:szCs w:val="20"/>
              </w:rPr>
              <w:t>0.044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</w:rPr>
            </w:pPr>
            <w:r w:rsidRPr="00BC24FC">
              <w:rPr>
                <w:i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C24FC">
              <w:rPr>
                <w:i/>
                <w:color w:val="000000"/>
                <w:sz w:val="20"/>
                <w:szCs w:val="20"/>
              </w:rPr>
              <w:t>-0.164</w:t>
            </w:r>
            <w:r w:rsidRPr="00BC24FC">
              <w:rPr>
                <w:i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C24FC">
              <w:rPr>
                <w:i/>
                <w:color w:val="000000"/>
                <w:sz w:val="20"/>
                <w:szCs w:val="20"/>
              </w:rPr>
              <w:t>-0.159</w:t>
            </w:r>
            <w:r w:rsidRPr="00BC24FC">
              <w:rPr>
                <w:i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</w:rPr>
            </w:pPr>
            <w:r w:rsidRPr="00BC24FC">
              <w:rPr>
                <w:i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C24FC">
              <w:rPr>
                <w:i/>
                <w:color w:val="000000"/>
                <w:sz w:val="20"/>
                <w:szCs w:val="20"/>
              </w:rPr>
              <w:t>0.368</w:t>
            </w:r>
            <w:r w:rsidRPr="00BC24FC">
              <w:rPr>
                <w:i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C24FC">
              <w:rPr>
                <w:i/>
                <w:color w:val="000000"/>
                <w:sz w:val="20"/>
                <w:szCs w:val="20"/>
              </w:rPr>
              <w:t>0.377</w:t>
            </w:r>
            <w:r w:rsidRPr="00BC24FC">
              <w:rPr>
                <w:i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</w:rPr>
            </w:pPr>
            <w:r w:rsidRPr="00BC24FC">
              <w:rPr>
                <w:i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C24FC">
              <w:rPr>
                <w:i/>
                <w:color w:val="000000"/>
                <w:sz w:val="20"/>
                <w:szCs w:val="20"/>
              </w:rPr>
              <w:t>0.081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C24FC">
              <w:rPr>
                <w:i/>
                <w:color w:val="000000"/>
                <w:sz w:val="20"/>
                <w:szCs w:val="20"/>
              </w:rPr>
              <w:t>0.069</w:t>
            </w:r>
          </w:p>
        </w:tc>
      </w:tr>
      <w:tr w:rsidR="00BC24FC" w:rsidTr="00BC24FC">
        <w:trPr>
          <w:trHeight w:val="3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= 0.989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= 0.989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&lt; 0.0001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&lt; 0.0001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&lt; 0.0001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&lt; 0.0001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= 0.714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= 0.753</w:t>
            </w:r>
          </w:p>
        </w:tc>
      </w:tr>
      <w:tr w:rsidR="00BC24FC" w:rsidTr="00BC24FC">
        <w:trPr>
          <w:trHeight w:val="3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logT2C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C24FC">
              <w:rPr>
                <w:i/>
                <w:color w:val="000000"/>
                <w:sz w:val="20"/>
                <w:szCs w:val="20"/>
              </w:rPr>
              <w:t>-0.010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</w:rPr>
            </w:pPr>
            <w:r w:rsidRPr="00BC24FC">
              <w:rPr>
                <w:i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C24FC">
              <w:rPr>
                <w:i/>
                <w:color w:val="000000"/>
                <w:sz w:val="20"/>
                <w:szCs w:val="20"/>
              </w:rPr>
              <w:t>-0.054</w:t>
            </w:r>
            <w:r w:rsidRPr="00BC24FC">
              <w:rPr>
                <w:i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</w:rPr>
            </w:pPr>
            <w:r w:rsidRPr="00BC24FC">
              <w:rPr>
                <w:i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C24FC">
              <w:rPr>
                <w:i/>
                <w:color w:val="000000"/>
                <w:sz w:val="20"/>
                <w:szCs w:val="20"/>
              </w:rPr>
              <w:t>-0.147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</w:rPr>
            </w:pPr>
            <w:r w:rsidRPr="00BC24FC">
              <w:rPr>
                <w:i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C24FC">
              <w:rPr>
                <w:i/>
                <w:color w:val="000000"/>
                <w:sz w:val="20"/>
                <w:szCs w:val="20"/>
              </w:rPr>
              <w:t>0.213</w:t>
            </w:r>
          </w:p>
        </w:tc>
      </w:tr>
      <w:tr w:rsidR="00BC24FC" w:rsidTr="00BC24FC">
        <w:trPr>
          <w:trHeight w:val="3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= 0.998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&lt; 0.0001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= 0.048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= 0.374</w:t>
            </w:r>
          </w:p>
        </w:tc>
      </w:tr>
      <w:tr w:rsidR="00BC24FC" w:rsidTr="00BC24FC">
        <w:trPr>
          <w:trHeight w:val="3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0.241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0.268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0.270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0.227</w:t>
            </w:r>
          </w:p>
        </w:tc>
      </w:tr>
      <w:tr w:rsidR="00BC24FC" w:rsidTr="00BC24FC">
        <w:trPr>
          <w:trHeight w:val="3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8.550</w:t>
            </w:r>
            <w:r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2.798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17.128</w:t>
            </w:r>
            <w:r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9.682</w:t>
            </w:r>
            <w:r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6.426</w:t>
            </w:r>
            <w:r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3.341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6.598</w:t>
            </w:r>
            <w:r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4.926</w:t>
            </w:r>
            <w:r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12.163</w:t>
            </w:r>
            <w:r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6.249</w:t>
            </w:r>
            <w:r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5.372</w:t>
            </w:r>
            <w:r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BC24FC" w:rsidTr="00BC24FC">
        <w:trPr>
          <w:trHeight w:val="3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SDMT</w:t>
            </w: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9HPTr</w:t>
            </w: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SMSW speed</w:t>
            </w:r>
          </w:p>
        </w:tc>
        <w:tc>
          <w:tcPr>
            <w:tcW w:w="11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EDSS</w:t>
            </w:r>
          </w:p>
        </w:tc>
      </w:tr>
      <w:tr w:rsidR="00BC24FC" w:rsidTr="00BC24FC">
        <w:trPr>
          <w:trHeight w:val="3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Age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C24FC">
              <w:rPr>
                <w:i/>
                <w:color w:val="000000"/>
                <w:sz w:val="20"/>
                <w:szCs w:val="20"/>
              </w:rPr>
              <w:t>-0.361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C24FC">
              <w:rPr>
                <w:i/>
                <w:color w:val="000000"/>
                <w:sz w:val="20"/>
                <w:szCs w:val="20"/>
              </w:rPr>
              <w:t>-0.361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C24FC">
              <w:rPr>
                <w:i/>
                <w:color w:val="000000"/>
                <w:sz w:val="20"/>
                <w:szCs w:val="20"/>
              </w:rPr>
              <w:t>-0.365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C24FC">
              <w:rPr>
                <w:i/>
                <w:color w:val="000000"/>
                <w:sz w:val="20"/>
                <w:szCs w:val="20"/>
              </w:rPr>
              <w:t>-0.491</w:t>
            </w:r>
            <w:r w:rsidRPr="00BC24FC">
              <w:rPr>
                <w:i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C24FC">
              <w:rPr>
                <w:i/>
                <w:color w:val="000000"/>
                <w:sz w:val="20"/>
                <w:szCs w:val="20"/>
              </w:rPr>
              <w:t>-0.488</w:t>
            </w:r>
            <w:r w:rsidRPr="00BC24FC">
              <w:rPr>
                <w:i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C24FC">
              <w:rPr>
                <w:i/>
                <w:color w:val="000000"/>
                <w:sz w:val="20"/>
                <w:szCs w:val="20"/>
              </w:rPr>
              <w:t>-0.482</w:t>
            </w:r>
            <w:r w:rsidRPr="00BC24FC">
              <w:rPr>
                <w:i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C24FC">
              <w:rPr>
                <w:i/>
                <w:color w:val="000000"/>
                <w:sz w:val="20"/>
                <w:szCs w:val="20"/>
              </w:rPr>
              <w:t>-0.235</w:t>
            </w:r>
            <w:r w:rsidRPr="00BC24FC">
              <w:rPr>
                <w:i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C24FC">
              <w:rPr>
                <w:i/>
                <w:color w:val="000000"/>
                <w:sz w:val="20"/>
                <w:szCs w:val="20"/>
              </w:rPr>
              <w:t>-0.237</w:t>
            </w:r>
            <w:r w:rsidRPr="00BC24FC">
              <w:rPr>
                <w:i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C24FC">
              <w:rPr>
                <w:i/>
                <w:color w:val="000000"/>
                <w:sz w:val="20"/>
                <w:szCs w:val="20"/>
              </w:rPr>
              <w:t>-0.224</w:t>
            </w:r>
            <w:r w:rsidRPr="00BC24FC">
              <w:rPr>
                <w:i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C24FC">
              <w:rPr>
                <w:i/>
                <w:color w:val="000000"/>
                <w:sz w:val="20"/>
                <w:szCs w:val="20"/>
              </w:rPr>
              <w:t>0.419</w:t>
            </w:r>
            <w:r w:rsidRPr="00BC24FC">
              <w:rPr>
                <w:i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C24FC">
              <w:rPr>
                <w:i/>
                <w:color w:val="000000"/>
                <w:sz w:val="20"/>
                <w:szCs w:val="20"/>
              </w:rPr>
              <w:t>0.419</w:t>
            </w:r>
            <w:r w:rsidRPr="00BC24FC">
              <w:rPr>
                <w:i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C24FC">
              <w:rPr>
                <w:i/>
                <w:color w:val="000000"/>
                <w:sz w:val="20"/>
                <w:szCs w:val="20"/>
              </w:rPr>
              <w:t>0.405</w:t>
            </w:r>
            <w:r w:rsidRPr="00BC24FC">
              <w:rPr>
                <w:i/>
                <w:color w:val="000000"/>
                <w:sz w:val="20"/>
                <w:szCs w:val="20"/>
                <w:vertAlign w:val="superscript"/>
              </w:rPr>
              <w:t>***</w:t>
            </w:r>
          </w:p>
        </w:tc>
      </w:tr>
      <w:tr w:rsidR="00BC24FC" w:rsidTr="00BC24FC">
        <w:trPr>
          <w:trHeight w:val="3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= 0.016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= 0.016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= 0.016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&lt; 0.0001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&lt; 0.0001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&lt; 0.0001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&lt; 0.0001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&lt; 0.0001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&lt; 0.0001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&lt; 0.0001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&lt; 0.0001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&lt; 0.0001</w:t>
            </w:r>
          </w:p>
        </w:tc>
      </w:tr>
      <w:tr w:rsidR="00BC24FC" w:rsidTr="00BC24FC">
        <w:trPr>
          <w:trHeight w:val="3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SexM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C24FC">
              <w:rPr>
                <w:i/>
                <w:color w:val="000000"/>
                <w:sz w:val="20"/>
                <w:szCs w:val="20"/>
              </w:rPr>
              <w:t>0.044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C24FC">
              <w:rPr>
                <w:i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</w:rPr>
            </w:pPr>
            <w:r w:rsidRPr="00BC24FC">
              <w:rPr>
                <w:i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C24FC">
              <w:rPr>
                <w:i/>
                <w:color w:val="000000"/>
                <w:sz w:val="20"/>
                <w:szCs w:val="20"/>
              </w:rPr>
              <w:t>-0.164</w:t>
            </w:r>
            <w:r w:rsidRPr="00BC24FC">
              <w:rPr>
                <w:i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C24FC">
              <w:rPr>
                <w:i/>
                <w:color w:val="000000"/>
                <w:sz w:val="20"/>
                <w:szCs w:val="20"/>
              </w:rPr>
              <w:t>-0.147</w:t>
            </w:r>
            <w:r w:rsidRPr="00BC24FC">
              <w:rPr>
                <w:i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</w:rPr>
            </w:pPr>
            <w:r w:rsidRPr="00BC24FC">
              <w:rPr>
                <w:i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C24FC">
              <w:rPr>
                <w:i/>
                <w:color w:val="000000"/>
                <w:sz w:val="20"/>
                <w:szCs w:val="20"/>
              </w:rPr>
              <w:t>0.368</w:t>
            </w:r>
            <w:r w:rsidRPr="00BC24FC">
              <w:rPr>
                <w:i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C24FC">
              <w:rPr>
                <w:i/>
                <w:color w:val="000000"/>
                <w:sz w:val="20"/>
                <w:szCs w:val="20"/>
              </w:rPr>
              <w:t>0.385</w:t>
            </w:r>
            <w:r w:rsidRPr="00BC24FC">
              <w:rPr>
                <w:i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</w:rPr>
            </w:pPr>
            <w:r w:rsidRPr="00BC24FC">
              <w:rPr>
                <w:i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C24FC">
              <w:rPr>
                <w:i/>
                <w:color w:val="000000"/>
                <w:sz w:val="20"/>
                <w:szCs w:val="20"/>
              </w:rPr>
              <w:t>0.081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C24FC">
              <w:rPr>
                <w:i/>
                <w:color w:val="000000"/>
                <w:sz w:val="20"/>
                <w:szCs w:val="20"/>
              </w:rPr>
              <w:t>0.064</w:t>
            </w:r>
          </w:p>
        </w:tc>
      </w:tr>
      <w:tr w:rsidR="00BC24FC" w:rsidTr="00BC24FC">
        <w:trPr>
          <w:trHeight w:val="3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= 0.989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= 0.990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&lt; 0.0001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&lt; 0.0001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&lt; 0.0001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&lt; 0.0001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= 0.714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= 0.771</w:t>
            </w:r>
          </w:p>
        </w:tc>
      </w:tr>
      <w:tr w:rsidR="00BC24FC" w:rsidTr="00BC24FC">
        <w:trPr>
          <w:trHeight w:val="3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logT2V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C24FC">
              <w:rPr>
                <w:i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</w:rPr>
            </w:pPr>
            <w:r w:rsidRPr="00BC24FC">
              <w:rPr>
                <w:i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C24FC">
              <w:rPr>
                <w:i/>
                <w:color w:val="000000"/>
                <w:sz w:val="20"/>
                <w:szCs w:val="20"/>
              </w:rPr>
              <w:t>-0.150</w:t>
            </w:r>
            <w:r w:rsidRPr="00BC24FC">
              <w:rPr>
                <w:i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</w:rPr>
            </w:pPr>
            <w:r w:rsidRPr="00BC24FC">
              <w:rPr>
                <w:i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C24FC">
              <w:rPr>
                <w:i/>
                <w:color w:val="000000"/>
                <w:sz w:val="20"/>
                <w:szCs w:val="20"/>
              </w:rPr>
              <w:t>-0.191</w:t>
            </w:r>
            <w:r w:rsidRPr="00BC24FC">
              <w:rPr>
                <w:i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</w:rPr>
            </w:pPr>
            <w:r w:rsidRPr="00BC24FC">
              <w:rPr>
                <w:i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C24FC">
              <w:rPr>
                <w:i/>
                <w:color w:val="000000"/>
                <w:sz w:val="20"/>
                <w:szCs w:val="20"/>
              </w:rPr>
              <w:t>0.197</w:t>
            </w:r>
          </w:p>
        </w:tc>
      </w:tr>
      <w:tr w:rsidR="00BC24FC" w:rsidTr="00BC24FC">
        <w:trPr>
          <w:trHeight w:val="3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= 0.984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&lt; 0.0001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= 0.001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= 0.278</w:t>
            </w:r>
          </w:p>
        </w:tc>
      </w:tr>
      <w:tr w:rsidR="00BC24FC" w:rsidTr="00BC24FC">
        <w:trPr>
          <w:trHeight w:val="3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0.241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0.268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0.290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0.221</w:t>
            </w:r>
          </w:p>
        </w:tc>
      </w:tr>
      <w:tr w:rsidR="00BC24FC" w:rsidTr="00BC24FC">
        <w:trPr>
          <w:trHeight w:val="3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8.550</w:t>
            </w:r>
            <w:r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17.128</w:t>
            </w:r>
            <w:r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9.682</w:t>
            </w:r>
            <w:r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7.075</w:t>
            </w:r>
            <w:r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3.341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6.598</w:t>
            </w:r>
            <w:r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5.376</w:t>
            </w:r>
            <w:r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12.163</w:t>
            </w:r>
            <w:r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6.249</w:t>
            </w:r>
            <w:r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5.195</w:t>
            </w:r>
            <w:r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BC24FC" w:rsidTr="00BC24FC">
        <w:trPr>
          <w:trHeight w:val="32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Default="00BC24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8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4FC" w:rsidRDefault="00BC24FC" w:rsidP="00BC24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>*</w:t>
            </w:r>
            <w:r>
              <w:rPr>
                <w:color w:val="000000"/>
                <w:sz w:val="20"/>
                <w:szCs w:val="20"/>
              </w:rPr>
              <w:t>p</w:t>
            </w:r>
            <w:r>
              <w:rPr>
                <w:color w:val="000000"/>
                <w:sz w:val="20"/>
                <w:szCs w:val="20"/>
                <w:vertAlign w:val="superscript"/>
              </w:rPr>
              <w:t>**</w:t>
            </w:r>
            <w:r>
              <w:rPr>
                <w:color w:val="000000"/>
                <w:sz w:val="20"/>
                <w:szCs w:val="20"/>
              </w:rPr>
              <w:t>p</w:t>
            </w:r>
            <w:r>
              <w:rPr>
                <w:color w:val="000000"/>
                <w:sz w:val="20"/>
                <w:szCs w:val="20"/>
                <w:vertAlign w:val="superscript"/>
              </w:rPr>
              <w:t>***</w:t>
            </w:r>
            <w:r>
              <w:rPr>
                <w:color w:val="000000"/>
                <w:sz w:val="20"/>
                <w:szCs w:val="20"/>
              </w:rPr>
              <w:t>p&lt;1e-04</w:t>
            </w:r>
          </w:p>
        </w:tc>
      </w:tr>
    </w:tbl>
    <w:p w:rsidR="006F32CD" w:rsidRPr="00CC0630" w:rsidRDefault="006F32CD" w:rsidP="00693993"/>
    <w:p w:rsidR="006F32CD" w:rsidRDefault="006F32CD" w:rsidP="006F32CD">
      <w:pPr>
        <w:rPr>
          <w:b/>
        </w:rPr>
      </w:pPr>
    </w:p>
    <w:p w:rsidR="006F32CD" w:rsidRDefault="00D9218D" w:rsidP="006F32CD">
      <w:r w:rsidRPr="00D9218D">
        <w:rPr>
          <w:b/>
        </w:rPr>
        <w:t xml:space="preserve">Supplementary Table </w:t>
      </w:r>
      <w:r w:rsidRPr="00D9218D">
        <w:rPr>
          <w:b/>
        </w:rPr>
        <w:fldChar w:fldCharType="begin"/>
      </w:r>
      <w:r w:rsidRPr="00D9218D">
        <w:rPr>
          <w:b/>
        </w:rPr>
        <w:instrText xml:space="preserve"> SEQ Figure \* ARABIC </w:instrText>
      </w:r>
      <w:r w:rsidRPr="00D9218D">
        <w:rPr>
          <w:b/>
        </w:rPr>
        <w:fldChar w:fldCharType="separate"/>
      </w:r>
      <w:r w:rsidRPr="00D9218D">
        <w:rPr>
          <w:b/>
          <w:noProof/>
        </w:rPr>
        <w:t>1</w:t>
      </w:r>
      <w:r w:rsidRPr="00D9218D">
        <w:rPr>
          <w:b/>
        </w:rPr>
        <w:fldChar w:fldCharType="end"/>
      </w:r>
      <w:r w:rsidRPr="00D9218D">
        <w:rPr>
          <w:b/>
        </w:rPr>
        <w:t>.</w:t>
      </w:r>
      <w:r w:rsidRPr="001549D3">
        <w:t xml:space="preserve"> </w:t>
      </w:r>
      <w:r w:rsidRPr="00BE1F95">
        <w:t xml:space="preserve">Regression models </w:t>
      </w:r>
      <w:r w:rsidR="006F32CD">
        <w:t xml:space="preserve">in RRMS </w:t>
      </w:r>
      <w:r>
        <w:t>for</w:t>
      </w:r>
      <w:r w:rsidRPr="00BE1F95">
        <w:t xml:space="preserve"> functional </w:t>
      </w:r>
      <w:r>
        <w:t>performance</w:t>
      </w:r>
      <w:r w:rsidRPr="00BE1F95">
        <w:t xml:space="preserve"> </w:t>
      </w:r>
      <w:r>
        <w:t xml:space="preserve">measures </w:t>
      </w:r>
      <w:r w:rsidRPr="00BE1F95">
        <w:t xml:space="preserve">as dependent variable </w:t>
      </w:r>
      <w:r>
        <w:t>and stepwise inclusion of</w:t>
      </w:r>
      <w:r w:rsidR="001522E1">
        <w:t xml:space="preserve"> Age, Sex and logarithmic T2 count and volume</w:t>
      </w:r>
      <w:r>
        <w:t xml:space="preserve">. Given are the </w:t>
      </w:r>
      <w:r w:rsidR="00E8299D">
        <w:rPr>
          <w:i/>
        </w:rPr>
        <w:t>standardized b</w:t>
      </w:r>
      <w:r w:rsidRPr="00D9218D">
        <w:rPr>
          <w:i/>
        </w:rPr>
        <w:t xml:space="preserve">eta </w:t>
      </w:r>
      <w:r w:rsidR="001522E1" w:rsidRPr="00D9218D">
        <w:rPr>
          <w:i/>
        </w:rPr>
        <w:t>coefficients</w:t>
      </w:r>
      <w:r w:rsidR="001522E1">
        <w:t>, R</w:t>
      </w:r>
      <w:r>
        <w:rPr>
          <w:vertAlign w:val="superscript"/>
        </w:rPr>
        <w:t>2</w:t>
      </w:r>
      <w:r w:rsidR="001522E1">
        <w:t xml:space="preserve"> and</w:t>
      </w:r>
      <w:r>
        <w:t xml:space="preserve"> respective F-Statistic</w:t>
      </w:r>
      <w:r w:rsidR="001522E1">
        <w:t xml:space="preserve">, </w:t>
      </w:r>
      <w:r w:rsidR="001522E1" w:rsidRPr="008F6055">
        <w:rPr>
          <w:vertAlign w:val="superscript"/>
        </w:rPr>
        <w:t>*</w:t>
      </w:r>
      <w:r w:rsidR="001522E1">
        <w:t xml:space="preserve"> is signifying significance after correction for multiple testing</w:t>
      </w:r>
      <w:r>
        <w:t xml:space="preserve">. </w:t>
      </w:r>
    </w:p>
    <w:p w:rsidR="006F32CD" w:rsidRDefault="006F32CD" w:rsidP="006F32CD"/>
    <w:p w:rsidR="006F32CD" w:rsidRDefault="006F32CD" w:rsidP="006F32CD"/>
    <w:p w:rsidR="006F32CD" w:rsidRDefault="006F32CD" w:rsidP="006F32CD"/>
    <w:p w:rsidR="006F32CD" w:rsidRDefault="006F32CD" w:rsidP="006F32CD"/>
    <w:p w:rsidR="006F32CD" w:rsidRDefault="006F32CD" w:rsidP="006F32CD"/>
    <w:p w:rsidR="006F32CD" w:rsidRDefault="006F32CD" w:rsidP="006F32CD"/>
    <w:p w:rsidR="006F32CD" w:rsidRDefault="006F32CD" w:rsidP="006F32CD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"/>
        <w:gridCol w:w="1062"/>
        <w:gridCol w:w="1062"/>
        <w:gridCol w:w="1063"/>
        <w:gridCol w:w="1063"/>
        <w:gridCol w:w="1063"/>
        <w:gridCol w:w="1065"/>
        <w:gridCol w:w="1063"/>
        <w:gridCol w:w="1063"/>
        <w:gridCol w:w="1063"/>
        <w:gridCol w:w="1063"/>
        <w:gridCol w:w="1063"/>
        <w:gridCol w:w="1065"/>
      </w:tblGrid>
      <w:tr w:rsidR="00BC24FC" w:rsidRPr="00BC24FC" w:rsidTr="00BC24FC">
        <w:trPr>
          <w:trHeight w:val="32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</w:rPr>
            </w:pPr>
            <w:r w:rsidRPr="00BC24FC">
              <w:rPr>
                <w:color w:val="000000"/>
              </w:rPr>
              <w:lastRenderedPageBreak/>
              <w:t> </w:t>
            </w:r>
          </w:p>
        </w:tc>
        <w:tc>
          <w:tcPr>
            <w:tcW w:w="470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Dependent variables: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11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SDMT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9HPTr</w:t>
            </w:r>
          </w:p>
        </w:tc>
        <w:tc>
          <w:tcPr>
            <w:tcW w:w="11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SMSW speed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EDSS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Age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0.151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0.144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0.241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-0.073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0.007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0.282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-0.197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-0.086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-0.252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0.125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0.089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0.024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0.435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0.497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0.342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0.001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0.441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SexM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-0.009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  <w:r w:rsidRPr="00BC24FC">
              <w:rPr>
                <w:i/>
                <w:iCs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-0.228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-0.318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  <w:r w:rsidRPr="00BC24FC">
              <w:rPr>
                <w:i/>
                <w:iCs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-0.319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-0.265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  <w:r w:rsidRPr="00BC24FC">
              <w:rPr>
                <w:i/>
                <w:iCs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0.124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0.995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0.998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0.002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0.007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0.794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0.761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NBV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0.169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  <w:r w:rsidRPr="00BC24FC">
              <w:rPr>
                <w:i/>
                <w:iCs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0.477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  <w:r w:rsidRPr="00BC24FC">
              <w:rPr>
                <w:i/>
                <w:iCs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-0.289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  <w:r w:rsidRPr="00BC24FC">
              <w:rPr>
                <w:i/>
                <w:iCs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-0.113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</w:tr>
      <w:tr w:rsidR="00BC24FC" w:rsidRPr="00BC24FC" w:rsidTr="00BC24FC">
        <w:trPr>
          <w:trHeight w:val="369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R</w:t>
            </w:r>
            <w:r w:rsidRPr="00BC24F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0.044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0.212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0.128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0.187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0.034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0.586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0.287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0.349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0.133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0.644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2.059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1.011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1.764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1.764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0.398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0.307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0.269  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11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SDMT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9HPTr</w:t>
            </w:r>
          </w:p>
        </w:tc>
        <w:tc>
          <w:tcPr>
            <w:tcW w:w="11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SMSW speed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EDSS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Age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0.151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0.144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0.231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-0.073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0.007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0.352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-0.197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-0.086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-0.442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0.125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0.089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0.033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0.435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0.497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0.453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0.001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0.392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SexM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  <w:r w:rsidRPr="00BC24FC">
              <w:rPr>
                <w:i/>
                <w:iCs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-0.228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-0.170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  <w:r w:rsidRPr="00BC24FC">
              <w:rPr>
                <w:i/>
                <w:iCs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-0.319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-0.379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  <w:r w:rsidRPr="00BC24FC">
              <w:rPr>
                <w:i/>
                <w:iCs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0.093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0.995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0.991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0.002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0.794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0.819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NGMV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0.123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  <w:r w:rsidRPr="00BC24FC">
              <w:rPr>
                <w:i/>
                <w:iCs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0.485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  <w:r w:rsidRPr="00BC24FC">
              <w:rPr>
                <w:i/>
                <w:iCs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-0.501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  <w:r w:rsidRPr="00BC24FC">
              <w:rPr>
                <w:i/>
                <w:iCs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-0.080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0.002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R</w:t>
            </w:r>
            <w:r w:rsidRPr="00BC24F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0.150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0.128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0.234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0.028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0.586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0.287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0.235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0.133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0.644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1.355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1.011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1.764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2.342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0.398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0.307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0.218  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11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SDMT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9HPTr</w:t>
            </w:r>
          </w:p>
        </w:tc>
        <w:tc>
          <w:tcPr>
            <w:tcW w:w="11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SMSW speed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EDSS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Age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0.151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0.144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0.200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-0.073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0.007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0.101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-0.197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-0.086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-0.163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0.125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0.089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0.006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0.435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0.497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0.371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0.001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0.834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SexM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-0.007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  <w:r w:rsidRPr="00BC24FC">
              <w:rPr>
                <w:i/>
                <w:iCs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-0.228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-0.276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  <w:r w:rsidRPr="00BC24FC">
              <w:rPr>
                <w:i/>
                <w:iCs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-0.319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-0.279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  <w:r w:rsidRPr="00BC24FC">
              <w:rPr>
                <w:i/>
                <w:iCs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0.146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0.995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0.999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0.002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0.005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0.794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0.711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NThalV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0.173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  <w:r w:rsidRPr="00BC24FC">
              <w:rPr>
                <w:i/>
                <w:iCs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0.287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  <w:r w:rsidRPr="00BC24FC">
              <w:rPr>
                <w:i/>
                <w:iCs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-0.236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  <w:r w:rsidRPr="00BC24FC">
              <w:rPr>
                <w:i/>
                <w:iCs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-0.256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0.895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0.109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R</w:t>
            </w:r>
            <w:r w:rsidRPr="00BC24F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0.125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0.128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0.179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0.084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0.586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0.287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0.407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0.133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0.644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1.098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1.011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1.764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1.666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0.398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0.307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0.703  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11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SDMT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9HPTr</w:t>
            </w:r>
          </w:p>
        </w:tc>
        <w:tc>
          <w:tcPr>
            <w:tcW w:w="11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SMSW speed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EDSS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Age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0.151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0.144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0.152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-0.073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0.007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0.026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-0.197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-0.086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-0.090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0.125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0.089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0.084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</w:rPr>
            </w:pPr>
            <w:r w:rsidRPr="00BC24FC">
              <w:rPr>
                <w:color w:val="000000"/>
              </w:rPr>
              <w:lastRenderedPageBreak/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0.435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0.497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0.475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0.001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0.002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SexM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-0.086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  <w:r w:rsidRPr="00BC24FC">
              <w:rPr>
                <w:i/>
                <w:iCs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-0.228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-0.471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  <w:r w:rsidRPr="00BC24FC">
              <w:rPr>
                <w:i/>
                <w:iCs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-0.319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-0.266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  <w:r w:rsidRPr="00BC24FC">
              <w:rPr>
                <w:i/>
                <w:iCs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0.176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0.995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0.982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0.002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0.021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0.794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0.703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NWMV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0.204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  <w:r w:rsidRPr="00BC24FC">
              <w:rPr>
                <w:i/>
                <w:iCs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0.457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  <w:r w:rsidRPr="00BC24FC">
              <w:rPr>
                <w:i/>
                <w:iCs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-0.100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  <w:r w:rsidRPr="00BC24FC">
              <w:rPr>
                <w:i/>
                <w:iCs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-0.137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R</w:t>
            </w:r>
            <w:r w:rsidRPr="00BC24F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0.203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0.128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0.136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0.039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0.586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0.287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0.435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0.133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0.644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1.958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1.011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1.764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1.202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0.398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0.307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0.309  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11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SDMT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9HPTr</w:t>
            </w:r>
          </w:p>
        </w:tc>
        <w:tc>
          <w:tcPr>
            <w:tcW w:w="11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SMSW speed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EDSS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Age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0.151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0.144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0.222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-0.073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0.007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0.037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-0.197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-0.086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-0.145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0.125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0.089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0.096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0.435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0.497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0.294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0.001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0.00015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SexM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  <w:r w:rsidRPr="00BC24FC">
              <w:rPr>
                <w:i/>
                <w:iCs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-0.228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-0.225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  <w:r w:rsidRPr="00BC24FC">
              <w:rPr>
                <w:i/>
                <w:iCs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-0.319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-0.325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  <w:r w:rsidRPr="00BC24FC">
              <w:rPr>
                <w:i/>
                <w:iCs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0.103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0.995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0.993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0.002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0.794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0.797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logT2C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-0.314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  <w:r w:rsidRPr="00BC24FC">
              <w:rPr>
                <w:i/>
                <w:iCs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-0.119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  <w:r w:rsidRPr="00BC24FC">
              <w:rPr>
                <w:i/>
                <w:iCs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0.239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  <w:r w:rsidRPr="00BC24FC">
              <w:rPr>
                <w:i/>
                <w:iCs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-0.025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0.922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 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0.017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0.952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R</w:t>
            </w:r>
            <w:r w:rsidRPr="00BC24F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0.115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0.064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0.128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0.181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0.026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0.586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0.287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0.133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0.644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0.526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1.011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1.764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1.698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0.398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0.307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0.201  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11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SDMT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9HPTr</w:t>
            </w:r>
          </w:p>
        </w:tc>
        <w:tc>
          <w:tcPr>
            <w:tcW w:w="11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SMSW speed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EDSS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Age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0.151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0.144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0.217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-0.073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0.007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0.035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-0.197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-0.086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-0.126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0.125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0.089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0.071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0.435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0.497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0.279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&lt; 0.0001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0.001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0.009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SexM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-0.029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  <w:r w:rsidRPr="00BC24FC">
              <w:rPr>
                <w:i/>
                <w:iCs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-0.228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-0.248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  <w:r w:rsidRPr="00BC24FC">
              <w:rPr>
                <w:i/>
                <w:iCs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-0.319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-0.291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  <w:r w:rsidRPr="00BC24FC">
              <w:rPr>
                <w:i/>
                <w:iCs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0.116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0.995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0.993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&lt; 0.0001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0.002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0.003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0.794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0.773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logT2V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-0.404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  <w:r w:rsidRPr="00BC24FC">
              <w:rPr>
                <w:i/>
                <w:iCs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-0.155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  <w:r w:rsidRPr="00BC24FC">
              <w:rPr>
                <w:i/>
                <w:iCs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0.220</w:t>
            </w:r>
            <w:r w:rsidRPr="00BC24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  <w:r w:rsidRPr="00BC24FC">
              <w:rPr>
                <w:i/>
                <w:iCs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24FC">
              <w:rPr>
                <w:i/>
                <w:iCs/>
                <w:color w:val="000000"/>
                <w:sz w:val="20"/>
                <w:szCs w:val="20"/>
              </w:rPr>
              <w:t>0.103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0.849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&lt; 0.0001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0.002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  <w:r w:rsidRPr="00BC24FC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p = 0.718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R</w:t>
            </w:r>
            <w:r w:rsidRPr="00BC24F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0.181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0.074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0.128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0.175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0.035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0.586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0.287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1.698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0.133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0.644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0.614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1.011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1.764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>1.628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0.398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0.307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</w:rPr>
              <w:t xml:space="preserve">0.279  </w:t>
            </w:r>
          </w:p>
        </w:tc>
      </w:tr>
      <w:tr w:rsidR="00BC24FC" w:rsidRPr="00BC24FC" w:rsidTr="00BC24FC">
        <w:trPr>
          <w:trHeight w:val="320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4FC" w:rsidRPr="00BC24FC" w:rsidRDefault="00BC24FC" w:rsidP="00BC24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0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4FC" w:rsidRPr="00BC24FC" w:rsidRDefault="00BC24FC" w:rsidP="00BC24FC">
            <w:pPr>
              <w:jc w:val="right"/>
              <w:rPr>
                <w:color w:val="000000"/>
                <w:sz w:val="20"/>
                <w:szCs w:val="20"/>
              </w:rPr>
            </w:pPr>
            <w:r w:rsidRPr="00BC24FC">
              <w:rPr>
                <w:color w:val="000000"/>
                <w:sz w:val="20"/>
                <w:szCs w:val="20"/>
                <w:vertAlign w:val="superscript"/>
              </w:rPr>
              <w:t>*</w:t>
            </w:r>
            <w:r w:rsidRPr="00BC24FC">
              <w:rPr>
                <w:color w:val="000000"/>
                <w:sz w:val="20"/>
                <w:szCs w:val="20"/>
              </w:rPr>
              <w:t>p</w:t>
            </w:r>
            <w:r w:rsidRPr="00BC24FC">
              <w:rPr>
                <w:color w:val="000000"/>
                <w:sz w:val="20"/>
                <w:szCs w:val="20"/>
                <w:vertAlign w:val="superscript"/>
              </w:rPr>
              <w:t>**</w:t>
            </w:r>
            <w:r w:rsidRPr="00BC24FC">
              <w:rPr>
                <w:color w:val="000000"/>
                <w:sz w:val="20"/>
                <w:szCs w:val="20"/>
              </w:rPr>
              <w:t>p</w:t>
            </w:r>
            <w:r w:rsidRPr="00BC24FC">
              <w:rPr>
                <w:color w:val="000000"/>
                <w:sz w:val="20"/>
                <w:szCs w:val="20"/>
                <w:vertAlign w:val="superscript"/>
              </w:rPr>
              <w:t>***</w:t>
            </w:r>
            <w:r w:rsidRPr="00BC24FC">
              <w:rPr>
                <w:color w:val="000000"/>
                <w:sz w:val="20"/>
                <w:szCs w:val="20"/>
              </w:rPr>
              <w:t>p&lt;1e-04</w:t>
            </w:r>
          </w:p>
        </w:tc>
      </w:tr>
    </w:tbl>
    <w:p w:rsidR="00E9086C" w:rsidRDefault="00E9086C" w:rsidP="00E9086C">
      <w:pPr>
        <w:rPr>
          <w:b/>
        </w:rPr>
      </w:pPr>
    </w:p>
    <w:p w:rsidR="00DE23E8" w:rsidRPr="006F32CD" w:rsidRDefault="00E9086C" w:rsidP="006F32CD">
      <w:pPr>
        <w:rPr>
          <w:lang w:val="en-US"/>
        </w:rPr>
      </w:pPr>
      <w:r w:rsidRPr="006F32CD">
        <w:rPr>
          <w:b/>
          <w:lang w:val="en-US"/>
        </w:rPr>
        <w:t>Supplementary Table 2.</w:t>
      </w:r>
      <w:r w:rsidRPr="006F32CD">
        <w:rPr>
          <w:lang w:val="en-US"/>
        </w:rPr>
        <w:t xml:space="preserve"> Regression models </w:t>
      </w:r>
      <w:r w:rsidR="006F32CD">
        <w:rPr>
          <w:lang w:val="en-US"/>
        </w:rPr>
        <w:t xml:space="preserve">in CIS </w:t>
      </w:r>
      <w:r w:rsidRPr="006F32CD">
        <w:rPr>
          <w:lang w:val="en-US"/>
        </w:rPr>
        <w:t xml:space="preserve">for functional performance measures as dependent variable and stepwise inclusion of Age, Sex and NBV, NGMV, NThalV, NWMV, logarithmic T2 count and </w:t>
      </w:r>
      <w:r w:rsidR="007B3993" w:rsidRPr="006F32CD">
        <w:rPr>
          <w:lang w:val="en-US"/>
        </w:rPr>
        <w:t xml:space="preserve">logarithmic T2 </w:t>
      </w:r>
      <w:r w:rsidRPr="006F32CD">
        <w:rPr>
          <w:lang w:val="en-US"/>
        </w:rPr>
        <w:t xml:space="preserve">volume. Given are the </w:t>
      </w:r>
      <w:r w:rsidR="00E8299D">
        <w:rPr>
          <w:i/>
          <w:lang w:val="en-US"/>
        </w:rPr>
        <w:t>standardized b</w:t>
      </w:r>
      <w:bookmarkStart w:id="0" w:name="_GoBack"/>
      <w:bookmarkEnd w:id="0"/>
      <w:r w:rsidRPr="006F32CD">
        <w:rPr>
          <w:i/>
          <w:lang w:val="en-US"/>
        </w:rPr>
        <w:t>eta coefficients</w:t>
      </w:r>
      <w:r w:rsidRPr="006F32CD">
        <w:rPr>
          <w:lang w:val="en-US"/>
        </w:rPr>
        <w:t>, R</w:t>
      </w:r>
      <w:r w:rsidRPr="006F32CD">
        <w:rPr>
          <w:vertAlign w:val="superscript"/>
          <w:lang w:val="en-US"/>
        </w:rPr>
        <w:t>2</w:t>
      </w:r>
      <w:r w:rsidRPr="006F32CD">
        <w:rPr>
          <w:lang w:val="en-US"/>
        </w:rPr>
        <w:t xml:space="preserve"> and respective F-Statistic, </w:t>
      </w:r>
      <w:r w:rsidRPr="006F32CD">
        <w:rPr>
          <w:vertAlign w:val="superscript"/>
          <w:lang w:val="en-US"/>
        </w:rPr>
        <w:t>*</w:t>
      </w:r>
      <w:r w:rsidRPr="006F32CD">
        <w:rPr>
          <w:lang w:val="en-US"/>
        </w:rPr>
        <w:t xml:space="preserve"> is signifying significance after correction for multiple testing. </w:t>
      </w:r>
    </w:p>
    <w:sectPr w:rsidR="00DE23E8" w:rsidRPr="006F32CD" w:rsidSect="00E9086C">
      <w:headerReference w:type="even" r:id="rId11"/>
      <w:footerReference w:type="even" r:id="rId12"/>
      <w:footerReference w:type="default" r:id="rId13"/>
      <w:headerReference w:type="first" r:id="rId14"/>
      <w:pgSz w:w="15840" w:h="12240" w:orient="landscape"/>
      <w:pgMar w:top="1181" w:right="1138" w:bottom="1282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C39" w:rsidRDefault="00373C39" w:rsidP="00117666">
      <w:r>
        <w:separator/>
      </w:r>
    </w:p>
  </w:endnote>
  <w:endnote w:type="continuationSeparator" w:id="0">
    <w:p w:rsidR="00373C39" w:rsidRDefault="00373C39" w:rsidP="0011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F6A" w:rsidRPr="00577C4C" w:rsidRDefault="00C52A7B">
    <w:pPr>
      <w:rPr>
        <w:color w:val="C0000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E7D00" wp14:editId="52AE46F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E7D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" filled="f" stroked="f" strokeweight=".5pt">
              <v:textbox style="mso-fit-shape-to-text:t">
                <w:txbxContent>
                  <w:p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F6A" w:rsidRPr="00577C4C" w:rsidRDefault="00C52A7B">
    <w:pPr>
      <w:rPr>
        <w:b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866BCF3" wp14:editId="186BBD8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6BCF3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" filled="f" stroked="f" strokeweight=".5pt">
              <v:textbox style="mso-fit-shape-to-text:t">
                <w:txbxContent>
                  <w:p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C39" w:rsidRDefault="00373C39" w:rsidP="00117666">
      <w:r>
        <w:separator/>
      </w:r>
    </w:p>
  </w:footnote>
  <w:footnote w:type="continuationSeparator" w:id="0">
    <w:p w:rsidR="00373C39" w:rsidRDefault="00373C39" w:rsidP="00117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F6A" w:rsidRPr="009151AA" w:rsidRDefault="00C52A7B">
    <w:r w:rsidRPr="009151AA">
      <w:ptab w:relativeTo="margin" w:alignment="center" w:leader="none"/>
    </w:r>
    <w:r w:rsidRPr="009151AA">
      <w:ptab w:relativeTo="margin" w:alignment="right" w:leader="none"/>
    </w:r>
    <w:r w:rsidR="001549D3" w:rsidRPr="009151AA"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5B039D35" wp14:editId="34B2ECE5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2A7CAC"/>
    <w:multiLevelType w:val="multilevel"/>
    <w:tmpl w:val="2D740DBE"/>
    <w:numStyleLink w:val="Headings"/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  <w:lvlOverride w:ilvl="0">
      <w:lvl w:ilvl="0">
        <w:start w:val="1"/>
        <w:numFmt w:val="decimal"/>
        <w:pStyle w:val="berschrift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EB"/>
    <w:rsid w:val="0001436A"/>
    <w:rsid w:val="00014488"/>
    <w:rsid w:val="00034304"/>
    <w:rsid w:val="00035434"/>
    <w:rsid w:val="00052A14"/>
    <w:rsid w:val="00077D53"/>
    <w:rsid w:val="00105FD9"/>
    <w:rsid w:val="00110A20"/>
    <w:rsid w:val="00117666"/>
    <w:rsid w:val="001522E1"/>
    <w:rsid w:val="001549D3"/>
    <w:rsid w:val="00160065"/>
    <w:rsid w:val="00172DDB"/>
    <w:rsid w:val="00177D84"/>
    <w:rsid w:val="001B0759"/>
    <w:rsid w:val="00225ABD"/>
    <w:rsid w:val="00251C45"/>
    <w:rsid w:val="00267D18"/>
    <w:rsid w:val="0027630E"/>
    <w:rsid w:val="002868E2"/>
    <w:rsid w:val="002869C3"/>
    <w:rsid w:val="002936E4"/>
    <w:rsid w:val="002B4A57"/>
    <w:rsid w:val="002C74CA"/>
    <w:rsid w:val="003544FB"/>
    <w:rsid w:val="00355990"/>
    <w:rsid w:val="00373C39"/>
    <w:rsid w:val="003845BB"/>
    <w:rsid w:val="00396DD5"/>
    <w:rsid w:val="003D2F2D"/>
    <w:rsid w:val="00401590"/>
    <w:rsid w:val="00437E1D"/>
    <w:rsid w:val="00447801"/>
    <w:rsid w:val="00452E9C"/>
    <w:rsid w:val="004735C8"/>
    <w:rsid w:val="00491D85"/>
    <w:rsid w:val="004961FF"/>
    <w:rsid w:val="0049677B"/>
    <w:rsid w:val="004C574F"/>
    <w:rsid w:val="00517A89"/>
    <w:rsid w:val="005250F2"/>
    <w:rsid w:val="005633FF"/>
    <w:rsid w:val="00593EEA"/>
    <w:rsid w:val="005A5EEE"/>
    <w:rsid w:val="006375C7"/>
    <w:rsid w:val="00642034"/>
    <w:rsid w:val="00654E8F"/>
    <w:rsid w:val="00660D05"/>
    <w:rsid w:val="006820B1"/>
    <w:rsid w:val="006925E0"/>
    <w:rsid w:val="00693993"/>
    <w:rsid w:val="006B0EEB"/>
    <w:rsid w:val="006B7D14"/>
    <w:rsid w:val="006F32CD"/>
    <w:rsid w:val="00701727"/>
    <w:rsid w:val="0070566C"/>
    <w:rsid w:val="00714C50"/>
    <w:rsid w:val="00725A7D"/>
    <w:rsid w:val="007501BE"/>
    <w:rsid w:val="00790BB3"/>
    <w:rsid w:val="007B3993"/>
    <w:rsid w:val="007C206C"/>
    <w:rsid w:val="00817DD6"/>
    <w:rsid w:val="00885156"/>
    <w:rsid w:val="0089640E"/>
    <w:rsid w:val="008F6055"/>
    <w:rsid w:val="009151AA"/>
    <w:rsid w:val="0093429D"/>
    <w:rsid w:val="00943573"/>
    <w:rsid w:val="00970F7D"/>
    <w:rsid w:val="00994A3D"/>
    <w:rsid w:val="009C2B12"/>
    <w:rsid w:val="00A174D9"/>
    <w:rsid w:val="00A36D6B"/>
    <w:rsid w:val="00AB6715"/>
    <w:rsid w:val="00B1671E"/>
    <w:rsid w:val="00B25EB8"/>
    <w:rsid w:val="00B37F4D"/>
    <w:rsid w:val="00BC24FC"/>
    <w:rsid w:val="00C04AEF"/>
    <w:rsid w:val="00C52A7B"/>
    <w:rsid w:val="00C56BAF"/>
    <w:rsid w:val="00C679AA"/>
    <w:rsid w:val="00C75972"/>
    <w:rsid w:val="00CC0630"/>
    <w:rsid w:val="00CD066B"/>
    <w:rsid w:val="00CE4FEE"/>
    <w:rsid w:val="00D9218D"/>
    <w:rsid w:val="00DB1A5B"/>
    <w:rsid w:val="00DB59C3"/>
    <w:rsid w:val="00DC259A"/>
    <w:rsid w:val="00DE23E8"/>
    <w:rsid w:val="00DF084A"/>
    <w:rsid w:val="00DF3536"/>
    <w:rsid w:val="00E52377"/>
    <w:rsid w:val="00E64E17"/>
    <w:rsid w:val="00E8299D"/>
    <w:rsid w:val="00E866C9"/>
    <w:rsid w:val="00E9086C"/>
    <w:rsid w:val="00EA3D3C"/>
    <w:rsid w:val="00F46900"/>
    <w:rsid w:val="00F61D89"/>
    <w:rsid w:val="00FD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6556A"/>
  <w15:docId w15:val="{16D9121E-EC19-354B-BE6F-AD3D3D3D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90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lang w:val="en-US" w:eastAsia="en-US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 w:after="240"/>
    </w:pPr>
    <w:rPr>
      <w:rFonts w:eastAsiaTheme="minorHAnsi"/>
      <w:b/>
      <w:lang w:val="en-US" w:eastAsia="en-US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  <w:spacing w:before="120" w:after="240"/>
    </w:pPr>
    <w:rPr>
      <w:rFonts w:eastAsiaTheme="minorHAnsi"/>
      <w:b/>
      <w:bCs/>
      <w:lang w:val="en-US" w:eastAsia="en-US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before="120"/>
    </w:pPr>
    <w:rPr>
      <w:rFonts w:eastAsiaTheme="minorHAnsi" w:cstheme="minorBidi"/>
      <w:szCs w:val="22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before="120"/>
    </w:pPr>
    <w:rPr>
      <w:rFonts w:eastAsiaTheme="minorHAnsi" w:cstheme="minorBidi"/>
      <w:sz w:val="20"/>
      <w:szCs w:val="20"/>
      <w:lang w:val="en-US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  <w:spacing w:before="120" w:after="240"/>
    </w:pPr>
    <w:rPr>
      <w:rFonts w:eastAsiaTheme="minorHAnsi" w:cstheme="minorBidi"/>
      <w:b/>
      <w:szCs w:val="22"/>
      <w:lang w:val="en-US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4"/>
    <w:qFormat/>
    <w:rsid w:val="00AB6715"/>
    <w:pPr>
      <w:numPr>
        <w:numId w:val="13"/>
      </w:numPr>
      <w:spacing w:before="120" w:after="240"/>
      <w:contextualSpacing/>
    </w:pPr>
    <w:rPr>
      <w:rFonts w:eastAsia="Cambria"/>
      <w:lang w:val="en-US" w:eastAsia="en-US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lang w:val="en-US"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rFonts w:eastAsiaTheme="minorHAnsi" w:cstheme="minorBidi"/>
      <w:i/>
      <w:iCs/>
      <w:color w:val="404040" w:themeColor="text1" w:themeTint="BF"/>
      <w:szCs w:val="22"/>
      <w:lang w:val="en-US"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eastAsiaTheme="minorHAnsi"/>
      <w:b/>
      <w:sz w:val="32"/>
      <w:szCs w:val="32"/>
      <w:lang w:val="en-US" w:eastAsia="en-US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paragraph" w:customStyle="1" w:styleId="NCRCtext">
    <w:name w:val="NCRC text"/>
    <w:basedOn w:val="Textkrper"/>
    <w:link w:val="NCRCtextZchn"/>
    <w:qFormat/>
    <w:rsid w:val="00CC0630"/>
    <w:pPr>
      <w:jc w:val="both"/>
    </w:pPr>
    <w:rPr>
      <w:rFonts w:eastAsia="Times New Roman" w:cs="Arial"/>
      <w:szCs w:val="24"/>
    </w:rPr>
  </w:style>
  <w:style w:type="character" w:customStyle="1" w:styleId="NCRCtextZchn">
    <w:name w:val="NCRC text Zchn"/>
    <w:basedOn w:val="Absatz-Standardschriftart"/>
    <w:link w:val="NCRCtext"/>
    <w:rsid w:val="00CC0630"/>
    <w:rPr>
      <w:rFonts w:ascii="Times New Roman" w:eastAsia="Times New Roman" w:hAnsi="Times New Roman" w:cs="Arial"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C0630"/>
    <w:pPr>
      <w:spacing w:before="120" w:after="120"/>
    </w:pPr>
    <w:rPr>
      <w:rFonts w:eastAsiaTheme="minorHAnsi" w:cstheme="minorBidi"/>
      <w:szCs w:val="22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C0630"/>
    <w:rPr>
      <w:rFonts w:ascii="Times New Roman" w:hAnsi="Times New Roman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6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ja.schmitz-huebsch@charite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udwigrasche/Library/Containers/com.microsoft.Word/Data/Downloads/Frontiers_Word_Templates%202/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492AFEA-F829-514C-B211-A86A3E8A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5</Pages>
  <Words>1040</Words>
  <Characters>6559</Characters>
  <Application>Microsoft Office Word</Application>
  <DocSecurity>0</DocSecurity>
  <Lines>54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Ludwig Rasche</dc:creator>
  <cp:lastModifiedBy>Ludwig Rasche</cp:lastModifiedBy>
  <cp:revision>11</cp:revision>
  <cp:lastPrinted>2013-10-03T12:51:00Z</cp:lastPrinted>
  <dcterms:created xsi:type="dcterms:W3CDTF">2018-07-29T17:39:00Z</dcterms:created>
  <dcterms:modified xsi:type="dcterms:W3CDTF">2018-08-06T16:28:00Z</dcterms:modified>
</cp:coreProperties>
</file>