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31" w:rsidRPr="00A56A31" w:rsidRDefault="00A56A31" w:rsidP="00A56A31">
      <w:pPr>
        <w:rPr>
          <w:rFonts w:ascii="Times New Roman" w:hAnsi="Times New Roman" w:cs="Times New Roman"/>
          <w:b/>
          <w:sz w:val="24"/>
        </w:rPr>
      </w:pPr>
      <w:r w:rsidRPr="0065519D">
        <w:rPr>
          <w:rFonts w:ascii="Times New Roman" w:hAnsi="Times New Roman" w:cs="Times New Roman"/>
          <w:b/>
          <w:sz w:val="24"/>
          <w:szCs w:val="24"/>
        </w:rPr>
        <w:t>The association between frailty and MRI features of cerebral small vessel disease</w:t>
      </w:r>
      <w:r>
        <w:rPr>
          <w:rFonts w:ascii="Times New Roman" w:hAnsi="Times New Roman" w:cs="Times New Roman"/>
          <w:b/>
          <w:sz w:val="24"/>
          <w:szCs w:val="24"/>
        </w:rPr>
        <w:t xml:space="preserve"> – </w:t>
      </w:r>
      <w:r>
        <w:rPr>
          <w:rFonts w:ascii="Times New Roman" w:hAnsi="Times New Roman" w:cs="Times New Roman"/>
          <w:b/>
          <w:sz w:val="24"/>
        </w:rPr>
        <w:t>supplementary material</w:t>
      </w:r>
    </w:p>
    <w:p w:rsidR="00A56A31" w:rsidRPr="003C2A28" w:rsidRDefault="00A56A31" w:rsidP="00A56A31">
      <w:pPr>
        <w:spacing w:line="480" w:lineRule="auto"/>
        <w:jc w:val="both"/>
        <w:rPr>
          <w:rFonts w:ascii="Times New Roman" w:hAnsi="Times New Roman" w:cs="Times New Roman"/>
          <w:sz w:val="24"/>
          <w:szCs w:val="24"/>
          <w:vertAlign w:val="superscript"/>
        </w:rPr>
      </w:pPr>
      <w:r w:rsidRPr="0065519D">
        <w:rPr>
          <w:rFonts w:ascii="Times New Roman" w:hAnsi="Times New Roman" w:cs="Times New Roman"/>
          <w:sz w:val="24"/>
          <w:szCs w:val="24"/>
        </w:rPr>
        <w:t>Ilse M.J. Kant</w:t>
      </w:r>
      <w:r>
        <w:rPr>
          <w:rFonts w:ascii="Times New Roman" w:hAnsi="Times New Roman" w:cs="Times New Roman"/>
          <w:sz w:val="24"/>
          <w:szCs w:val="24"/>
        </w:rPr>
        <w:t xml:space="preserve"> MSc</w:t>
      </w:r>
      <w:r w:rsidRPr="0065519D">
        <w:rPr>
          <w:rFonts w:ascii="Times New Roman" w:hAnsi="Times New Roman" w:cs="Times New Roman"/>
          <w:sz w:val="24"/>
          <w:szCs w:val="24"/>
          <w:vertAlign w:val="superscript"/>
        </w:rPr>
        <w:t>1,2</w:t>
      </w:r>
      <w:r w:rsidRPr="0065519D">
        <w:rPr>
          <w:rFonts w:ascii="Times New Roman" w:hAnsi="Times New Roman" w:cs="Times New Roman"/>
          <w:sz w:val="24"/>
          <w:szCs w:val="24"/>
        </w:rPr>
        <w:t xml:space="preserve">, Henri J.M.M. </w:t>
      </w:r>
      <w:proofErr w:type="spellStart"/>
      <w:r w:rsidRPr="0065519D">
        <w:rPr>
          <w:rFonts w:ascii="Times New Roman" w:hAnsi="Times New Roman" w:cs="Times New Roman"/>
          <w:sz w:val="24"/>
          <w:szCs w:val="24"/>
        </w:rPr>
        <w:t>Mutsaerts</w:t>
      </w:r>
      <w:proofErr w:type="spellEnd"/>
      <w:r>
        <w:rPr>
          <w:rFonts w:ascii="Times New Roman" w:hAnsi="Times New Roman" w:cs="Times New Roman"/>
          <w:sz w:val="24"/>
          <w:szCs w:val="24"/>
        </w:rPr>
        <w:t xml:space="preserve"> MD PhD</w:t>
      </w:r>
      <w:r w:rsidRPr="0065519D">
        <w:rPr>
          <w:rFonts w:ascii="Times New Roman" w:hAnsi="Times New Roman" w:cs="Times New Roman"/>
          <w:sz w:val="24"/>
          <w:szCs w:val="24"/>
          <w:vertAlign w:val="superscript"/>
        </w:rPr>
        <w:t>2</w:t>
      </w:r>
      <w:r w:rsidRPr="0065519D">
        <w:rPr>
          <w:rFonts w:ascii="Times New Roman" w:hAnsi="Times New Roman" w:cs="Times New Roman"/>
          <w:sz w:val="24"/>
          <w:szCs w:val="24"/>
        </w:rPr>
        <w:t>, Simone J.T. van Montfort</w:t>
      </w:r>
      <w:r w:rsidRPr="003C2A28">
        <w:rPr>
          <w:rFonts w:ascii="Times New Roman" w:hAnsi="Times New Roman" w:cs="Times New Roman"/>
          <w:sz w:val="24"/>
          <w:szCs w:val="24"/>
        </w:rPr>
        <w:t xml:space="preserve"> </w:t>
      </w:r>
      <w:r w:rsidRPr="000C66D7">
        <w:rPr>
          <w:rFonts w:ascii="Times New Roman" w:hAnsi="Times New Roman" w:cs="Times New Roman"/>
          <w:sz w:val="24"/>
          <w:szCs w:val="24"/>
        </w:rPr>
        <w:t>MSc</w:t>
      </w:r>
      <w:r w:rsidRPr="0065519D">
        <w:rPr>
          <w:rFonts w:ascii="Times New Roman" w:hAnsi="Times New Roman" w:cs="Times New Roman"/>
          <w:sz w:val="24"/>
          <w:szCs w:val="24"/>
          <w:vertAlign w:val="superscript"/>
        </w:rPr>
        <w:t>1</w:t>
      </w:r>
      <w:r w:rsidRPr="0065519D">
        <w:rPr>
          <w:rFonts w:ascii="Times New Roman" w:hAnsi="Times New Roman" w:cs="Times New Roman"/>
          <w:sz w:val="24"/>
          <w:szCs w:val="24"/>
        </w:rPr>
        <w:t xml:space="preserve">, Myriam G. </w:t>
      </w:r>
      <w:proofErr w:type="spellStart"/>
      <w:r w:rsidRPr="0065519D">
        <w:rPr>
          <w:rFonts w:ascii="Times New Roman" w:hAnsi="Times New Roman" w:cs="Times New Roman"/>
          <w:sz w:val="24"/>
          <w:szCs w:val="24"/>
        </w:rPr>
        <w:t>Jaarsma-Coes</w:t>
      </w:r>
      <w:proofErr w:type="spellEnd"/>
      <w:r w:rsidRPr="003C2A28">
        <w:rPr>
          <w:rFonts w:ascii="Times New Roman" w:hAnsi="Times New Roman" w:cs="Times New Roman"/>
          <w:sz w:val="24"/>
          <w:szCs w:val="24"/>
        </w:rPr>
        <w:t xml:space="preserve"> </w:t>
      </w:r>
      <w:r>
        <w:rPr>
          <w:rFonts w:ascii="Times New Roman" w:hAnsi="Times New Roman" w:cs="Times New Roman"/>
          <w:sz w:val="24"/>
          <w:szCs w:val="24"/>
        </w:rPr>
        <w:t>MSc</w:t>
      </w:r>
      <w:r w:rsidRPr="0065519D">
        <w:rPr>
          <w:rFonts w:ascii="Times New Roman" w:hAnsi="Times New Roman" w:cs="Times New Roman"/>
          <w:sz w:val="24"/>
          <w:szCs w:val="24"/>
          <w:vertAlign w:val="superscript"/>
        </w:rPr>
        <w:t xml:space="preserve"> 3</w:t>
      </w:r>
      <w:r>
        <w:rPr>
          <w:rFonts w:ascii="Times New Roman" w:hAnsi="Times New Roman" w:cs="Times New Roman"/>
          <w:sz w:val="24"/>
          <w:szCs w:val="24"/>
        </w:rPr>
        <w:t>,</w:t>
      </w:r>
      <w:r w:rsidRPr="0065519D">
        <w:rPr>
          <w:rFonts w:ascii="Times New Roman" w:hAnsi="Times New Roman" w:cs="Times New Roman"/>
          <w:sz w:val="24"/>
          <w:szCs w:val="24"/>
        </w:rPr>
        <w:t xml:space="preserve"> </w:t>
      </w:r>
      <w:r w:rsidRPr="003C2A28">
        <w:rPr>
          <w:rFonts w:ascii="Times New Roman" w:hAnsi="Times New Roman" w:cs="Times New Roman"/>
          <w:sz w:val="24"/>
          <w:szCs w:val="24"/>
        </w:rPr>
        <w:t>Theo</w:t>
      </w:r>
      <w:r>
        <w:rPr>
          <w:rFonts w:ascii="Times New Roman" w:hAnsi="Times New Roman" w:cs="Times New Roman"/>
          <w:sz w:val="24"/>
          <w:szCs w:val="24"/>
        </w:rPr>
        <w:t xml:space="preserve"> D.</w:t>
      </w:r>
      <w:r w:rsidRPr="003C2A28">
        <w:rPr>
          <w:rFonts w:ascii="Times New Roman" w:hAnsi="Times New Roman" w:cs="Times New Roman"/>
          <w:sz w:val="24"/>
          <w:szCs w:val="24"/>
        </w:rPr>
        <w:t xml:space="preserve"> </w:t>
      </w:r>
      <w:proofErr w:type="spellStart"/>
      <w:r w:rsidRPr="003C2A28">
        <w:rPr>
          <w:rFonts w:ascii="Times New Roman" w:hAnsi="Times New Roman" w:cs="Times New Roman"/>
          <w:sz w:val="24"/>
          <w:szCs w:val="24"/>
        </w:rPr>
        <w:t>Witkamp</w:t>
      </w:r>
      <w:proofErr w:type="spellEnd"/>
      <w:r w:rsidRPr="003C2A28">
        <w:rPr>
          <w:rFonts w:ascii="Times New Roman" w:hAnsi="Times New Roman" w:cs="Times New Roman"/>
          <w:sz w:val="24"/>
          <w:szCs w:val="24"/>
        </w:rPr>
        <w:t xml:space="preserve"> </w:t>
      </w:r>
      <w:r>
        <w:rPr>
          <w:rFonts w:ascii="Times New Roman" w:hAnsi="Times New Roman" w:cs="Times New Roman"/>
          <w:sz w:val="24"/>
          <w:szCs w:val="24"/>
        </w:rPr>
        <w:t>MD</w:t>
      </w:r>
      <w:r w:rsidRPr="003C2A28">
        <w:rPr>
          <w:rFonts w:ascii="Times New Roman" w:hAnsi="Times New Roman" w:cs="Times New Roman"/>
          <w:sz w:val="24"/>
          <w:szCs w:val="24"/>
          <w:vertAlign w:val="superscript"/>
        </w:rPr>
        <w:t>2</w:t>
      </w:r>
      <w:r>
        <w:rPr>
          <w:rFonts w:ascii="Times New Roman" w:hAnsi="Times New Roman" w:cs="Times New Roman"/>
          <w:sz w:val="24"/>
          <w:szCs w:val="24"/>
        </w:rPr>
        <w:t>,</w:t>
      </w:r>
      <w:r w:rsidRPr="003C2A28">
        <w:rPr>
          <w:rFonts w:ascii="Times New Roman" w:hAnsi="Times New Roman" w:cs="Times New Roman"/>
          <w:sz w:val="24"/>
          <w:szCs w:val="24"/>
        </w:rPr>
        <w:t xml:space="preserve"> Georg Winterer</w:t>
      </w:r>
      <w:r>
        <w:rPr>
          <w:rFonts w:ascii="Times New Roman" w:hAnsi="Times New Roman" w:cs="Times New Roman"/>
          <w:sz w:val="24"/>
          <w:szCs w:val="24"/>
        </w:rPr>
        <w:t xml:space="preserve"> MD PhD</w:t>
      </w:r>
      <w:r w:rsidRPr="003C2A28">
        <w:rPr>
          <w:rFonts w:ascii="Times New Roman" w:hAnsi="Times New Roman" w:cs="Times New Roman"/>
          <w:sz w:val="24"/>
          <w:szCs w:val="24"/>
          <w:vertAlign w:val="superscript"/>
        </w:rPr>
        <w:t>4,5,6</w:t>
      </w:r>
      <w:r w:rsidRPr="003C2A28">
        <w:rPr>
          <w:rFonts w:ascii="Times New Roman" w:hAnsi="Times New Roman" w:cs="Times New Roman"/>
          <w:sz w:val="24"/>
          <w:szCs w:val="24"/>
        </w:rPr>
        <w:t>, Claudia Spies</w:t>
      </w:r>
      <w:r>
        <w:rPr>
          <w:rFonts w:ascii="Times New Roman" w:hAnsi="Times New Roman" w:cs="Times New Roman"/>
          <w:sz w:val="24"/>
          <w:szCs w:val="24"/>
        </w:rPr>
        <w:t xml:space="preserve"> MD PhD</w:t>
      </w:r>
      <w:r w:rsidRPr="003C2A28">
        <w:rPr>
          <w:rFonts w:ascii="Times New Roman" w:hAnsi="Times New Roman" w:cs="Times New Roman"/>
          <w:sz w:val="24"/>
          <w:szCs w:val="24"/>
          <w:vertAlign w:val="superscript"/>
        </w:rPr>
        <w:t>6</w:t>
      </w:r>
      <w:r w:rsidRPr="003C2A28">
        <w:rPr>
          <w:rFonts w:ascii="Times New Roman" w:hAnsi="Times New Roman" w:cs="Times New Roman"/>
          <w:sz w:val="24"/>
          <w:szCs w:val="24"/>
        </w:rPr>
        <w:t xml:space="preserve">, </w:t>
      </w:r>
      <w:proofErr w:type="spellStart"/>
      <w:r w:rsidRPr="003C2A28">
        <w:rPr>
          <w:rFonts w:ascii="Times New Roman" w:hAnsi="Times New Roman" w:cs="Times New Roman"/>
          <w:sz w:val="24"/>
          <w:szCs w:val="24"/>
        </w:rPr>
        <w:t>Jeroen</w:t>
      </w:r>
      <w:proofErr w:type="spellEnd"/>
      <w:r w:rsidRPr="003C2A28">
        <w:rPr>
          <w:rFonts w:ascii="Times New Roman" w:hAnsi="Times New Roman" w:cs="Times New Roman"/>
          <w:sz w:val="24"/>
          <w:szCs w:val="24"/>
        </w:rPr>
        <w:t xml:space="preserve"> </w:t>
      </w:r>
      <w:proofErr w:type="spellStart"/>
      <w:r w:rsidRPr="003C2A28">
        <w:rPr>
          <w:rFonts w:ascii="Times New Roman" w:hAnsi="Times New Roman" w:cs="Times New Roman"/>
          <w:sz w:val="24"/>
          <w:szCs w:val="24"/>
        </w:rPr>
        <w:t>Hendrikse</w:t>
      </w:r>
      <w:proofErr w:type="spellEnd"/>
      <w:r>
        <w:rPr>
          <w:rFonts w:ascii="Times New Roman" w:hAnsi="Times New Roman" w:cs="Times New Roman"/>
          <w:sz w:val="24"/>
          <w:szCs w:val="24"/>
        </w:rPr>
        <w:t xml:space="preserve"> MD PhD</w:t>
      </w:r>
      <w:r w:rsidRPr="003C2A28">
        <w:rPr>
          <w:rFonts w:ascii="Times New Roman" w:hAnsi="Times New Roman" w:cs="Times New Roman"/>
          <w:sz w:val="24"/>
          <w:szCs w:val="24"/>
          <w:vertAlign w:val="superscript"/>
        </w:rPr>
        <w:t>2</w:t>
      </w:r>
      <w:r w:rsidRPr="003C2A28">
        <w:rPr>
          <w:rFonts w:ascii="Times New Roman" w:hAnsi="Times New Roman" w:cs="Times New Roman"/>
          <w:sz w:val="24"/>
          <w:szCs w:val="24"/>
        </w:rPr>
        <w:t xml:space="preserve">, Arjen J.C. </w:t>
      </w:r>
      <w:proofErr w:type="spellStart"/>
      <w:r w:rsidRPr="003C2A28">
        <w:rPr>
          <w:rFonts w:ascii="Times New Roman" w:hAnsi="Times New Roman" w:cs="Times New Roman"/>
          <w:sz w:val="24"/>
          <w:szCs w:val="24"/>
        </w:rPr>
        <w:t>Slooter</w:t>
      </w:r>
      <w:proofErr w:type="spellEnd"/>
      <w:r>
        <w:rPr>
          <w:rFonts w:ascii="Times New Roman" w:hAnsi="Times New Roman" w:cs="Times New Roman"/>
          <w:sz w:val="24"/>
          <w:szCs w:val="24"/>
        </w:rPr>
        <w:t xml:space="preserve"> MD PhD</w:t>
      </w:r>
      <w:r w:rsidRPr="003C2A28">
        <w:rPr>
          <w:rFonts w:ascii="Times New Roman" w:hAnsi="Times New Roman" w:cs="Times New Roman"/>
          <w:sz w:val="24"/>
          <w:szCs w:val="24"/>
          <w:vertAlign w:val="superscript"/>
        </w:rPr>
        <w:t>1</w:t>
      </w:r>
      <w:r w:rsidRPr="003C2A28">
        <w:rPr>
          <w:rFonts w:ascii="Times New Roman" w:hAnsi="Times New Roman" w:cs="Times New Roman"/>
          <w:sz w:val="24"/>
          <w:szCs w:val="24"/>
        </w:rPr>
        <w:t xml:space="preserve">, </w:t>
      </w:r>
      <w:proofErr w:type="spellStart"/>
      <w:r w:rsidRPr="003C2A28">
        <w:rPr>
          <w:rFonts w:ascii="Times New Roman" w:hAnsi="Times New Roman" w:cs="Times New Roman"/>
          <w:sz w:val="24"/>
          <w:szCs w:val="24"/>
        </w:rPr>
        <w:t>Jeroen</w:t>
      </w:r>
      <w:proofErr w:type="spellEnd"/>
      <w:r w:rsidRPr="003C2A28">
        <w:rPr>
          <w:rFonts w:ascii="Times New Roman" w:hAnsi="Times New Roman" w:cs="Times New Roman"/>
          <w:sz w:val="24"/>
          <w:szCs w:val="24"/>
        </w:rPr>
        <w:t xml:space="preserve"> de </w:t>
      </w:r>
      <w:proofErr w:type="spellStart"/>
      <w:r w:rsidRPr="003C2A28">
        <w:rPr>
          <w:rFonts w:ascii="Times New Roman" w:hAnsi="Times New Roman" w:cs="Times New Roman"/>
          <w:sz w:val="24"/>
          <w:szCs w:val="24"/>
        </w:rPr>
        <w:t>Bresser</w:t>
      </w:r>
      <w:proofErr w:type="spellEnd"/>
      <w:r>
        <w:rPr>
          <w:rFonts w:ascii="Times New Roman" w:hAnsi="Times New Roman" w:cs="Times New Roman"/>
          <w:sz w:val="24"/>
          <w:szCs w:val="24"/>
        </w:rPr>
        <w:t xml:space="preserve"> MD PhD</w:t>
      </w:r>
      <w:r w:rsidRPr="003C2A28">
        <w:rPr>
          <w:rFonts w:ascii="Times New Roman" w:hAnsi="Times New Roman" w:cs="Times New Roman"/>
          <w:sz w:val="24"/>
          <w:szCs w:val="24"/>
          <w:vertAlign w:val="superscript"/>
        </w:rPr>
        <w:t>2,3</w:t>
      </w:r>
    </w:p>
    <w:p w:rsidR="00A56A31" w:rsidRDefault="00A56A31" w:rsidP="00A56A31">
      <w:pPr>
        <w:spacing w:line="480" w:lineRule="auto"/>
        <w:jc w:val="both"/>
        <w:rPr>
          <w:rFonts w:ascii="Times New Roman" w:hAnsi="Times New Roman" w:cs="Times New Roman"/>
          <w:bCs/>
          <w:sz w:val="24"/>
          <w:szCs w:val="24"/>
        </w:rPr>
      </w:pPr>
      <w:r w:rsidRPr="0065519D">
        <w:rPr>
          <w:rFonts w:ascii="Times New Roman" w:eastAsia="Times New Roman" w:hAnsi="Times New Roman" w:cs="Times New Roman"/>
          <w:color w:val="000000" w:themeColor="text1"/>
          <w:spacing w:val="5"/>
          <w:sz w:val="24"/>
          <w:szCs w:val="24"/>
        </w:rPr>
        <w:t xml:space="preserve">on behalf of the </w:t>
      </w:r>
      <w:proofErr w:type="spellStart"/>
      <w:r w:rsidRPr="0065519D">
        <w:rPr>
          <w:rFonts w:ascii="Times New Roman" w:eastAsia="Times New Roman" w:hAnsi="Times New Roman" w:cs="Times New Roman"/>
          <w:color w:val="000000" w:themeColor="text1"/>
          <w:spacing w:val="5"/>
          <w:sz w:val="24"/>
          <w:szCs w:val="24"/>
        </w:rPr>
        <w:t>BioCog</w:t>
      </w:r>
      <w:proofErr w:type="spellEnd"/>
      <w:r w:rsidRPr="0065519D">
        <w:rPr>
          <w:rFonts w:ascii="Times New Roman" w:eastAsia="Times New Roman" w:hAnsi="Times New Roman" w:cs="Times New Roman"/>
          <w:color w:val="000000" w:themeColor="text1"/>
          <w:spacing w:val="5"/>
          <w:sz w:val="24"/>
          <w:szCs w:val="24"/>
        </w:rPr>
        <w:t xml:space="preserve"> Consortium, clinicaltrials.gov identifier:</w:t>
      </w:r>
      <w:r w:rsidRPr="0065519D">
        <w:rPr>
          <w:rFonts w:ascii="Times New Roman" w:hAnsi="Times New Roman" w:cs="Times New Roman"/>
          <w:sz w:val="24"/>
          <w:szCs w:val="24"/>
          <w:shd w:val="clear" w:color="auto" w:fill="FFFFFF"/>
        </w:rPr>
        <w:t xml:space="preserve"> NCT02265263</w:t>
      </w:r>
      <w:r w:rsidRPr="0065519D">
        <w:rPr>
          <w:rFonts w:ascii="Times New Roman" w:eastAsia="Times New Roman" w:hAnsi="Times New Roman" w:cs="Times New Roman"/>
          <w:color w:val="000000" w:themeColor="text1"/>
          <w:spacing w:val="5"/>
          <w:sz w:val="24"/>
          <w:szCs w:val="24"/>
        </w:rPr>
        <w:t xml:space="preserve">, ethical approval number </w:t>
      </w:r>
      <w:r w:rsidRPr="0065519D">
        <w:rPr>
          <w:rFonts w:ascii="Times New Roman" w:hAnsi="Times New Roman" w:cs="Times New Roman"/>
          <w:bCs/>
          <w:sz w:val="24"/>
          <w:szCs w:val="24"/>
        </w:rPr>
        <w:t>EA2/092/14 (Berlin), 14-469 (Utrecht)</w:t>
      </w:r>
    </w:p>
    <w:p w:rsidR="007D6B3B" w:rsidRDefault="007D6B3B">
      <w:pPr>
        <w:rPr>
          <w:rFonts w:ascii="Times New Roman" w:hAnsi="Times New Roman" w:cs="Times New Roman"/>
          <w:bCs/>
          <w:sz w:val="24"/>
          <w:szCs w:val="24"/>
        </w:rPr>
      </w:pPr>
      <w:r>
        <w:rPr>
          <w:rFonts w:ascii="Times New Roman" w:hAnsi="Times New Roman" w:cs="Times New Roman"/>
          <w:bCs/>
          <w:sz w:val="24"/>
          <w:szCs w:val="24"/>
        </w:rPr>
        <w:br w:type="page"/>
      </w:r>
      <w:bookmarkStart w:id="0" w:name="_GoBack"/>
      <w:bookmarkEnd w:id="0"/>
    </w:p>
    <w:p w:rsidR="007D6B3B" w:rsidRPr="0065519D" w:rsidRDefault="007D6B3B" w:rsidP="007D6B3B">
      <w:pPr>
        <w:spacing w:line="480" w:lineRule="auto"/>
        <w:rPr>
          <w:rFonts w:ascii="Times New Roman" w:eastAsia="Times New Roman" w:hAnsi="Times New Roman" w:cs="Times New Roman"/>
          <w:b/>
          <w:color w:val="000000" w:themeColor="text1"/>
          <w:spacing w:val="5"/>
          <w:sz w:val="24"/>
          <w:szCs w:val="24"/>
        </w:rPr>
      </w:pPr>
      <w:r w:rsidRPr="0065519D">
        <w:rPr>
          <w:rFonts w:ascii="Times New Roman" w:eastAsia="Times New Roman" w:hAnsi="Times New Roman" w:cs="Times New Roman"/>
          <w:b/>
          <w:color w:val="000000" w:themeColor="text1"/>
          <w:spacing w:val="5"/>
          <w:sz w:val="24"/>
          <w:szCs w:val="24"/>
        </w:rPr>
        <w:lastRenderedPageBreak/>
        <w:t>Authors and institutions</w:t>
      </w:r>
      <w:r w:rsidRPr="0065519D">
        <w:rPr>
          <w:rFonts w:ascii="Times New Roman" w:eastAsia="Times New Roman" w:hAnsi="Times New Roman" w:cs="Times New Roman"/>
          <w:b/>
          <w:color w:val="000000" w:themeColor="text1"/>
          <w:spacing w:val="5"/>
          <w:sz w:val="24"/>
          <w:szCs w:val="24"/>
        </w:rPr>
        <w:br/>
      </w:r>
    </w:p>
    <w:p w:rsidR="007D6B3B" w:rsidRPr="0065519D" w:rsidRDefault="007D6B3B" w:rsidP="007D6B3B">
      <w:pPr>
        <w:pStyle w:val="Lijstalinea"/>
        <w:numPr>
          <w:ilvl w:val="0"/>
          <w:numId w:val="2"/>
        </w:numPr>
        <w:spacing w:line="480" w:lineRule="auto"/>
        <w:jc w:val="both"/>
        <w:rPr>
          <w:rFonts w:ascii="Times New Roman" w:eastAsia="Times New Roman" w:hAnsi="Times New Roman" w:cs="Times New Roman"/>
          <w:color w:val="000000" w:themeColor="text1"/>
          <w:spacing w:val="5"/>
          <w:sz w:val="24"/>
          <w:szCs w:val="24"/>
        </w:rPr>
      </w:pPr>
      <w:r w:rsidRPr="0065519D">
        <w:rPr>
          <w:rFonts w:ascii="Times New Roman" w:eastAsia="Times New Roman" w:hAnsi="Times New Roman" w:cs="Times New Roman"/>
          <w:color w:val="000000" w:themeColor="text1"/>
          <w:spacing w:val="5"/>
          <w:sz w:val="24"/>
          <w:szCs w:val="24"/>
        </w:rPr>
        <w:t xml:space="preserve">Department of Intensive Care Medicine and Brain Center Rudolf Magnus, UMC Utrecht, Utrecht University, </w:t>
      </w:r>
      <w:proofErr w:type="spellStart"/>
      <w:r w:rsidRPr="0065519D">
        <w:rPr>
          <w:rFonts w:ascii="Times New Roman" w:eastAsia="Times New Roman" w:hAnsi="Times New Roman" w:cs="Times New Roman"/>
          <w:color w:val="000000" w:themeColor="text1"/>
          <w:spacing w:val="5"/>
          <w:sz w:val="24"/>
          <w:szCs w:val="24"/>
        </w:rPr>
        <w:t>Heidelberglaan</w:t>
      </w:r>
      <w:proofErr w:type="spellEnd"/>
      <w:r w:rsidRPr="0065519D">
        <w:rPr>
          <w:rFonts w:ascii="Times New Roman" w:eastAsia="Times New Roman" w:hAnsi="Times New Roman" w:cs="Times New Roman"/>
          <w:color w:val="000000" w:themeColor="text1"/>
          <w:spacing w:val="5"/>
          <w:sz w:val="24"/>
          <w:szCs w:val="24"/>
        </w:rPr>
        <w:t xml:space="preserve"> 100, Utrecht, The Netherlands. E: </w:t>
      </w:r>
      <w:hyperlink r:id="rId7" w:history="1">
        <w:r w:rsidRPr="0065519D">
          <w:rPr>
            <w:rStyle w:val="Hyperlink"/>
            <w:rFonts w:ascii="Times New Roman" w:eastAsia="Times New Roman" w:hAnsi="Times New Roman" w:cs="Times New Roman"/>
            <w:spacing w:val="5"/>
            <w:sz w:val="24"/>
            <w:szCs w:val="24"/>
          </w:rPr>
          <w:t>i.kant-2@umcutrecht.nl</w:t>
        </w:r>
      </w:hyperlink>
      <w:r w:rsidRPr="0065519D">
        <w:rPr>
          <w:rFonts w:ascii="Times New Roman" w:eastAsia="Times New Roman" w:hAnsi="Times New Roman" w:cs="Times New Roman"/>
          <w:color w:val="000000" w:themeColor="text1"/>
          <w:spacing w:val="5"/>
          <w:sz w:val="24"/>
          <w:szCs w:val="24"/>
        </w:rPr>
        <w:t xml:space="preserve">, </w:t>
      </w:r>
      <w:hyperlink r:id="rId8" w:history="1">
        <w:r w:rsidRPr="0065519D">
          <w:rPr>
            <w:rStyle w:val="Hyperlink"/>
            <w:rFonts w:ascii="Times New Roman" w:eastAsia="Times New Roman" w:hAnsi="Times New Roman" w:cs="Times New Roman"/>
            <w:spacing w:val="5"/>
            <w:sz w:val="24"/>
            <w:szCs w:val="24"/>
          </w:rPr>
          <w:t>s.j.t.vanmontfort-2@umcutrecht.nl</w:t>
        </w:r>
      </w:hyperlink>
      <w:r w:rsidRPr="0065519D">
        <w:rPr>
          <w:rFonts w:ascii="Times New Roman" w:eastAsia="Times New Roman" w:hAnsi="Times New Roman" w:cs="Times New Roman"/>
          <w:color w:val="000000" w:themeColor="text1"/>
          <w:spacing w:val="5"/>
          <w:sz w:val="24"/>
          <w:szCs w:val="24"/>
        </w:rPr>
        <w:t xml:space="preserve">, </w:t>
      </w:r>
      <w:hyperlink r:id="rId9" w:history="1">
        <w:r w:rsidRPr="0065519D">
          <w:rPr>
            <w:rStyle w:val="Hyperlink"/>
            <w:rFonts w:ascii="Times New Roman" w:eastAsia="Times New Roman" w:hAnsi="Times New Roman" w:cs="Times New Roman"/>
            <w:spacing w:val="5"/>
            <w:sz w:val="24"/>
            <w:szCs w:val="24"/>
          </w:rPr>
          <w:t>a.slooter-3@umcutrecht.nl</w:t>
        </w:r>
      </w:hyperlink>
      <w:r w:rsidRPr="0065519D">
        <w:rPr>
          <w:rFonts w:ascii="Times New Roman" w:eastAsia="Times New Roman" w:hAnsi="Times New Roman" w:cs="Times New Roman"/>
          <w:color w:val="000000" w:themeColor="text1"/>
          <w:spacing w:val="5"/>
          <w:sz w:val="24"/>
          <w:szCs w:val="24"/>
        </w:rPr>
        <w:t xml:space="preserve"> </w:t>
      </w:r>
    </w:p>
    <w:p w:rsidR="007D6B3B" w:rsidRPr="0065519D" w:rsidRDefault="007D6B3B" w:rsidP="007D6B3B">
      <w:pPr>
        <w:pStyle w:val="Lijstalinea"/>
        <w:numPr>
          <w:ilvl w:val="0"/>
          <w:numId w:val="2"/>
        </w:numPr>
        <w:spacing w:line="480" w:lineRule="auto"/>
        <w:jc w:val="both"/>
        <w:rPr>
          <w:rFonts w:ascii="Times New Roman" w:eastAsia="Times New Roman" w:hAnsi="Times New Roman" w:cs="Times New Roman"/>
          <w:color w:val="000000" w:themeColor="text1"/>
          <w:spacing w:val="5"/>
          <w:sz w:val="24"/>
          <w:szCs w:val="24"/>
        </w:rPr>
      </w:pPr>
      <w:r w:rsidRPr="0065519D">
        <w:rPr>
          <w:rFonts w:ascii="Times New Roman" w:eastAsia="Times New Roman" w:hAnsi="Times New Roman" w:cs="Times New Roman"/>
          <w:color w:val="000000" w:themeColor="text1"/>
          <w:spacing w:val="5"/>
          <w:sz w:val="24"/>
          <w:szCs w:val="24"/>
        </w:rPr>
        <w:t xml:space="preserve">Department of Radiology and Brain Center Rudolf Magnus, UMC Utrecht, Utrecht University, </w:t>
      </w:r>
      <w:proofErr w:type="spellStart"/>
      <w:r w:rsidRPr="0065519D">
        <w:rPr>
          <w:rFonts w:ascii="Times New Roman" w:eastAsia="Times New Roman" w:hAnsi="Times New Roman" w:cs="Times New Roman"/>
          <w:color w:val="000000" w:themeColor="text1"/>
          <w:spacing w:val="5"/>
          <w:sz w:val="24"/>
          <w:szCs w:val="24"/>
        </w:rPr>
        <w:t>Heidelberglaan</w:t>
      </w:r>
      <w:proofErr w:type="spellEnd"/>
      <w:r w:rsidRPr="0065519D">
        <w:rPr>
          <w:rFonts w:ascii="Times New Roman" w:eastAsia="Times New Roman" w:hAnsi="Times New Roman" w:cs="Times New Roman"/>
          <w:color w:val="000000" w:themeColor="text1"/>
          <w:spacing w:val="5"/>
          <w:sz w:val="24"/>
          <w:szCs w:val="24"/>
        </w:rPr>
        <w:t xml:space="preserve"> 100, Utrecht, The Netherlands. E: </w:t>
      </w:r>
      <w:hyperlink r:id="rId10" w:history="1"/>
      <w:hyperlink r:id="rId11" w:history="1">
        <w:r w:rsidRPr="0065519D">
          <w:rPr>
            <w:rStyle w:val="Hyperlink"/>
            <w:rFonts w:ascii="Times New Roman" w:hAnsi="Times New Roman" w:cs="Times New Roman"/>
            <w:sz w:val="24"/>
            <w:szCs w:val="24"/>
          </w:rPr>
          <w:t>henkjanmutsaerts@gmail.com</w:t>
        </w:r>
      </w:hyperlink>
      <w:r w:rsidRPr="0065519D">
        <w:rPr>
          <w:rFonts w:ascii="Times New Roman" w:eastAsia="Times New Roman" w:hAnsi="Times New Roman" w:cs="Times New Roman"/>
          <w:color w:val="000000" w:themeColor="text1"/>
          <w:spacing w:val="5"/>
          <w:sz w:val="24"/>
          <w:szCs w:val="24"/>
        </w:rPr>
        <w:t xml:space="preserve">, </w:t>
      </w:r>
      <w:hyperlink r:id="rId12" w:history="1">
        <w:r w:rsidRPr="0065519D">
          <w:rPr>
            <w:rStyle w:val="Hyperlink"/>
            <w:rFonts w:ascii="Times New Roman" w:eastAsia="Times New Roman" w:hAnsi="Times New Roman" w:cs="Times New Roman"/>
            <w:spacing w:val="5"/>
            <w:sz w:val="24"/>
            <w:szCs w:val="24"/>
          </w:rPr>
          <w:t>j.hendrikse@umcutrecht.nl</w:t>
        </w:r>
      </w:hyperlink>
      <w:r w:rsidRPr="0065519D">
        <w:rPr>
          <w:rFonts w:ascii="Times New Roman" w:eastAsia="Times New Roman" w:hAnsi="Times New Roman" w:cs="Times New Roman"/>
          <w:color w:val="000000" w:themeColor="text1"/>
          <w:spacing w:val="5"/>
          <w:sz w:val="24"/>
          <w:szCs w:val="24"/>
        </w:rPr>
        <w:t xml:space="preserve"> </w:t>
      </w:r>
    </w:p>
    <w:p w:rsidR="007D6B3B" w:rsidRPr="0065519D" w:rsidRDefault="007D6B3B" w:rsidP="007D6B3B">
      <w:pPr>
        <w:pStyle w:val="Lijstalinea"/>
        <w:numPr>
          <w:ilvl w:val="0"/>
          <w:numId w:val="2"/>
        </w:numPr>
        <w:spacing w:line="480" w:lineRule="auto"/>
        <w:jc w:val="both"/>
        <w:rPr>
          <w:rFonts w:ascii="Times New Roman" w:eastAsia="Times New Roman" w:hAnsi="Times New Roman" w:cs="Times New Roman"/>
          <w:color w:val="000000" w:themeColor="text1"/>
          <w:spacing w:val="5"/>
          <w:sz w:val="24"/>
          <w:szCs w:val="24"/>
        </w:rPr>
      </w:pPr>
      <w:r w:rsidRPr="0065519D">
        <w:rPr>
          <w:rFonts w:ascii="Times New Roman" w:eastAsia="Times New Roman" w:hAnsi="Times New Roman" w:cs="Times New Roman"/>
          <w:color w:val="000000" w:themeColor="text1"/>
          <w:spacing w:val="5"/>
          <w:sz w:val="24"/>
          <w:szCs w:val="24"/>
        </w:rPr>
        <w:t xml:space="preserve">Department of Radiology, Leiden University Medical Center, Leiden, The Netherlands. E: </w:t>
      </w:r>
      <w:hyperlink r:id="rId13" w:history="1">
        <w:r w:rsidRPr="0065519D">
          <w:rPr>
            <w:rStyle w:val="Hyperlink"/>
            <w:rFonts w:ascii="Times New Roman" w:eastAsia="Times New Roman" w:hAnsi="Times New Roman" w:cs="Times New Roman"/>
            <w:spacing w:val="5"/>
            <w:sz w:val="24"/>
            <w:szCs w:val="24"/>
          </w:rPr>
          <w:t>j.h.j.</w:t>
        </w:r>
        <w:r w:rsidRPr="0065519D">
          <w:rPr>
            <w:rStyle w:val="Hyperlink"/>
            <w:rFonts w:ascii="Times New Roman" w:eastAsia="Times New Roman" w:hAnsi="Times New Roman" w:cs="Times New Roman"/>
            <w:spacing w:val="5"/>
            <w:sz w:val="24"/>
            <w:szCs w:val="24"/>
            <w:lang w:val="nl-NL"/>
          </w:rPr>
          <w:t>m.</w:t>
        </w:r>
        <w:r w:rsidRPr="0065519D">
          <w:rPr>
            <w:rStyle w:val="Hyperlink"/>
            <w:rFonts w:ascii="Times New Roman" w:eastAsia="Times New Roman" w:hAnsi="Times New Roman" w:cs="Times New Roman"/>
            <w:spacing w:val="5"/>
            <w:sz w:val="24"/>
            <w:szCs w:val="24"/>
          </w:rPr>
          <w:t>de_bresser@lumc.nl</w:t>
        </w:r>
      </w:hyperlink>
      <w:r w:rsidRPr="0065519D">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pacing w:val="5"/>
          <w:sz w:val="24"/>
          <w:szCs w:val="24"/>
        </w:rPr>
        <w:t xml:space="preserve">; </w:t>
      </w:r>
      <w:hyperlink r:id="rId14" w:history="1">
        <w:r w:rsidRPr="007E3E3E">
          <w:rPr>
            <w:rStyle w:val="Hyperlink"/>
            <w:rFonts w:ascii="Times New Roman" w:eastAsia="Times New Roman" w:hAnsi="Times New Roman" w:cs="Times New Roman"/>
            <w:spacing w:val="5"/>
            <w:sz w:val="24"/>
            <w:szCs w:val="24"/>
          </w:rPr>
          <w:t>m.g.jaarsma@lumc.nl</w:t>
        </w:r>
      </w:hyperlink>
      <w:r>
        <w:rPr>
          <w:rFonts w:ascii="Times New Roman" w:eastAsia="Times New Roman" w:hAnsi="Times New Roman" w:cs="Times New Roman"/>
          <w:color w:val="000000" w:themeColor="text1"/>
          <w:spacing w:val="5"/>
          <w:sz w:val="24"/>
          <w:szCs w:val="24"/>
        </w:rPr>
        <w:t xml:space="preserve"> </w:t>
      </w:r>
    </w:p>
    <w:p w:rsidR="007D6B3B" w:rsidRPr="0065519D" w:rsidRDefault="007D6B3B" w:rsidP="007D6B3B">
      <w:pPr>
        <w:pStyle w:val="Lijstalinea"/>
        <w:numPr>
          <w:ilvl w:val="0"/>
          <w:numId w:val="2"/>
        </w:numPr>
        <w:spacing w:line="480" w:lineRule="auto"/>
        <w:jc w:val="both"/>
        <w:rPr>
          <w:rFonts w:ascii="Times New Roman" w:eastAsia="Times New Roman" w:hAnsi="Times New Roman" w:cs="Times New Roman"/>
          <w:color w:val="000000" w:themeColor="text1"/>
          <w:spacing w:val="5"/>
          <w:sz w:val="24"/>
          <w:szCs w:val="24"/>
        </w:rPr>
      </w:pPr>
      <w:r w:rsidRPr="0065519D">
        <w:rPr>
          <w:rFonts w:ascii="Times New Roman" w:hAnsi="Times New Roman" w:cs="Times New Roman"/>
          <w:sz w:val="24"/>
          <w:szCs w:val="24"/>
        </w:rPr>
        <w:t xml:space="preserve">Experimental and Clinical Research Center (ECRC), </w:t>
      </w:r>
      <w:proofErr w:type="spellStart"/>
      <w:r w:rsidRPr="0065519D">
        <w:rPr>
          <w:rFonts w:ascii="Times New Roman" w:hAnsi="Times New Roman" w:cs="Times New Roman"/>
          <w:sz w:val="24"/>
          <w:szCs w:val="24"/>
        </w:rPr>
        <w:t>Charité</w:t>
      </w:r>
      <w:proofErr w:type="spellEnd"/>
      <w:r w:rsidRPr="0065519D">
        <w:rPr>
          <w:rFonts w:ascii="Times New Roman" w:hAnsi="Times New Roman" w:cs="Times New Roman"/>
          <w:sz w:val="24"/>
          <w:szCs w:val="24"/>
        </w:rPr>
        <w:t xml:space="preserve"> </w:t>
      </w:r>
      <w:r w:rsidRPr="0065519D">
        <w:rPr>
          <w:rFonts w:ascii="Times New Roman" w:eastAsia="Times New Roman" w:hAnsi="Times New Roman" w:cs="Times New Roman"/>
          <w:color w:val="000000" w:themeColor="text1"/>
          <w:spacing w:val="5"/>
          <w:sz w:val="24"/>
          <w:szCs w:val="24"/>
        </w:rPr>
        <w:t xml:space="preserve">– </w:t>
      </w:r>
      <w:proofErr w:type="spellStart"/>
      <w:r w:rsidRPr="0065519D">
        <w:rPr>
          <w:rFonts w:ascii="Times New Roman" w:eastAsia="Times New Roman" w:hAnsi="Times New Roman" w:cs="Times New Roman"/>
          <w:color w:val="000000" w:themeColor="text1"/>
          <w:spacing w:val="5"/>
          <w:sz w:val="24"/>
          <w:szCs w:val="24"/>
        </w:rPr>
        <w:t>Universitätsmedizin</w:t>
      </w:r>
      <w:proofErr w:type="spellEnd"/>
      <w:r w:rsidRPr="0065519D">
        <w:rPr>
          <w:rFonts w:ascii="Times New Roman" w:eastAsia="Times New Roman" w:hAnsi="Times New Roman" w:cs="Times New Roman"/>
          <w:color w:val="000000" w:themeColor="text1"/>
          <w:spacing w:val="5"/>
          <w:sz w:val="24"/>
          <w:szCs w:val="24"/>
        </w:rPr>
        <w:t xml:space="preserve"> Berlin, Berlin, Germany</w:t>
      </w:r>
    </w:p>
    <w:p w:rsidR="007D6B3B" w:rsidRPr="0065519D" w:rsidRDefault="007D6B3B" w:rsidP="007D6B3B">
      <w:pPr>
        <w:pStyle w:val="Lijstalinea"/>
        <w:numPr>
          <w:ilvl w:val="0"/>
          <w:numId w:val="2"/>
        </w:numPr>
        <w:spacing w:line="480" w:lineRule="auto"/>
        <w:jc w:val="both"/>
        <w:rPr>
          <w:rFonts w:ascii="Times New Roman" w:eastAsia="Times New Roman" w:hAnsi="Times New Roman" w:cs="Times New Roman"/>
          <w:color w:val="000000" w:themeColor="text1"/>
          <w:spacing w:val="5"/>
          <w:sz w:val="24"/>
          <w:szCs w:val="24"/>
        </w:rPr>
      </w:pPr>
      <w:proofErr w:type="spellStart"/>
      <w:r w:rsidRPr="0065519D">
        <w:rPr>
          <w:rFonts w:ascii="Times New Roman" w:hAnsi="Times New Roman" w:cs="Times New Roman"/>
          <w:sz w:val="24"/>
          <w:szCs w:val="24"/>
        </w:rPr>
        <w:t>PharmaImage</w:t>
      </w:r>
      <w:proofErr w:type="spellEnd"/>
      <w:r w:rsidRPr="0065519D">
        <w:rPr>
          <w:rFonts w:ascii="Times New Roman" w:hAnsi="Times New Roman" w:cs="Times New Roman"/>
          <w:sz w:val="24"/>
          <w:szCs w:val="24"/>
        </w:rPr>
        <w:t xml:space="preserve"> Biomarker Solutions GmbH, Berlin, Germany</w:t>
      </w:r>
    </w:p>
    <w:p w:rsidR="007D6B3B" w:rsidRPr="00361B4E" w:rsidRDefault="007D6B3B" w:rsidP="007D6B3B">
      <w:pPr>
        <w:pStyle w:val="Lijstalinea"/>
        <w:numPr>
          <w:ilvl w:val="0"/>
          <w:numId w:val="2"/>
        </w:numPr>
        <w:spacing w:line="480" w:lineRule="auto"/>
        <w:jc w:val="both"/>
        <w:rPr>
          <w:rFonts w:ascii="Times New Roman" w:eastAsia="Times New Roman" w:hAnsi="Times New Roman" w:cs="Times New Roman"/>
          <w:color w:val="000000" w:themeColor="text1"/>
          <w:spacing w:val="5"/>
          <w:sz w:val="24"/>
          <w:szCs w:val="24"/>
        </w:rPr>
      </w:pPr>
      <w:r w:rsidRPr="0065519D">
        <w:rPr>
          <w:rFonts w:ascii="Times New Roman" w:hAnsi="Times New Roman" w:cs="Times New Roman"/>
          <w:sz w:val="24"/>
          <w:szCs w:val="24"/>
        </w:rPr>
        <w:t xml:space="preserve">Department of Anesthesiology and Operative Intensive Care Medicine (CCM,CVK), </w:t>
      </w:r>
      <w:proofErr w:type="spellStart"/>
      <w:r w:rsidRPr="0065519D">
        <w:rPr>
          <w:rFonts w:ascii="Times New Roman" w:hAnsi="Times New Roman" w:cs="Times New Roman"/>
          <w:sz w:val="24"/>
          <w:szCs w:val="24"/>
        </w:rPr>
        <w:t>Charité</w:t>
      </w:r>
      <w:proofErr w:type="spellEnd"/>
      <w:r w:rsidRPr="0065519D">
        <w:rPr>
          <w:rFonts w:ascii="Times New Roman" w:hAnsi="Times New Roman" w:cs="Times New Roman"/>
          <w:sz w:val="24"/>
          <w:szCs w:val="24"/>
        </w:rPr>
        <w:t xml:space="preserve"> </w:t>
      </w:r>
      <w:r w:rsidRPr="0065519D">
        <w:rPr>
          <w:rFonts w:ascii="Times New Roman" w:eastAsia="Times New Roman" w:hAnsi="Times New Roman" w:cs="Times New Roman"/>
          <w:color w:val="000000" w:themeColor="text1"/>
          <w:spacing w:val="5"/>
          <w:sz w:val="24"/>
          <w:szCs w:val="24"/>
        </w:rPr>
        <w:t xml:space="preserve">– </w:t>
      </w:r>
      <w:proofErr w:type="spellStart"/>
      <w:r w:rsidRPr="0065519D">
        <w:rPr>
          <w:rFonts w:ascii="Times New Roman" w:eastAsia="Times New Roman" w:hAnsi="Times New Roman" w:cs="Times New Roman"/>
          <w:color w:val="000000" w:themeColor="text1"/>
          <w:spacing w:val="5"/>
          <w:sz w:val="24"/>
          <w:szCs w:val="24"/>
        </w:rPr>
        <w:t>Universitätsmedizin</w:t>
      </w:r>
      <w:proofErr w:type="spellEnd"/>
      <w:r w:rsidRPr="0065519D">
        <w:rPr>
          <w:rFonts w:ascii="Times New Roman" w:eastAsia="Times New Roman" w:hAnsi="Times New Roman" w:cs="Times New Roman"/>
          <w:color w:val="000000" w:themeColor="text1"/>
          <w:spacing w:val="5"/>
          <w:sz w:val="24"/>
          <w:szCs w:val="24"/>
        </w:rPr>
        <w:t xml:space="preserve"> Berlin, </w:t>
      </w:r>
      <w:r>
        <w:rPr>
          <w:rFonts w:ascii="Times New Roman" w:hAnsi="Times New Roman" w:cs="Times New Roman"/>
          <w:sz w:val="24"/>
          <w:szCs w:val="24"/>
        </w:rPr>
        <w:t>and c</w:t>
      </w:r>
      <w:r w:rsidRPr="0065519D">
        <w:rPr>
          <w:rFonts w:ascii="Times New Roman" w:hAnsi="Times New Roman" w:cs="Times New Roman"/>
          <w:sz w:val="24"/>
          <w:szCs w:val="24"/>
        </w:rPr>
        <w:t xml:space="preserve">orporate member of </w:t>
      </w:r>
      <w:proofErr w:type="spellStart"/>
      <w:r w:rsidRPr="0065519D">
        <w:rPr>
          <w:rFonts w:ascii="Times New Roman" w:hAnsi="Times New Roman" w:cs="Times New Roman"/>
          <w:sz w:val="24"/>
          <w:szCs w:val="24"/>
        </w:rPr>
        <w:t>Freie</w:t>
      </w:r>
      <w:proofErr w:type="spellEnd"/>
      <w:r w:rsidRPr="0065519D">
        <w:rPr>
          <w:rFonts w:ascii="Times New Roman" w:hAnsi="Times New Roman" w:cs="Times New Roman"/>
          <w:sz w:val="24"/>
          <w:szCs w:val="24"/>
        </w:rPr>
        <w:t xml:space="preserve"> </w:t>
      </w:r>
      <w:proofErr w:type="spellStart"/>
      <w:r w:rsidRPr="0065519D">
        <w:rPr>
          <w:rFonts w:ascii="Times New Roman" w:hAnsi="Times New Roman" w:cs="Times New Roman"/>
          <w:sz w:val="24"/>
          <w:szCs w:val="24"/>
        </w:rPr>
        <w:t>Universität</w:t>
      </w:r>
      <w:proofErr w:type="spellEnd"/>
      <w:r w:rsidRPr="0065519D">
        <w:rPr>
          <w:rFonts w:ascii="Times New Roman" w:hAnsi="Times New Roman" w:cs="Times New Roman"/>
          <w:sz w:val="24"/>
          <w:szCs w:val="24"/>
        </w:rPr>
        <w:t xml:space="preserve"> Berlin, Humboldt</w:t>
      </w:r>
      <w:r w:rsidRPr="0065519D">
        <w:rPr>
          <w:rFonts w:ascii="Times New Roman" w:eastAsia="Times New Roman" w:hAnsi="Times New Roman" w:cs="Times New Roman"/>
          <w:color w:val="000000" w:themeColor="text1"/>
          <w:spacing w:val="5"/>
          <w:sz w:val="24"/>
          <w:szCs w:val="24"/>
        </w:rPr>
        <w:t>-</w:t>
      </w:r>
      <w:proofErr w:type="spellStart"/>
      <w:r w:rsidRPr="0065519D">
        <w:rPr>
          <w:rFonts w:ascii="Times New Roman" w:eastAsia="Times New Roman" w:hAnsi="Times New Roman" w:cs="Times New Roman"/>
          <w:color w:val="000000" w:themeColor="text1"/>
          <w:spacing w:val="5"/>
          <w:sz w:val="24"/>
          <w:szCs w:val="24"/>
        </w:rPr>
        <w:t>Universität</w:t>
      </w:r>
      <w:proofErr w:type="spellEnd"/>
      <w:r w:rsidRPr="0065519D">
        <w:rPr>
          <w:rFonts w:ascii="Times New Roman" w:eastAsia="Times New Roman" w:hAnsi="Times New Roman" w:cs="Times New Roman"/>
          <w:color w:val="000000" w:themeColor="text1"/>
          <w:spacing w:val="5"/>
          <w:sz w:val="24"/>
          <w:szCs w:val="24"/>
        </w:rPr>
        <w:t xml:space="preserve"> </w:t>
      </w:r>
      <w:proofErr w:type="spellStart"/>
      <w:r w:rsidRPr="0065519D">
        <w:rPr>
          <w:rFonts w:ascii="Times New Roman" w:eastAsia="Times New Roman" w:hAnsi="Times New Roman" w:cs="Times New Roman"/>
          <w:color w:val="000000" w:themeColor="text1"/>
          <w:spacing w:val="5"/>
          <w:sz w:val="24"/>
          <w:szCs w:val="24"/>
        </w:rPr>
        <w:t>zu</w:t>
      </w:r>
      <w:proofErr w:type="spellEnd"/>
      <w:r w:rsidRPr="0065519D">
        <w:rPr>
          <w:rFonts w:ascii="Times New Roman" w:eastAsia="Times New Roman" w:hAnsi="Times New Roman" w:cs="Times New Roman"/>
          <w:color w:val="000000" w:themeColor="text1"/>
          <w:spacing w:val="5"/>
          <w:sz w:val="24"/>
          <w:szCs w:val="24"/>
        </w:rPr>
        <w:t xml:space="preserve"> Berlin, and Berlin Institute of Health, Berlin, Germany</w:t>
      </w:r>
      <w:r>
        <w:rPr>
          <w:rFonts w:ascii="Times New Roman" w:eastAsia="Times New Roman" w:hAnsi="Times New Roman" w:cs="Times New Roman"/>
          <w:color w:val="000000" w:themeColor="text1"/>
          <w:spacing w:val="5"/>
          <w:sz w:val="24"/>
          <w:szCs w:val="24"/>
        </w:rPr>
        <w:t xml:space="preserve">, </w:t>
      </w:r>
      <w:r w:rsidRPr="00361B4E">
        <w:rPr>
          <w:rFonts w:ascii="Times New Roman" w:eastAsia="Times New Roman" w:hAnsi="Times New Roman" w:cs="Times New Roman"/>
          <w:color w:val="000000" w:themeColor="text1"/>
          <w:spacing w:val="5"/>
          <w:sz w:val="24"/>
          <w:szCs w:val="24"/>
        </w:rPr>
        <w:t xml:space="preserve">E: </w:t>
      </w:r>
      <w:hyperlink r:id="rId15" w:history="1">
        <w:r w:rsidRPr="00361B4E">
          <w:rPr>
            <w:rStyle w:val="Hyperlink"/>
            <w:rFonts w:ascii="Times New Roman" w:eastAsia="Times New Roman" w:hAnsi="Times New Roman" w:cs="Times New Roman"/>
            <w:spacing w:val="5"/>
            <w:sz w:val="24"/>
            <w:szCs w:val="24"/>
          </w:rPr>
          <w:t>georg.winterer@charite.de</w:t>
        </w:r>
      </w:hyperlink>
      <w:r w:rsidRPr="00361B4E">
        <w:rPr>
          <w:rFonts w:ascii="Times New Roman" w:eastAsia="Times New Roman" w:hAnsi="Times New Roman" w:cs="Times New Roman"/>
          <w:color w:val="000000" w:themeColor="text1"/>
          <w:spacing w:val="5"/>
          <w:sz w:val="24"/>
          <w:szCs w:val="24"/>
        </w:rPr>
        <w:t xml:space="preserve">, </w:t>
      </w:r>
      <w:hyperlink r:id="rId16" w:history="1">
        <w:r w:rsidRPr="00361B4E">
          <w:rPr>
            <w:rStyle w:val="Hyperlink"/>
            <w:rFonts w:ascii="Times New Roman" w:eastAsia="Times New Roman" w:hAnsi="Times New Roman" w:cs="Times New Roman"/>
            <w:spacing w:val="5"/>
            <w:sz w:val="24"/>
            <w:szCs w:val="24"/>
          </w:rPr>
          <w:t>Claudia.spies@charite.de</w:t>
        </w:r>
      </w:hyperlink>
    </w:p>
    <w:p w:rsidR="007D6B3B" w:rsidRDefault="007D6B3B" w:rsidP="007D6B3B">
      <w:pPr>
        <w:spacing w:line="480" w:lineRule="auto"/>
        <w:jc w:val="both"/>
        <w:rPr>
          <w:rFonts w:ascii="Times New Roman" w:eastAsia="Times New Roman" w:hAnsi="Times New Roman" w:cs="Times New Roman"/>
          <w:color w:val="000000" w:themeColor="text1"/>
          <w:spacing w:val="5"/>
          <w:sz w:val="24"/>
          <w:szCs w:val="24"/>
        </w:rPr>
      </w:pPr>
      <w:r w:rsidRPr="0065519D">
        <w:rPr>
          <w:rFonts w:ascii="Times New Roman" w:eastAsia="Times New Roman" w:hAnsi="Times New Roman" w:cs="Times New Roman"/>
          <w:color w:val="000000" w:themeColor="text1"/>
          <w:spacing w:val="5"/>
          <w:sz w:val="24"/>
          <w:szCs w:val="24"/>
        </w:rPr>
        <w:t xml:space="preserve">Corresponding author: Ilse Kant, </w:t>
      </w:r>
      <w:hyperlink r:id="rId17" w:history="1">
        <w:r w:rsidRPr="0065519D">
          <w:rPr>
            <w:rStyle w:val="Hyperlink"/>
            <w:rFonts w:ascii="Times New Roman" w:eastAsia="Times New Roman" w:hAnsi="Times New Roman" w:cs="Times New Roman"/>
            <w:spacing w:val="5"/>
            <w:sz w:val="24"/>
            <w:szCs w:val="24"/>
          </w:rPr>
          <w:t>i.kant-2@umcutrecht.nl</w:t>
        </w:r>
      </w:hyperlink>
      <w:r>
        <w:rPr>
          <w:rFonts w:ascii="Times New Roman" w:eastAsia="Times New Roman" w:hAnsi="Times New Roman" w:cs="Times New Roman"/>
          <w:color w:val="000000" w:themeColor="text1"/>
          <w:spacing w:val="5"/>
          <w:sz w:val="24"/>
          <w:szCs w:val="24"/>
        </w:rPr>
        <w:t>, 0031 – 88 75 57825</w:t>
      </w:r>
    </w:p>
    <w:p w:rsidR="007D6B3B" w:rsidRDefault="007D6B3B" w:rsidP="00A56A31">
      <w:pPr>
        <w:spacing w:line="480" w:lineRule="auto"/>
        <w:jc w:val="both"/>
        <w:rPr>
          <w:rFonts w:ascii="Times New Roman" w:hAnsi="Times New Roman" w:cs="Times New Roman"/>
          <w:bCs/>
          <w:sz w:val="24"/>
          <w:szCs w:val="24"/>
        </w:rPr>
        <w:sectPr w:rsidR="007D6B3B" w:rsidSect="007D6B3B">
          <w:pgSz w:w="12240" w:h="15840" w:code="1"/>
          <w:pgMar w:top="1440" w:right="1440" w:bottom="1440" w:left="1440" w:header="720" w:footer="720" w:gutter="0"/>
          <w:cols w:space="720"/>
          <w:docGrid w:linePitch="360"/>
        </w:sectPr>
      </w:pPr>
    </w:p>
    <w:p w:rsidR="00A56A31" w:rsidRPr="0065519D" w:rsidRDefault="00A56A31" w:rsidP="00A56A31">
      <w:pPr>
        <w:spacing w:line="480" w:lineRule="auto"/>
        <w:jc w:val="both"/>
        <w:rPr>
          <w:rFonts w:ascii="Times New Roman" w:hAnsi="Times New Roman" w:cs="Times New Roman"/>
          <w:bCs/>
          <w:sz w:val="24"/>
          <w:szCs w:val="24"/>
        </w:rPr>
      </w:pPr>
    </w:p>
    <w:p w:rsidR="00C82457" w:rsidRPr="009A7161" w:rsidRDefault="00C82457" w:rsidP="00C82457">
      <w:pPr>
        <w:jc w:val="both"/>
        <w:rPr>
          <w:rFonts w:ascii="Times New Roman" w:hAnsi="Times New Roman" w:cs="Times New Roman"/>
        </w:rPr>
      </w:pPr>
      <w:r w:rsidRPr="009A7161">
        <w:rPr>
          <w:rFonts w:ascii="Times New Roman" w:hAnsi="Times New Roman" w:cs="Times New Roman"/>
        </w:rPr>
        <w:t>Supplementary table A: description of WMH shape features (also see</w:t>
      </w:r>
      <w:r w:rsidRPr="009A7161">
        <w:rPr>
          <w:rFonts w:ascii="Times New Roman" w:hAnsi="Times New Roman" w:cs="Times New Roman"/>
        </w:rPr>
        <w:fldChar w:fldCharType="begin" w:fldLock="1"/>
      </w:r>
      <w:r w:rsidR="00383969">
        <w:rPr>
          <w:rFonts w:ascii="Times New Roman" w:hAnsi="Times New Roman" w:cs="Times New Roman"/>
        </w:rPr>
        <w:instrText>ADDIN CSL_CITATION { "citationItems" : [ { "id" : "ITEM-1", "itemData" : { "DOI" : "10.1177/0271678X18800463", "author" : [ { "dropping-particle" : "", "family" : "Ghaznawi", "given" : "Rashid", "non-dropping-particle" : "", "parse-names" : false, "suffix" : "" }, { "dropping-particle" : "", "family" : "Geerlings", "given" : "Mirjam I", "non-dropping-particle" : "", "parse-names" : false, "suffix" : "" }, { "dropping-particle" : "", "family" : "Jaarsma-coes", "given" : "Myriam G", "non-dropping-particle" : "", "parse-names" : false, "suffix" : "" }, { "dropping-particle" : "", "family" : "Zwartbol", "given" : "Maarten H T", "non-dropping-particle" : "", "parse-names" : false, "suffix" : "" }, { "dropping-particle" : "", "family" : "Kuijf", "given" : "Hugo J", "non-dropping-particle" : "", "parse-names" : false, "suffix" : "" }, { "dropping-particle" : "Van Der", "family" : "Graaf", "given" : "Yolanda", "non-dropping-particle" : "", "parse-names" : false, "suffix" : "" }, { "dropping-particle" : "", "family" : "Witkamp", "given" : "Theo D", "non-dropping-particle" : "", "parse-names" : false, "suffix" : "" } ], "id" : "ITEM-1", "issued" : { "date-parts" : [ [ "2018" ] ] }, "title" : "The association between lacunes and white matter hyperintensity features on MRI : The SMART -MR study", "type" : "article-journal" }, "uris" : [ "http://www.mendeley.com/documents/?uuid=9f4d7789-cb41-4bf1-94d0-8853ba8b0a02" ] } ], "mendeley" : { "formattedCitation" : "&lt;sup&gt;2&lt;/sup&gt;", "plainTextFormattedCitation" : "2", "previouslyFormattedCitation" : "&lt;sup&gt;22&lt;/sup&gt;" }, "properties" : {  }, "schema" : "https://github.com/citation-style-language/schema/raw/master/csl-citation.json" }</w:instrText>
      </w:r>
      <w:r w:rsidRPr="009A7161">
        <w:rPr>
          <w:rFonts w:ascii="Times New Roman" w:hAnsi="Times New Roman" w:cs="Times New Roman"/>
        </w:rPr>
        <w:fldChar w:fldCharType="separate"/>
      </w:r>
      <w:r w:rsidR="00383969" w:rsidRPr="00383969">
        <w:rPr>
          <w:rFonts w:ascii="Times New Roman" w:hAnsi="Times New Roman" w:cs="Times New Roman"/>
          <w:noProof/>
          <w:vertAlign w:val="superscript"/>
        </w:rPr>
        <w:t>2</w:t>
      </w:r>
      <w:r w:rsidRPr="009A7161">
        <w:rPr>
          <w:rFonts w:ascii="Times New Roman" w:hAnsi="Times New Roman" w:cs="Times New Roman"/>
        </w:rPr>
        <w:fldChar w:fldCharType="end"/>
      </w:r>
      <w:r w:rsidRPr="009A7161">
        <w:rPr>
          <w:rFonts w:ascii="Times New Roman" w:hAnsi="Times New Roman" w:cs="Times New Roman"/>
        </w:rPr>
        <w:t>).</w:t>
      </w:r>
    </w:p>
    <w:tbl>
      <w:tblPr>
        <w:tblStyle w:val="Tabelraster"/>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420"/>
        <w:gridCol w:w="3365"/>
        <w:gridCol w:w="3364"/>
      </w:tblGrid>
      <w:tr w:rsidR="00C82457" w:rsidRPr="009A7161" w:rsidTr="00C22609">
        <w:trPr>
          <w:trHeight w:val="576"/>
        </w:trPr>
        <w:tc>
          <w:tcPr>
            <w:tcW w:w="1147" w:type="pct"/>
            <w:tcBorders>
              <w:top w:val="single" w:sz="4" w:space="0" w:color="auto"/>
              <w:left w:val="single" w:sz="4" w:space="0" w:color="auto"/>
              <w:bottom w:val="single" w:sz="4" w:space="0" w:color="auto"/>
            </w:tcBorders>
            <w:shd w:val="clear" w:color="auto" w:fill="F2F2F2" w:themeFill="background1" w:themeFillShade="F2"/>
          </w:tcPr>
          <w:p w:rsidR="00C82457" w:rsidRPr="009A7161" w:rsidRDefault="00C82457" w:rsidP="00C22609">
            <w:pPr>
              <w:rPr>
                <w:rFonts w:ascii="Times New Roman" w:eastAsia="MS Gothic" w:hAnsi="Times New Roman" w:cs="Times New Roman"/>
                <w:b/>
                <w:bCs/>
                <w:iCs/>
                <w:sz w:val="18"/>
              </w:rPr>
            </w:pPr>
            <w:r w:rsidRPr="009A7161">
              <w:rPr>
                <w:rFonts w:ascii="Times New Roman" w:eastAsia="MS Gothic" w:hAnsi="Times New Roman" w:cs="Times New Roman"/>
                <w:b/>
                <w:bCs/>
                <w:iCs/>
                <w:sz w:val="18"/>
              </w:rPr>
              <w:t>Name</w:t>
            </w:r>
          </w:p>
        </w:tc>
        <w:tc>
          <w:tcPr>
            <w:tcW w:w="1298" w:type="pct"/>
            <w:tcBorders>
              <w:top w:val="single" w:sz="4" w:space="0" w:color="auto"/>
              <w:bottom w:val="single" w:sz="4" w:space="0" w:color="auto"/>
            </w:tcBorders>
            <w:shd w:val="clear" w:color="auto" w:fill="F2F2F2" w:themeFill="background1" w:themeFillShade="F2"/>
          </w:tcPr>
          <w:p w:rsidR="00C82457" w:rsidRPr="009A7161" w:rsidRDefault="00C82457" w:rsidP="00C22609">
            <w:pPr>
              <w:rPr>
                <w:rFonts w:ascii="Times New Roman" w:eastAsia="MS Gothic" w:hAnsi="Times New Roman" w:cs="Times New Roman"/>
                <w:b/>
                <w:bCs/>
                <w:iCs/>
                <w:sz w:val="18"/>
              </w:rPr>
            </w:pPr>
            <w:r w:rsidRPr="009A7161">
              <w:rPr>
                <w:rFonts w:ascii="Times New Roman" w:eastAsia="MS Gothic" w:hAnsi="Times New Roman" w:cs="Times New Roman"/>
                <w:b/>
                <w:bCs/>
                <w:iCs/>
                <w:sz w:val="18"/>
              </w:rPr>
              <w:t>Definition</w:t>
            </w:r>
          </w:p>
        </w:tc>
        <w:tc>
          <w:tcPr>
            <w:tcW w:w="1277" w:type="pct"/>
            <w:tcBorders>
              <w:top w:val="single" w:sz="4" w:space="0" w:color="auto"/>
              <w:bottom w:val="single" w:sz="4" w:space="0" w:color="auto"/>
            </w:tcBorders>
            <w:shd w:val="clear" w:color="auto" w:fill="F2F2F2" w:themeFill="background1" w:themeFillShade="F2"/>
          </w:tcPr>
          <w:p w:rsidR="00C82457" w:rsidRPr="009A7161" w:rsidRDefault="00C82457" w:rsidP="00C22609">
            <w:pPr>
              <w:rPr>
                <w:rFonts w:ascii="Times New Roman" w:eastAsia="MS Gothic" w:hAnsi="Times New Roman" w:cs="Times New Roman"/>
                <w:b/>
                <w:bCs/>
                <w:iCs/>
                <w:sz w:val="18"/>
              </w:rPr>
            </w:pPr>
            <w:r w:rsidRPr="009A7161">
              <w:rPr>
                <w:rFonts w:ascii="Times New Roman" w:eastAsia="MS Gothic" w:hAnsi="Times New Roman" w:cs="Times New Roman"/>
                <w:b/>
                <w:bCs/>
                <w:iCs/>
                <w:sz w:val="18"/>
              </w:rPr>
              <w:t>Explanation of the formula</w:t>
            </w:r>
          </w:p>
        </w:tc>
        <w:tc>
          <w:tcPr>
            <w:tcW w:w="1277" w:type="pct"/>
            <w:tcBorders>
              <w:top w:val="single" w:sz="4" w:space="0" w:color="auto"/>
              <w:bottom w:val="single" w:sz="4" w:space="0" w:color="auto"/>
              <w:right w:val="single" w:sz="4" w:space="0" w:color="auto"/>
            </w:tcBorders>
            <w:shd w:val="clear" w:color="auto" w:fill="F2F2F2" w:themeFill="background1" w:themeFillShade="F2"/>
          </w:tcPr>
          <w:p w:rsidR="00C82457" w:rsidRPr="009A7161" w:rsidRDefault="00C82457" w:rsidP="00C22609">
            <w:pPr>
              <w:rPr>
                <w:rFonts w:ascii="Times New Roman" w:eastAsia="MS Gothic" w:hAnsi="Times New Roman" w:cs="Times New Roman"/>
                <w:b/>
                <w:bCs/>
                <w:iCs/>
                <w:sz w:val="18"/>
              </w:rPr>
            </w:pPr>
            <w:r w:rsidRPr="009A7161">
              <w:rPr>
                <w:rFonts w:ascii="Times New Roman" w:eastAsia="MS Gothic" w:hAnsi="Times New Roman" w:cs="Times New Roman"/>
                <w:b/>
                <w:bCs/>
                <w:iCs/>
                <w:sz w:val="18"/>
              </w:rPr>
              <w:t>Interpretation</w:t>
            </w:r>
          </w:p>
        </w:tc>
      </w:tr>
      <w:tr w:rsidR="00C82457" w:rsidRPr="009A7161" w:rsidTr="00C22609">
        <w:trPr>
          <w:trHeight w:val="634"/>
        </w:trPr>
        <w:tc>
          <w:tcPr>
            <w:tcW w:w="1147" w:type="pct"/>
            <w:tcBorders>
              <w:top w:val="single" w:sz="4" w:space="0" w:color="auto"/>
            </w:tcBorders>
          </w:tcPr>
          <w:p w:rsidR="00C82457" w:rsidRPr="009A7161" w:rsidRDefault="00C82457" w:rsidP="00C22609">
            <w:pPr>
              <w:rPr>
                <w:rFonts w:ascii="Times New Roman" w:eastAsia="MS Gothic" w:hAnsi="Times New Roman" w:cs="Times New Roman"/>
                <w:bCs/>
                <w:iCs/>
                <w:sz w:val="18"/>
                <w:vertAlign w:val="superscript"/>
              </w:rPr>
            </w:pPr>
            <w:r w:rsidRPr="009A7161">
              <w:rPr>
                <w:rFonts w:ascii="Times New Roman" w:eastAsia="MS Gothic" w:hAnsi="Times New Roman" w:cs="Times New Roman"/>
                <w:bCs/>
                <w:iCs/>
                <w:sz w:val="18"/>
              </w:rPr>
              <w:t>Convexity (C)</w:t>
            </w:r>
          </w:p>
        </w:tc>
        <w:tc>
          <w:tcPr>
            <w:tcW w:w="1298" w:type="pct"/>
            <w:tcBorders>
              <w:top w:val="single" w:sz="4" w:space="0" w:color="auto"/>
            </w:tcBorders>
            <w:vAlign w:val="center"/>
          </w:tcPr>
          <w:p w:rsidR="00C82457" w:rsidRPr="009A7161" w:rsidRDefault="00C82457" w:rsidP="00C22609">
            <w:pPr>
              <w:jc w:val="center"/>
              <w:rPr>
                <w:rFonts w:ascii="Times New Roman" w:eastAsia="MS Gothic" w:hAnsi="Times New Roman" w:cs="Times New Roman"/>
                <w:bCs/>
                <w:iCs/>
                <w:sz w:val="18"/>
              </w:rPr>
            </w:pPr>
            <m:oMathPara>
              <m:oMathParaPr>
                <m:jc m:val="center"/>
              </m:oMathParaPr>
              <m:oMath>
                <m:r>
                  <m:rPr>
                    <m:sty m:val="p"/>
                  </m:rPr>
                  <w:rPr>
                    <w:rFonts w:ascii="Cambria Math" w:eastAsia="Calibri" w:hAnsi="Cambria Math" w:cs="Times New Roman"/>
                    <w:sz w:val="18"/>
                  </w:rPr>
                  <m:t>C  =</m:t>
                </m:r>
                <m:f>
                  <m:fPr>
                    <m:ctrlPr>
                      <w:rPr>
                        <w:rFonts w:ascii="Cambria Math" w:eastAsia="Calibri" w:hAnsi="Cambria Math" w:cs="Times New Roman"/>
                        <w:sz w:val="18"/>
                      </w:rPr>
                    </m:ctrlPr>
                  </m:fPr>
                  <m:num>
                    <m:r>
                      <m:rPr>
                        <m:sty m:val="p"/>
                      </m:rPr>
                      <w:rPr>
                        <w:rFonts w:ascii="Cambria Math" w:eastAsia="Calibri" w:hAnsi="Cambria Math" w:cs="Times New Roman"/>
                        <w:sz w:val="18"/>
                      </w:rPr>
                      <m:t>Convex hull area</m:t>
                    </m:r>
                  </m:num>
                  <m:den>
                    <m:r>
                      <m:rPr>
                        <m:sty m:val="p"/>
                      </m:rPr>
                      <w:rPr>
                        <w:rFonts w:ascii="Cambria Math" w:eastAsia="Calibri" w:hAnsi="Cambria Math" w:cs="Times New Roman"/>
                        <w:sz w:val="18"/>
                      </w:rPr>
                      <m:t>Area</m:t>
                    </m:r>
                  </m:den>
                </m:f>
              </m:oMath>
            </m:oMathPara>
          </w:p>
        </w:tc>
        <w:tc>
          <w:tcPr>
            <w:tcW w:w="1277" w:type="pct"/>
            <w:tcBorders>
              <w:top w:val="single" w:sz="4" w:space="0" w:color="auto"/>
            </w:tcBorders>
          </w:tcPr>
          <w:p w:rsidR="00C82457" w:rsidRPr="009A7161" w:rsidRDefault="00C82457" w:rsidP="00C22609">
            <w:pPr>
              <w:rPr>
                <w:rFonts w:ascii="Times New Roman" w:eastAsia="Calibri" w:hAnsi="Times New Roman" w:cs="Times New Roman"/>
                <w:sz w:val="18"/>
                <w:lang w:val="en-GB"/>
              </w:rPr>
            </w:pPr>
            <w:r w:rsidRPr="009A7161">
              <w:rPr>
                <w:rFonts w:ascii="Times New Roman" w:eastAsia="Calibri" w:hAnsi="Times New Roman" w:cs="Times New Roman"/>
                <w:sz w:val="18"/>
                <w:lang w:val="en-GB"/>
              </w:rPr>
              <w:t>Area: the surface area of the WMH lesion. Convex hull area: the smallest convex hull that fits the WMH lesion</w:t>
            </w:r>
          </w:p>
        </w:tc>
        <w:tc>
          <w:tcPr>
            <w:tcW w:w="1277" w:type="pct"/>
            <w:tcBorders>
              <w:top w:val="single" w:sz="4" w:space="0" w:color="auto"/>
            </w:tcBorders>
          </w:tcPr>
          <w:p w:rsidR="00C82457" w:rsidRPr="009A7161" w:rsidRDefault="00C82457" w:rsidP="00C22609">
            <w:pPr>
              <w:rPr>
                <w:rFonts w:ascii="Times New Roman" w:eastAsia="Calibri" w:hAnsi="Times New Roman" w:cs="Times New Roman"/>
                <w:sz w:val="18"/>
                <w:lang w:val="en-GB"/>
              </w:rPr>
            </w:pPr>
            <w:r w:rsidRPr="009A7161">
              <w:rPr>
                <w:rFonts w:ascii="Times New Roman" w:eastAsia="Calibri" w:hAnsi="Times New Roman" w:cs="Times New Roman"/>
                <w:sz w:val="18"/>
                <w:lang w:val="en-GB"/>
              </w:rPr>
              <w:t xml:space="preserve">A description of roughness; a surface with more concavities has a high area. A lower convexity is associated with a more complex shape. </w:t>
            </w:r>
          </w:p>
        </w:tc>
      </w:tr>
      <w:tr w:rsidR="00C82457" w:rsidRPr="009A7161" w:rsidTr="00C22609">
        <w:trPr>
          <w:trHeight w:val="576"/>
        </w:trPr>
        <w:tc>
          <w:tcPr>
            <w:tcW w:w="1147" w:type="pct"/>
          </w:tcPr>
          <w:p w:rsidR="00C82457" w:rsidRPr="009A7161" w:rsidRDefault="00C82457" w:rsidP="00C22609">
            <w:pPr>
              <w:rPr>
                <w:rFonts w:ascii="Times New Roman" w:eastAsia="MS Gothic" w:hAnsi="Times New Roman" w:cs="Times New Roman"/>
                <w:bCs/>
                <w:iCs/>
                <w:sz w:val="18"/>
                <w:vertAlign w:val="superscript"/>
              </w:rPr>
            </w:pPr>
            <w:r w:rsidRPr="009A7161">
              <w:rPr>
                <w:rFonts w:ascii="Times New Roman" w:eastAsia="MS Gothic" w:hAnsi="Times New Roman" w:cs="Times New Roman"/>
                <w:bCs/>
                <w:iCs/>
                <w:sz w:val="18"/>
              </w:rPr>
              <w:t>Solidity (S)</w:t>
            </w:r>
          </w:p>
        </w:tc>
        <w:tc>
          <w:tcPr>
            <w:tcW w:w="1298" w:type="pct"/>
            <w:vAlign w:val="center"/>
          </w:tcPr>
          <w:p w:rsidR="00C82457" w:rsidRPr="009A7161" w:rsidRDefault="00C82457" w:rsidP="00C22609">
            <w:pPr>
              <w:jc w:val="center"/>
              <w:rPr>
                <w:rFonts w:ascii="Times New Roman" w:eastAsia="MS Gothic" w:hAnsi="Times New Roman" w:cs="Times New Roman"/>
                <w:bCs/>
                <w:iCs/>
                <w:sz w:val="18"/>
              </w:rPr>
            </w:pPr>
            <m:oMathPara>
              <m:oMathParaPr>
                <m:jc m:val="center"/>
              </m:oMathParaPr>
              <m:oMath>
                <m:r>
                  <m:rPr>
                    <m:sty m:val="p"/>
                  </m:rPr>
                  <w:rPr>
                    <w:rFonts w:ascii="Cambria Math" w:eastAsia="Calibri" w:hAnsi="Cambria Math" w:cs="Times New Roman"/>
                    <w:sz w:val="18"/>
                  </w:rPr>
                  <m:t>S  =</m:t>
                </m:r>
                <m:f>
                  <m:fPr>
                    <m:ctrlPr>
                      <w:rPr>
                        <w:rFonts w:ascii="Cambria Math" w:eastAsia="Calibri" w:hAnsi="Cambria Math" w:cs="Times New Roman"/>
                        <w:sz w:val="18"/>
                      </w:rPr>
                    </m:ctrlPr>
                  </m:fPr>
                  <m:num>
                    <m:r>
                      <m:rPr>
                        <m:sty m:val="p"/>
                      </m:rPr>
                      <w:rPr>
                        <w:rFonts w:ascii="Cambria Math" w:eastAsia="Calibri" w:hAnsi="Cambria Math" w:cs="Times New Roman"/>
                        <w:sz w:val="18"/>
                      </w:rPr>
                      <m:t>Volume</m:t>
                    </m:r>
                  </m:num>
                  <m:den>
                    <m:r>
                      <m:rPr>
                        <m:sty m:val="p"/>
                      </m:rPr>
                      <w:rPr>
                        <w:rFonts w:ascii="Cambria Math" w:eastAsia="Calibri" w:hAnsi="Cambria Math" w:cs="Times New Roman"/>
                        <w:sz w:val="18"/>
                      </w:rPr>
                      <m:t>Convex hull volume</m:t>
                    </m:r>
                  </m:den>
                </m:f>
              </m:oMath>
            </m:oMathPara>
          </w:p>
        </w:tc>
        <w:tc>
          <w:tcPr>
            <w:tcW w:w="1277" w:type="pct"/>
          </w:tcPr>
          <w:p w:rsidR="00C82457" w:rsidRPr="009A7161" w:rsidRDefault="00C82457" w:rsidP="00C22609">
            <w:pPr>
              <w:rPr>
                <w:rFonts w:ascii="Times New Roman" w:eastAsia="Calibri" w:hAnsi="Times New Roman" w:cs="Times New Roman"/>
                <w:sz w:val="18"/>
                <w:lang w:val="en-GB"/>
              </w:rPr>
            </w:pPr>
            <w:r w:rsidRPr="009A7161">
              <w:rPr>
                <w:rFonts w:ascii="Times New Roman" w:eastAsia="Calibri" w:hAnsi="Times New Roman" w:cs="Times New Roman"/>
                <w:sz w:val="18"/>
                <w:lang w:val="en-GB"/>
              </w:rPr>
              <w:t>Volume is the WMH volume. Convex hull volume is the volume of the smallest convex hull that fits the WMH lesion</w:t>
            </w:r>
          </w:p>
        </w:tc>
        <w:tc>
          <w:tcPr>
            <w:tcW w:w="1277" w:type="pct"/>
          </w:tcPr>
          <w:p w:rsidR="00C82457" w:rsidRPr="009A7161" w:rsidRDefault="00C82457" w:rsidP="00C22609">
            <w:pPr>
              <w:rPr>
                <w:rFonts w:ascii="Times New Roman" w:eastAsia="Calibri" w:hAnsi="Times New Roman" w:cs="Times New Roman"/>
                <w:sz w:val="18"/>
                <w:lang w:val="en-GB"/>
              </w:rPr>
            </w:pPr>
            <w:r w:rsidRPr="009A7161">
              <w:rPr>
                <w:rFonts w:ascii="Times New Roman" w:eastAsia="Calibri" w:hAnsi="Times New Roman" w:cs="Times New Roman"/>
                <w:sz w:val="18"/>
                <w:lang w:val="en-GB"/>
              </w:rPr>
              <w:t xml:space="preserve">A description of roughness; a volume with more concavities has a lower volume within the convex hull and thus a lower solidity. A lower solidity is associated with a more complex shape. </w:t>
            </w:r>
          </w:p>
        </w:tc>
      </w:tr>
      <w:tr w:rsidR="00C82457" w:rsidRPr="009A7161" w:rsidTr="00C22609">
        <w:trPr>
          <w:trHeight w:val="614"/>
        </w:trPr>
        <w:tc>
          <w:tcPr>
            <w:tcW w:w="1147" w:type="pct"/>
          </w:tcPr>
          <w:p w:rsidR="00C82457" w:rsidRPr="009A7161" w:rsidRDefault="00C82457" w:rsidP="00C22609">
            <w:pPr>
              <w:rPr>
                <w:rFonts w:ascii="Times New Roman" w:eastAsia="MS Gothic" w:hAnsi="Times New Roman" w:cs="Times New Roman"/>
                <w:bCs/>
                <w:iCs/>
                <w:sz w:val="18"/>
                <w:vertAlign w:val="superscript"/>
              </w:rPr>
            </w:pPr>
            <w:r w:rsidRPr="009A7161">
              <w:rPr>
                <w:rFonts w:ascii="Times New Roman" w:eastAsia="MS Gothic" w:hAnsi="Times New Roman" w:cs="Times New Roman"/>
                <w:bCs/>
                <w:iCs/>
                <w:sz w:val="18"/>
              </w:rPr>
              <w:t>Concavity index (CI)</w:t>
            </w:r>
          </w:p>
          <w:p w:rsidR="00C82457" w:rsidRPr="009A7161" w:rsidRDefault="00C82457" w:rsidP="00C22609">
            <w:pPr>
              <w:rPr>
                <w:rFonts w:ascii="Times New Roman" w:eastAsia="MS Gothic" w:hAnsi="Times New Roman" w:cs="Times New Roman"/>
                <w:bCs/>
                <w:iCs/>
                <w:sz w:val="18"/>
              </w:rPr>
            </w:pPr>
          </w:p>
          <w:p w:rsidR="00C82457" w:rsidRPr="009A7161" w:rsidRDefault="00C82457" w:rsidP="00C22609">
            <w:pPr>
              <w:rPr>
                <w:rFonts w:ascii="Times New Roman" w:eastAsia="MS Gothic" w:hAnsi="Times New Roman" w:cs="Times New Roman"/>
                <w:bCs/>
                <w:iCs/>
                <w:sz w:val="18"/>
              </w:rPr>
            </w:pPr>
          </w:p>
        </w:tc>
        <w:tc>
          <w:tcPr>
            <w:tcW w:w="1298" w:type="pct"/>
            <w:vAlign w:val="center"/>
          </w:tcPr>
          <w:p w:rsidR="00C82457" w:rsidRPr="009A7161" w:rsidRDefault="00C82457" w:rsidP="00C22609">
            <w:pPr>
              <w:jc w:val="center"/>
              <w:rPr>
                <w:rFonts w:ascii="Times New Roman" w:eastAsia="MS Gothic" w:hAnsi="Times New Roman" w:cs="Times New Roman"/>
                <w:sz w:val="18"/>
                <w:lang w:val="en-GB"/>
              </w:rPr>
            </w:pPr>
          </w:p>
          <w:p w:rsidR="00C82457" w:rsidRPr="009A7161" w:rsidRDefault="00C82457" w:rsidP="00C22609">
            <w:pPr>
              <w:jc w:val="center"/>
              <w:rPr>
                <w:rFonts w:ascii="Times New Roman" w:eastAsia="Calibri" w:hAnsi="Times New Roman" w:cs="Times New Roman"/>
                <w:sz w:val="18"/>
              </w:rPr>
            </w:pPr>
            <m:oMathPara>
              <m:oMathParaPr>
                <m:jc m:val="center"/>
              </m:oMathParaPr>
              <m:oMath>
                <m:r>
                  <m:rPr>
                    <m:sty m:val="p"/>
                  </m:rPr>
                  <w:rPr>
                    <w:rFonts w:ascii="Cambria Math" w:eastAsia="Calibri" w:hAnsi="Cambria Math" w:cs="Times New Roman"/>
                    <w:sz w:val="18"/>
                  </w:rPr>
                  <m:t xml:space="preserve">CI= </m:t>
                </m:r>
                <m:rad>
                  <m:radPr>
                    <m:degHide m:val="1"/>
                    <m:ctrlPr>
                      <w:rPr>
                        <w:rFonts w:ascii="Cambria Math" w:eastAsia="Calibri" w:hAnsi="Cambria Math" w:cs="Times New Roman"/>
                        <w:sz w:val="18"/>
                      </w:rPr>
                    </m:ctrlPr>
                  </m:radPr>
                  <m:deg/>
                  <m:e>
                    <m:sSup>
                      <m:sSupPr>
                        <m:ctrlPr>
                          <w:rPr>
                            <w:rFonts w:ascii="Cambria Math" w:eastAsia="Calibri" w:hAnsi="Cambria Math" w:cs="Times New Roman"/>
                            <w:sz w:val="18"/>
                          </w:rPr>
                        </m:ctrlPr>
                      </m:sSupPr>
                      <m:e>
                        <m:r>
                          <m:rPr>
                            <m:sty m:val="p"/>
                          </m:rPr>
                          <w:rPr>
                            <w:rFonts w:ascii="Cambria Math" w:eastAsia="Calibri" w:hAnsi="Cambria Math" w:cs="Times New Roman"/>
                            <w:sz w:val="18"/>
                          </w:rPr>
                          <m:t>(2-C)</m:t>
                        </m:r>
                      </m:e>
                      <m:sup>
                        <m:r>
                          <m:rPr>
                            <m:sty m:val="p"/>
                          </m:rPr>
                          <w:rPr>
                            <w:rFonts w:ascii="Cambria Math" w:eastAsia="Calibri" w:hAnsi="Cambria Math" w:cs="Times New Roman"/>
                            <w:sz w:val="18"/>
                          </w:rPr>
                          <m:t>2</m:t>
                        </m:r>
                      </m:sup>
                    </m:sSup>
                    <m:r>
                      <m:rPr>
                        <m:sty m:val="p"/>
                      </m:rPr>
                      <w:rPr>
                        <w:rFonts w:ascii="Cambria Math" w:eastAsia="Calibri" w:hAnsi="Cambria Math" w:cs="Times New Roman"/>
                        <w:sz w:val="18"/>
                      </w:rPr>
                      <m:t>+</m:t>
                    </m:r>
                    <m:sSup>
                      <m:sSupPr>
                        <m:ctrlPr>
                          <w:rPr>
                            <w:rFonts w:ascii="Cambria Math" w:eastAsia="Calibri" w:hAnsi="Cambria Math" w:cs="Times New Roman"/>
                            <w:sz w:val="18"/>
                          </w:rPr>
                        </m:ctrlPr>
                      </m:sSupPr>
                      <m:e>
                        <m:r>
                          <m:rPr>
                            <m:sty m:val="p"/>
                          </m:rPr>
                          <w:rPr>
                            <w:rFonts w:ascii="Cambria Math" w:eastAsia="Calibri" w:hAnsi="Cambria Math" w:cs="Times New Roman"/>
                            <w:sz w:val="18"/>
                          </w:rPr>
                          <m:t>(1-S)</m:t>
                        </m:r>
                      </m:e>
                      <m:sup>
                        <m:r>
                          <m:rPr>
                            <m:sty m:val="p"/>
                          </m:rPr>
                          <w:rPr>
                            <w:rFonts w:ascii="Cambria Math" w:eastAsia="Calibri" w:hAnsi="Cambria Math" w:cs="Times New Roman"/>
                            <w:sz w:val="18"/>
                          </w:rPr>
                          <m:t>2</m:t>
                        </m:r>
                      </m:sup>
                    </m:sSup>
                  </m:e>
                </m:rad>
              </m:oMath>
            </m:oMathPara>
          </w:p>
          <w:p w:rsidR="00C82457" w:rsidRPr="009A7161" w:rsidRDefault="00C82457" w:rsidP="00C22609">
            <w:pPr>
              <w:jc w:val="center"/>
              <w:rPr>
                <w:rFonts w:ascii="Times New Roman" w:eastAsia="Calibri" w:hAnsi="Times New Roman" w:cs="Times New Roman"/>
                <w:sz w:val="18"/>
              </w:rPr>
            </w:pPr>
          </w:p>
        </w:tc>
        <w:tc>
          <w:tcPr>
            <w:tcW w:w="1277" w:type="pct"/>
          </w:tcPr>
          <w:p w:rsidR="00C82457" w:rsidRPr="009A7161" w:rsidRDefault="00C82457" w:rsidP="00C22609">
            <w:pPr>
              <w:rPr>
                <w:rFonts w:ascii="Times New Roman" w:eastAsia="MS Gothic" w:hAnsi="Times New Roman" w:cs="Times New Roman"/>
                <w:sz w:val="18"/>
              </w:rPr>
            </w:pPr>
            <w:r w:rsidRPr="009A7161">
              <w:rPr>
                <w:rFonts w:ascii="Times New Roman" w:eastAsia="MS Gothic" w:hAnsi="Times New Roman" w:cs="Times New Roman"/>
                <w:sz w:val="18"/>
              </w:rPr>
              <w:t>C: Convexity; S: Solidity</w:t>
            </w:r>
          </w:p>
        </w:tc>
        <w:tc>
          <w:tcPr>
            <w:tcW w:w="1277" w:type="pct"/>
          </w:tcPr>
          <w:p w:rsidR="00C82457" w:rsidRPr="009A7161" w:rsidRDefault="00C82457" w:rsidP="00C22609">
            <w:pPr>
              <w:rPr>
                <w:rFonts w:ascii="Times New Roman" w:eastAsia="MS Gothic" w:hAnsi="Times New Roman" w:cs="Times New Roman"/>
                <w:sz w:val="18"/>
                <w:lang w:val="en-GB"/>
              </w:rPr>
            </w:pPr>
            <w:r w:rsidRPr="009A7161">
              <w:rPr>
                <w:rFonts w:ascii="Times New Roman" w:eastAsia="MS Gothic" w:hAnsi="Times New Roman" w:cs="Times New Roman"/>
                <w:sz w:val="18"/>
                <w:lang w:val="en-GB"/>
              </w:rPr>
              <w:t xml:space="preserve">A combined measure for convexity and solidity. A higher CI is associated with a more irregular or complex shape. </w:t>
            </w:r>
          </w:p>
        </w:tc>
      </w:tr>
      <w:tr w:rsidR="00C82457" w:rsidRPr="009A7161" w:rsidTr="00C22609">
        <w:trPr>
          <w:trHeight w:val="1289"/>
        </w:trPr>
        <w:tc>
          <w:tcPr>
            <w:tcW w:w="1147" w:type="pct"/>
          </w:tcPr>
          <w:p w:rsidR="00C82457" w:rsidRPr="009A7161" w:rsidRDefault="00C82457" w:rsidP="00C22609">
            <w:pPr>
              <w:rPr>
                <w:rFonts w:ascii="Times New Roman" w:eastAsia="MS Gothic" w:hAnsi="Times New Roman" w:cs="Times New Roman"/>
                <w:bCs/>
                <w:iCs/>
                <w:sz w:val="18"/>
                <w:vertAlign w:val="superscript"/>
                <w:lang w:val="en-GB"/>
              </w:rPr>
            </w:pPr>
            <w:r w:rsidRPr="009A7161">
              <w:rPr>
                <w:rFonts w:ascii="Times New Roman" w:eastAsia="MS Gothic" w:hAnsi="Times New Roman" w:cs="Times New Roman"/>
                <w:bCs/>
                <w:iCs/>
                <w:sz w:val="18"/>
                <w:lang w:val="en-GB"/>
              </w:rPr>
              <w:t>Fractal dimension (FD)</w:t>
            </w:r>
          </w:p>
        </w:tc>
        <w:tc>
          <w:tcPr>
            <w:tcW w:w="1298" w:type="pct"/>
            <w:vAlign w:val="center"/>
          </w:tcPr>
          <w:p w:rsidR="00C82457" w:rsidRPr="009A7161" w:rsidRDefault="00C82457" w:rsidP="00C22609">
            <w:pPr>
              <w:jc w:val="center"/>
              <w:rPr>
                <w:rFonts w:ascii="Times New Roman" w:eastAsia="MS Gothic" w:hAnsi="Times New Roman" w:cs="Times New Roman"/>
                <w:sz w:val="18"/>
                <w:lang w:val="en-GB"/>
              </w:rPr>
            </w:pPr>
          </w:p>
          <w:p w:rsidR="00C82457" w:rsidRPr="009A7161" w:rsidRDefault="00C82457" w:rsidP="00C22609">
            <w:pPr>
              <w:jc w:val="center"/>
              <w:rPr>
                <w:rFonts w:ascii="Times New Roman" w:eastAsia="MS Gothic" w:hAnsi="Times New Roman" w:cs="Times New Roman"/>
                <w:sz w:val="18"/>
                <w:lang w:val="en-GB"/>
              </w:rPr>
            </w:pPr>
            <m:oMathPara>
              <m:oMathParaPr>
                <m:jc m:val="center"/>
              </m:oMathParaPr>
              <m:oMath>
                <m:r>
                  <m:rPr>
                    <m:sty m:val="p"/>
                  </m:rPr>
                  <w:rPr>
                    <w:rFonts w:ascii="Cambria Math" w:eastAsia="Calibri" w:hAnsi="Cambria Math" w:cs="Times New Roman"/>
                    <w:sz w:val="18"/>
                    <w:lang w:val="en-GB"/>
                  </w:rPr>
                  <m:t xml:space="preserve">FD= </m:t>
                </m:r>
                <m:func>
                  <m:funcPr>
                    <m:ctrlPr>
                      <w:rPr>
                        <w:rFonts w:ascii="Cambria Math" w:eastAsia="Calibri" w:hAnsi="Cambria Math" w:cs="Times New Roman"/>
                        <w:sz w:val="18"/>
                      </w:rPr>
                    </m:ctrlPr>
                  </m:funcPr>
                  <m:fName>
                    <m:limLow>
                      <m:limLowPr>
                        <m:ctrlPr>
                          <w:rPr>
                            <w:rFonts w:ascii="Cambria Math" w:eastAsia="Calibri" w:hAnsi="Cambria Math" w:cs="Times New Roman"/>
                            <w:sz w:val="18"/>
                          </w:rPr>
                        </m:ctrlPr>
                      </m:limLowPr>
                      <m:e>
                        <m:r>
                          <m:rPr>
                            <m:sty m:val="p"/>
                          </m:rPr>
                          <w:rPr>
                            <w:rFonts w:ascii="Cambria Math" w:eastAsia="Calibri" w:hAnsi="Cambria Math" w:cs="Times New Roman"/>
                            <w:sz w:val="18"/>
                            <w:lang w:val="en-GB"/>
                          </w:rPr>
                          <m:t>lim</m:t>
                        </m:r>
                      </m:e>
                      <m:lim>
                        <m:r>
                          <m:rPr>
                            <m:sty m:val="p"/>
                          </m:rPr>
                          <w:rPr>
                            <w:rFonts w:ascii="Cambria Math" w:eastAsia="Calibri" w:hAnsi="Cambria Math" w:cs="Times New Roman"/>
                            <w:sz w:val="18"/>
                            <w:lang w:val="en-GB"/>
                          </w:rPr>
                          <m:t>r→</m:t>
                        </m:r>
                        <m:sSub>
                          <m:sSubPr>
                            <m:ctrlPr>
                              <w:rPr>
                                <w:rFonts w:ascii="Cambria Math" w:eastAsia="Calibri" w:hAnsi="Cambria Math" w:cs="Times New Roman"/>
                                <w:sz w:val="18"/>
                              </w:rPr>
                            </m:ctrlPr>
                          </m:sSubPr>
                          <m:e>
                            <m:r>
                              <m:rPr>
                                <m:sty m:val="p"/>
                              </m:rPr>
                              <w:rPr>
                                <w:rFonts w:ascii="Cambria Math" w:eastAsia="Calibri" w:hAnsi="Cambria Math" w:cs="Times New Roman"/>
                                <w:sz w:val="18"/>
                                <w:lang w:val="en-GB"/>
                              </w:rPr>
                              <m:t>x</m:t>
                            </m:r>
                          </m:e>
                          <m:sub>
                            <m:r>
                              <m:rPr>
                                <m:sty m:val="p"/>
                              </m:rPr>
                              <w:rPr>
                                <w:rFonts w:ascii="Cambria Math" w:eastAsia="Calibri" w:hAnsi="Cambria Math" w:cs="Times New Roman"/>
                                <w:sz w:val="18"/>
                                <w:lang w:val="en-GB"/>
                              </w:rPr>
                              <m:t>xyz</m:t>
                            </m:r>
                          </m:sub>
                        </m:sSub>
                      </m:lim>
                    </m:limLow>
                  </m:fName>
                  <m:e>
                    <m:f>
                      <m:fPr>
                        <m:ctrlPr>
                          <w:rPr>
                            <w:rFonts w:ascii="Cambria Math" w:eastAsia="Calibri" w:hAnsi="Cambria Math" w:cs="Times New Roman"/>
                            <w:sz w:val="18"/>
                          </w:rPr>
                        </m:ctrlPr>
                      </m:fPr>
                      <m:num>
                        <m:func>
                          <m:funcPr>
                            <m:ctrlPr>
                              <w:rPr>
                                <w:rFonts w:ascii="Cambria Math" w:eastAsia="Calibri" w:hAnsi="Cambria Math" w:cs="Times New Roman"/>
                                <w:sz w:val="18"/>
                              </w:rPr>
                            </m:ctrlPr>
                          </m:funcPr>
                          <m:fName>
                            <m:r>
                              <m:rPr>
                                <m:sty m:val="p"/>
                              </m:rPr>
                              <w:rPr>
                                <w:rFonts w:ascii="Cambria Math" w:eastAsia="Calibri" w:hAnsi="Cambria Math" w:cs="Times New Roman"/>
                                <w:sz w:val="18"/>
                                <w:lang w:val="en-GB"/>
                              </w:rPr>
                              <m:t>log</m:t>
                            </m:r>
                          </m:fName>
                          <m:e>
                            <m:d>
                              <m:dPr>
                                <m:ctrlPr>
                                  <w:rPr>
                                    <w:rFonts w:ascii="Cambria Math" w:eastAsia="Calibri" w:hAnsi="Cambria Math" w:cs="Times New Roman"/>
                                    <w:sz w:val="18"/>
                                  </w:rPr>
                                </m:ctrlPr>
                              </m:dPr>
                              <m:e>
                                <m:sSub>
                                  <m:sSubPr>
                                    <m:ctrlPr>
                                      <w:rPr>
                                        <w:rFonts w:ascii="Cambria Math" w:eastAsia="Calibri" w:hAnsi="Cambria Math" w:cs="Times New Roman"/>
                                        <w:sz w:val="18"/>
                                      </w:rPr>
                                    </m:ctrlPr>
                                  </m:sSubPr>
                                  <m:e>
                                    <m:r>
                                      <m:rPr>
                                        <m:sty m:val="p"/>
                                      </m:rPr>
                                      <w:rPr>
                                        <w:rFonts w:ascii="Cambria Math" w:eastAsia="Calibri" w:hAnsi="Cambria Math" w:cs="Times New Roman"/>
                                        <w:sz w:val="18"/>
                                        <w:lang w:val="en-GB"/>
                                      </w:rPr>
                                      <m:t>n</m:t>
                                    </m:r>
                                  </m:e>
                                  <m:sub>
                                    <m:r>
                                      <m:rPr>
                                        <m:sty m:val="p"/>
                                      </m:rPr>
                                      <w:rPr>
                                        <w:rFonts w:ascii="Cambria Math" w:eastAsia="Calibri" w:hAnsi="Cambria Math" w:cs="Times New Roman"/>
                                        <w:sz w:val="18"/>
                                        <w:lang w:val="en-GB"/>
                                      </w:rPr>
                                      <m:t>r</m:t>
                                    </m:r>
                                  </m:sub>
                                </m:sSub>
                              </m:e>
                            </m:d>
                          </m:e>
                        </m:func>
                      </m:num>
                      <m:den>
                        <m:func>
                          <m:funcPr>
                            <m:ctrlPr>
                              <w:rPr>
                                <w:rFonts w:ascii="Cambria Math" w:eastAsia="Calibri" w:hAnsi="Cambria Math" w:cs="Times New Roman"/>
                                <w:sz w:val="18"/>
                              </w:rPr>
                            </m:ctrlPr>
                          </m:funcPr>
                          <m:fName>
                            <m:r>
                              <m:rPr>
                                <m:sty m:val="p"/>
                              </m:rPr>
                              <w:rPr>
                                <w:rFonts w:ascii="Cambria Math" w:eastAsia="Calibri" w:hAnsi="Cambria Math" w:cs="Times New Roman"/>
                                <w:sz w:val="18"/>
                                <w:lang w:val="en-GB"/>
                              </w:rPr>
                              <m:t>log</m:t>
                            </m:r>
                          </m:fName>
                          <m:e>
                            <m:d>
                              <m:dPr>
                                <m:ctrlPr>
                                  <w:rPr>
                                    <w:rFonts w:ascii="Cambria Math" w:eastAsia="Calibri" w:hAnsi="Cambria Math" w:cs="Times New Roman"/>
                                    <w:sz w:val="18"/>
                                  </w:rPr>
                                </m:ctrlPr>
                              </m:dPr>
                              <m:e>
                                <m:r>
                                  <m:rPr>
                                    <m:sty m:val="p"/>
                                  </m:rPr>
                                  <w:rPr>
                                    <w:rFonts w:ascii="Cambria Math" w:eastAsia="Calibri" w:hAnsi="Cambria Math" w:cs="Times New Roman"/>
                                    <w:sz w:val="18"/>
                                    <w:lang w:val="en-GB"/>
                                  </w:rPr>
                                  <m:t xml:space="preserve"> </m:t>
                                </m:r>
                                <m:f>
                                  <m:fPr>
                                    <m:ctrlPr>
                                      <w:rPr>
                                        <w:rFonts w:ascii="Cambria Math" w:eastAsia="Calibri" w:hAnsi="Cambria Math" w:cs="Times New Roman"/>
                                        <w:sz w:val="18"/>
                                      </w:rPr>
                                    </m:ctrlPr>
                                  </m:fPr>
                                  <m:num>
                                    <m:r>
                                      <m:rPr>
                                        <m:sty m:val="p"/>
                                      </m:rPr>
                                      <w:rPr>
                                        <w:rFonts w:ascii="Cambria Math" w:eastAsia="Calibri" w:hAnsi="Cambria Math" w:cs="Times New Roman"/>
                                        <w:sz w:val="18"/>
                                        <w:lang w:val="en-GB"/>
                                      </w:rPr>
                                      <m:t>1</m:t>
                                    </m:r>
                                  </m:num>
                                  <m:den>
                                    <m:r>
                                      <m:rPr>
                                        <m:sty m:val="p"/>
                                      </m:rPr>
                                      <w:rPr>
                                        <w:rFonts w:ascii="Cambria Math" w:eastAsia="Calibri" w:hAnsi="Cambria Math" w:cs="Times New Roman"/>
                                        <w:sz w:val="18"/>
                                        <w:lang w:val="en-GB"/>
                                      </w:rPr>
                                      <m:t>r</m:t>
                                    </m:r>
                                  </m:den>
                                </m:f>
                                <m:r>
                                  <m:rPr>
                                    <m:sty m:val="p"/>
                                  </m:rPr>
                                  <w:rPr>
                                    <w:rFonts w:ascii="Cambria Math" w:eastAsia="Calibri" w:hAnsi="Cambria Math" w:cs="Times New Roman"/>
                                    <w:sz w:val="18"/>
                                    <w:lang w:val="en-GB"/>
                                  </w:rPr>
                                  <m:t xml:space="preserve"> </m:t>
                                </m:r>
                              </m:e>
                            </m:d>
                          </m:e>
                        </m:func>
                      </m:den>
                    </m:f>
                  </m:e>
                </m:func>
              </m:oMath>
            </m:oMathPara>
          </w:p>
          <w:p w:rsidR="00C82457" w:rsidRPr="009A7161" w:rsidRDefault="00C82457" w:rsidP="00C22609">
            <w:pPr>
              <w:jc w:val="center"/>
              <w:rPr>
                <w:rFonts w:ascii="Times New Roman" w:eastAsia="MS Gothic" w:hAnsi="Times New Roman" w:cs="Times New Roman"/>
                <w:sz w:val="18"/>
                <w:lang w:val="en-GB"/>
              </w:rPr>
            </w:pPr>
          </w:p>
          <w:p w:rsidR="00C82457" w:rsidRPr="009A7161" w:rsidRDefault="00C82457" w:rsidP="00C22609">
            <w:pPr>
              <w:jc w:val="center"/>
              <w:rPr>
                <w:rFonts w:ascii="Times New Roman" w:eastAsia="MS Mincho" w:hAnsi="Times New Roman" w:cs="Times New Roman"/>
                <w:sz w:val="18"/>
              </w:rPr>
            </w:pPr>
          </w:p>
          <w:p w:rsidR="00C82457" w:rsidRPr="009A7161" w:rsidRDefault="00C82457" w:rsidP="00C22609">
            <w:pPr>
              <w:jc w:val="center"/>
              <w:rPr>
                <w:rFonts w:ascii="Times New Roman" w:eastAsia="MS Gothic" w:hAnsi="Times New Roman" w:cs="Times New Roman"/>
                <w:bCs/>
                <w:iCs/>
                <w:sz w:val="18"/>
              </w:rPr>
            </w:pPr>
          </w:p>
        </w:tc>
        <w:tc>
          <w:tcPr>
            <w:tcW w:w="1277" w:type="pct"/>
          </w:tcPr>
          <w:p w:rsidR="00C82457" w:rsidRPr="009A7161" w:rsidRDefault="00C82457" w:rsidP="00C22609">
            <w:pPr>
              <w:rPr>
                <w:rFonts w:ascii="Times New Roman" w:eastAsia="MS Gothic" w:hAnsi="Times New Roman" w:cs="Times New Roman"/>
                <w:sz w:val="18"/>
                <w:lang w:val="en-GB"/>
              </w:rPr>
            </w:pPr>
            <w:r w:rsidRPr="009A7161">
              <w:rPr>
                <w:rFonts w:ascii="Times New Roman" w:eastAsia="MS Gothic" w:hAnsi="Times New Roman" w:cs="Times New Roman"/>
                <w:sz w:val="18"/>
                <w:lang w:val="en-GB"/>
              </w:rPr>
              <w:t>N: number of boxes</w:t>
            </w:r>
            <w:r w:rsidRPr="009A7161">
              <w:rPr>
                <w:rFonts w:ascii="Times New Roman" w:eastAsia="MS Gothic" w:hAnsi="Times New Roman" w:cs="Times New Roman"/>
                <w:sz w:val="18"/>
                <w:lang w:val="en-GB"/>
              </w:rPr>
              <w:br/>
            </w:r>
            <m:oMath>
              <m:sSub>
                <m:sSubPr>
                  <m:ctrlPr>
                    <w:rPr>
                      <w:rFonts w:ascii="Cambria Math" w:eastAsia="Calibri" w:hAnsi="Cambria Math" w:cs="Times New Roman"/>
                      <w:sz w:val="18"/>
                    </w:rPr>
                  </m:ctrlPr>
                </m:sSubPr>
                <m:e>
                  <m:r>
                    <m:rPr>
                      <m:sty m:val="p"/>
                    </m:rPr>
                    <w:rPr>
                      <w:rFonts w:ascii="Cambria Math" w:eastAsia="Calibri" w:hAnsi="Cambria Math" w:cs="Times New Roman"/>
                      <w:sz w:val="18"/>
                      <w:lang w:val="en-GB"/>
                    </w:rPr>
                    <m:t>x</m:t>
                  </m:r>
                </m:e>
                <m:sub>
                  <m:r>
                    <m:rPr>
                      <m:sty m:val="p"/>
                    </m:rPr>
                    <w:rPr>
                      <w:rFonts w:ascii="Cambria Math" w:eastAsia="Calibri" w:hAnsi="Cambria Math" w:cs="Times New Roman"/>
                      <w:sz w:val="18"/>
                      <w:lang w:val="en-GB"/>
                    </w:rPr>
                    <m:t>xyz</m:t>
                  </m:r>
                </m:sub>
              </m:sSub>
            </m:oMath>
            <w:r w:rsidRPr="009A7161">
              <w:rPr>
                <w:rFonts w:ascii="Times New Roman" w:eastAsia="MS Gothic" w:hAnsi="Times New Roman" w:cs="Times New Roman"/>
                <w:sz w:val="18"/>
                <w:lang w:val="en-GB"/>
              </w:rPr>
              <w:t>: voxel size</w:t>
            </w:r>
          </w:p>
          <w:p w:rsidR="00C82457" w:rsidRPr="009A7161" w:rsidRDefault="00C82457" w:rsidP="00C22609">
            <w:pPr>
              <w:rPr>
                <w:rFonts w:ascii="Times New Roman" w:eastAsia="MS Gothic" w:hAnsi="Times New Roman" w:cs="Times New Roman"/>
                <w:sz w:val="18"/>
                <w:lang w:val="en-GB"/>
              </w:rPr>
            </w:pPr>
            <w:r w:rsidRPr="009A7161">
              <w:rPr>
                <w:rFonts w:ascii="Times New Roman" w:eastAsia="MS Gothic" w:hAnsi="Times New Roman" w:cs="Times New Roman"/>
                <w:sz w:val="18"/>
                <w:lang w:val="en-GB"/>
              </w:rPr>
              <w:t>r: box size</w:t>
            </w:r>
          </w:p>
        </w:tc>
        <w:tc>
          <w:tcPr>
            <w:tcW w:w="1277" w:type="pct"/>
          </w:tcPr>
          <w:p w:rsidR="00C82457" w:rsidRPr="009A7161" w:rsidRDefault="00C82457" w:rsidP="00C22609">
            <w:pPr>
              <w:rPr>
                <w:rFonts w:ascii="Times New Roman" w:eastAsia="MS Gothic" w:hAnsi="Times New Roman" w:cs="Times New Roman"/>
                <w:sz w:val="18"/>
                <w:lang w:val="en-GB"/>
              </w:rPr>
            </w:pPr>
            <w:r w:rsidRPr="009A7161">
              <w:rPr>
                <w:rFonts w:ascii="Times New Roman" w:eastAsia="MS Gothic" w:hAnsi="Times New Roman" w:cs="Times New Roman"/>
                <w:sz w:val="18"/>
                <w:lang w:val="en-GB"/>
              </w:rPr>
              <w:t xml:space="preserve">Fractal dimension is calculated by a box counting method. A higher fractal dimension represents a more irregular shape. </w:t>
            </w:r>
          </w:p>
        </w:tc>
      </w:tr>
      <w:tr w:rsidR="00C82457" w:rsidRPr="009A7161" w:rsidTr="00C22609">
        <w:trPr>
          <w:trHeight w:val="617"/>
        </w:trPr>
        <w:tc>
          <w:tcPr>
            <w:tcW w:w="1147" w:type="pct"/>
            <w:tcBorders>
              <w:bottom w:val="single" w:sz="4" w:space="0" w:color="auto"/>
            </w:tcBorders>
          </w:tcPr>
          <w:p w:rsidR="00C82457" w:rsidRPr="009A7161" w:rsidRDefault="00C82457" w:rsidP="00C22609">
            <w:pPr>
              <w:rPr>
                <w:rFonts w:ascii="Times New Roman" w:eastAsia="MS Gothic" w:hAnsi="Times New Roman" w:cs="Times New Roman"/>
                <w:b/>
                <w:bCs/>
                <w:i/>
                <w:iCs/>
                <w:sz w:val="18"/>
                <w:vertAlign w:val="superscript"/>
              </w:rPr>
            </w:pPr>
            <w:r w:rsidRPr="009A7161">
              <w:rPr>
                <w:rFonts w:ascii="Times New Roman" w:eastAsia="Calibri" w:hAnsi="Times New Roman" w:cs="Times New Roman"/>
                <w:sz w:val="18"/>
              </w:rPr>
              <w:t>Eccentricity (E)</w:t>
            </w:r>
          </w:p>
        </w:tc>
        <w:tc>
          <w:tcPr>
            <w:tcW w:w="1298" w:type="pct"/>
            <w:tcBorders>
              <w:bottom w:val="single" w:sz="4" w:space="0" w:color="auto"/>
            </w:tcBorders>
            <w:vAlign w:val="center"/>
          </w:tcPr>
          <w:p w:rsidR="00C82457" w:rsidRPr="009A7161" w:rsidRDefault="00C82457" w:rsidP="00C22609">
            <w:pPr>
              <w:jc w:val="center"/>
              <w:rPr>
                <w:rFonts w:ascii="Times New Roman" w:eastAsia="Calibri" w:hAnsi="Times New Roman" w:cs="Times New Roman"/>
                <w:sz w:val="18"/>
              </w:rPr>
            </w:pPr>
            <m:oMathPara>
              <m:oMathParaPr>
                <m:jc m:val="center"/>
              </m:oMathParaPr>
              <m:oMath>
                <m:r>
                  <m:rPr>
                    <m:sty m:val="p"/>
                  </m:rPr>
                  <w:rPr>
                    <w:rFonts w:ascii="Cambria Math" w:eastAsia="Calibri" w:hAnsi="Cambria Math" w:cs="Times New Roman"/>
                    <w:sz w:val="18"/>
                  </w:rPr>
                  <m:t>E=</m:t>
                </m:r>
                <m:f>
                  <m:fPr>
                    <m:ctrlPr>
                      <w:rPr>
                        <w:rFonts w:ascii="Cambria Math" w:eastAsia="Calibri" w:hAnsi="Cambria Math" w:cs="Times New Roman"/>
                        <w:sz w:val="18"/>
                      </w:rPr>
                    </m:ctrlPr>
                  </m:fPr>
                  <m:num>
                    <m:r>
                      <m:rPr>
                        <m:sty m:val="p"/>
                      </m:rPr>
                      <w:rPr>
                        <w:rFonts w:ascii="Cambria Math" w:eastAsia="Calibri" w:hAnsi="Cambria Math" w:cs="Times New Roman"/>
                        <w:sz w:val="18"/>
                      </w:rPr>
                      <m:t>Minor axis</m:t>
                    </m:r>
                  </m:num>
                  <m:den>
                    <m:r>
                      <m:rPr>
                        <m:sty m:val="p"/>
                      </m:rPr>
                      <w:rPr>
                        <w:rFonts w:ascii="Cambria Math" w:eastAsia="Calibri" w:hAnsi="Cambria Math" w:cs="Times New Roman"/>
                        <w:sz w:val="18"/>
                      </w:rPr>
                      <m:t>Major axis</m:t>
                    </m:r>
                  </m:den>
                </m:f>
              </m:oMath>
            </m:oMathPara>
          </w:p>
        </w:tc>
        <w:tc>
          <w:tcPr>
            <w:tcW w:w="1277" w:type="pct"/>
            <w:tcBorders>
              <w:bottom w:val="single" w:sz="4" w:space="0" w:color="auto"/>
            </w:tcBorders>
          </w:tcPr>
          <w:p w:rsidR="00C82457" w:rsidRPr="009A7161" w:rsidRDefault="00C82457" w:rsidP="00C22609">
            <w:pPr>
              <w:rPr>
                <w:rFonts w:ascii="Times New Roman" w:eastAsia="Calibri" w:hAnsi="Times New Roman" w:cs="Times New Roman"/>
                <w:sz w:val="18"/>
                <w:lang w:val="en-GB"/>
              </w:rPr>
            </w:pPr>
            <w:r w:rsidRPr="009A7161">
              <w:rPr>
                <w:rFonts w:ascii="Times New Roman" w:eastAsia="Calibri" w:hAnsi="Times New Roman" w:cs="Times New Roman"/>
                <w:sz w:val="18"/>
                <w:lang w:val="en-GB"/>
              </w:rPr>
              <w:t xml:space="preserve">Major axis: largest diameter of the WMH in three dimensions. Minor axis: smallest diameter orthogonal to the major axis. </w:t>
            </w:r>
          </w:p>
        </w:tc>
        <w:tc>
          <w:tcPr>
            <w:tcW w:w="1277" w:type="pct"/>
            <w:tcBorders>
              <w:bottom w:val="single" w:sz="4" w:space="0" w:color="auto"/>
            </w:tcBorders>
          </w:tcPr>
          <w:p w:rsidR="00C82457" w:rsidRPr="009A7161" w:rsidRDefault="00C82457" w:rsidP="00C22609">
            <w:pPr>
              <w:rPr>
                <w:rFonts w:ascii="Times New Roman" w:eastAsia="Calibri" w:hAnsi="Times New Roman" w:cs="Times New Roman"/>
                <w:sz w:val="18"/>
                <w:lang w:val="en-GB"/>
              </w:rPr>
            </w:pPr>
            <w:r w:rsidRPr="009A7161">
              <w:rPr>
                <w:rFonts w:ascii="Times New Roman" w:eastAsia="Calibri" w:hAnsi="Times New Roman" w:cs="Times New Roman"/>
                <w:sz w:val="18"/>
                <w:lang w:val="en-GB"/>
              </w:rPr>
              <w:t xml:space="preserve">A high eccentricity represents a round shape, while a low eccentricity represents a more oval shape. A low eccentricity therefore relates to “outstretched” or elongated WMH. </w:t>
            </w:r>
          </w:p>
        </w:tc>
      </w:tr>
    </w:tbl>
    <w:p w:rsidR="00C82457" w:rsidRPr="009A7161" w:rsidRDefault="00C82457" w:rsidP="00C82457">
      <w:pPr>
        <w:autoSpaceDE w:val="0"/>
        <w:autoSpaceDN w:val="0"/>
        <w:adjustRightInd w:val="0"/>
        <w:spacing w:after="0" w:line="480" w:lineRule="auto"/>
        <w:rPr>
          <w:rFonts w:ascii="Times New Roman" w:eastAsia="TimesNewRomanPSMT" w:hAnsi="Times New Roman" w:cs="Times New Roman"/>
        </w:rPr>
      </w:pPr>
    </w:p>
    <w:p w:rsidR="00C82457" w:rsidRPr="009A7161" w:rsidRDefault="00C82457" w:rsidP="00C82457">
      <w:pPr>
        <w:rPr>
          <w:rFonts w:ascii="Times New Roman" w:hAnsi="Times New Roman" w:cs="Times New Roman"/>
        </w:rPr>
      </w:pPr>
      <w:r w:rsidRPr="009A7161">
        <w:rPr>
          <w:rFonts w:ascii="Times New Roman" w:hAnsi="Times New Roman" w:cs="Times New Roman"/>
        </w:rPr>
        <w:br w:type="page"/>
      </w:r>
    </w:p>
    <w:p w:rsidR="00C82457" w:rsidRPr="009A7161" w:rsidRDefault="00C82457" w:rsidP="00C82457">
      <w:pPr>
        <w:jc w:val="both"/>
        <w:rPr>
          <w:rFonts w:ascii="Times New Roman" w:hAnsi="Times New Roman" w:cs="Times New Roman"/>
        </w:rPr>
      </w:pPr>
      <w:r w:rsidRPr="009A7161">
        <w:rPr>
          <w:rFonts w:ascii="Times New Roman" w:hAnsi="Times New Roman" w:cs="Times New Roman"/>
        </w:rPr>
        <w:lastRenderedPageBreak/>
        <w:t>Supplementary table B: Exploratory analyses of the association between frailty and WMH shape features additionally corrected for WMH volume</w:t>
      </w:r>
    </w:p>
    <w:tbl>
      <w:tblPr>
        <w:tblStyle w:val="Tabelrasterlic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0"/>
        <w:gridCol w:w="627"/>
        <w:gridCol w:w="1594"/>
        <w:gridCol w:w="1681"/>
        <w:gridCol w:w="3091"/>
        <w:gridCol w:w="3431"/>
      </w:tblGrid>
      <w:tr w:rsidR="00C82457" w:rsidRPr="009A7161" w:rsidTr="00C22609">
        <w:trPr>
          <w:trHeight w:val="398"/>
        </w:trPr>
        <w:tc>
          <w:tcPr>
            <w:tcW w:w="805" w:type="pct"/>
            <w:tcBorders>
              <w:top w:val="single" w:sz="4" w:space="0" w:color="auto"/>
              <w:left w:val="single" w:sz="4" w:space="0" w:color="auto"/>
              <w:bottom w:val="single" w:sz="4" w:space="0" w:color="auto"/>
            </w:tcBorders>
            <w:shd w:val="clear" w:color="auto" w:fill="F2F2F2" w:themeFill="background1" w:themeFillShade="F2"/>
            <w:vAlign w:val="center"/>
          </w:tcPr>
          <w:p w:rsidR="00C82457" w:rsidRPr="009A7161" w:rsidRDefault="00C82457" w:rsidP="00C22609">
            <w:pPr>
              <w:jc w:val="both"/>
              <w:rPr>
                <w:rFonts w:ascii="Times New Roman" w:eastAsia="Times New Roman" w:hAnsi="Times New Roman" w:cs="Times New Roman"/>
                <w:b/>
                <w:sz w:val="18"/>
              </w:rPr>
            </w:pPr>
          </w:p>
        </w:tc>
        <w:tc>
          <w:tcPr>
            <w:tcW w:w="477" w:type="pct"/>
            <w:gridSpan w:val="2"/>
            <w:tcBorders>
              <w:top w:val="single" w:sz="4" w:space="0" w:color="auto"/>
              <w:bottom w:val="single" w:sz="4" w:space="0" w:color="auto"/>
            </w:tcBorders>
            <w:shd w:val="clear" w:color="auto" w:fill="F2F2F2" w:themeFill="background1" w:themeFillShade="F2"/>
            <w:vAlign w:val="center"/>
          </w:tcPr>
          <w:p w:rsidR="00C82457" w:rsidRPr="009A7161" w:rsidRDefault="00C82457" w:rsidP="00C22609">
            <w:pPr>
              <w:jc w:val="both"/>
              <w:rPr>
                <w:rFonts w:ascii="Times New Roman" w:eastAsia="Times New Roman" w:hAnsi="Times New Roman" w:cs="Times New Roman"/>
                <w:b/>
                <w:sz w:val="18"/>
              </w:rPr>
            </w:pPr>
            <w:r w:rsidRPr="009A7161">
              <w:rPr>
                <w:rFonts w:ascii="Times New Roman" w:eastAsia="Times New Roman" w:hAnsi="Times New Roman" w:cs="Times New Roman"/>
                <w:b/>
                <w:sz w:val="18"/>
              </w:rPr>
              <w:t>Frail (n=28)</w:t>
            </w:r>
          </w:p>
        </w:tc>
        <w:tc>
          <w:tcPr>
            <w:tcW w:w="605" w:type="pct"/>
            <w:tcBorders>
              <w:top w:val="single" w:sz="4" w:space="0" w:color="auto"/>
              <w:bottom w:val="single" w:sz="4" w:space="0" w:color="auto"/>
            </w:tcBorders>
            <w:shd w:val="clear" w:color="auto" w:fill="F2F2F2" w:themeFill="background1" w:themeFillShade="F2"/>
            <w:vAlign w:val="center"/>
          </w:tcPr>
          <w:p w:rsidR="00C82457" w:rsidRPr="009A7161" w:rsidRDefault="00C82457" w:rsidP="00C22609">
            <w:pPr>
              <w:jc w:val="both"/>
              <w:rPr>
                <w:rFonts w:ascii="Times New Roman" w:eastAsia="Times New Roman" w:hAnsi="Times New Roman" w:cs="Times New Roman"/>
                <w:b/>
                <w:sz w:val="18"/>
              </w:rPr>
            </w:pPr>
            <w:r w:rsidRPr="009A7161">
              <w:rPr>
                <w:rFonts w:ascii="Times New Roman" w:eastAsia="Times New Roman" w:hAnsi="Times New Roman" w:cs="Times New Roman"/>
                <w:b/>
                <w:sz w:val="18"/>
              </w:rPr>
              <w:t>Pre-frail (n=77)</w:t>
            </w:r>
          </w:p>
        </w:tc>
        <w:tc>
          <w:tcPr>
            <w:tcW w:w="638" w:type="pct"/>
            <w:tcBorders>
              <w:top w:val="single" w:sz="4" w:space="0" w:color="auto"/>
              <w:bottom w:val="single" w:sz="4" w:space="0" w:color="auto"/>
            </w:tcBorders>
            <w:shd w:val="clear" w:color="auto" w:fill="F2F2F2" w:themeFill="background1" w:themeFillShade="F2"/>
            <w:vAlign w:val="center"/>
          </w:tcPr>
          <w:p w:rsidR="00C82457" w:rsidRPr="009A7161" w:rsidRDefault="00C82457" w:rsidP="00C22609">
            <w:pPr>
              <w:jc w:val="both"/>
              <w:rPr>
                <w:rFonts w:ascii="Times New Roman" w:eastAsia="Times New Roman" w:hAnsi="Times New Roman" w:cs="Times New Roman"/>
                <w:b/>
                <w:sz w:val="18"/>
                <w:lang w:val="en-GB"/>
              </w:rPr>
            </w:pPr>
            <w:r w:rsidRPr="009A7161">
              <w:rPr>
                <w:rFonts w:ascii="Times New Roman" w:eastAsia="Times New Roman" w:hAnsi="Times New Roman" w:cs="Times New Roman"/>
                <w:b/>
                <w:sz w:val="18"/>
              </w:rPr>
              <w:t>Non-frail (n=52)</w:t>
            </w:r>
          </w:p>
        </w:tc>
        <w:tc>
          <w:tcPr>
            <w:tcW w:w="1173" w:type="pct"/>
            <w:tcBorders>
              <w:top w:val="single" w:sz="4" w:space="0" w:color="auto"/>
              <w:bottom w:val="single" w:sz="4" w:space="0" w:color="auto"/>
            </w:tcBorders>
            <w:shd w:val="clear" w:color="auto" w:fill="F2F2F2" w:themeFill="background1" w:themeFillShade="F2"/>
            <w:vAlign w:val="center"/>
          </w:tcPr>
          <w:p w:rsidR="00C82457" w:rsidRPr="009A7161" w:rsidRDefault="00C82457" w:rsidP="00C22609">
            <w:pPr>
              <w:jc w:val="both"/>
              <w:rPr>
                <w:rFonts w:ascii="Times New Roman" w:eastAsia="Times New Roman" w:hAnsi="Times New Roman" w:cs="Times New Roman"/>
                <w:b/>
                <w:sz w:val="18"/>
                <w:lang w:val="en-GB"/>
              </w:rPr>
            </w:pPr>
            <w:r w:rsidRPr="009A7161">
              <w:rPr>
                <w:rFonts w:ascii="Times New Roman" w:eastAsia="Times New Roman" w:hAnsi="Times New Roman" w:cs="Times New Roman"/>
                <w:b/>
                <w:sz w:val="18"/>
                <w:lang w:val="en-GB"/>
              </w:rPr>
              <w:t>Frail vs. non-frail (Beta (95% CI))</w:t>
            </w:r>
          </w:p>
        </w:tc>
        <w:tc>
          <w:tcPr>
            <w:tcW w:w="1302" w:type="pct"/>
            <w:tcBorders>
              <w:top w:val="single" w:sz="4" w:space="0" w:color="auto"/>
              <w:bottom w:val="single" w:sz="4" w:space="0" w:color="auto"/>
              <w:right w:val="single" w:sz="4" w:space="0" w:color="auto"/>
            </w:tcBorders>
            <w:shd w:val="clear" w:color="auto" w:fill="F2F2F2" w:themeFill="background1" w:themeFillShade="F2"/>
            <w:vAlign w:val="center"/>
          </w:tcPr>
          <w:p w:rsidR="00C82457" w:rsidRPr="009A7161" w:rsidRDefault="00C82457" w:rsidP="00C22609">
            <w:pPr>
              <w:jc w:val="both"/>
              <w:rPr>
                <w:rFonts w:ascii="Times New Roman" w:eastAsia="Times New Roman" w:hAnsi="Times New Roman" w:cs="Times New Roman"/>
                <w:b/>
                <w:sz w:val="18"/>
                <w:lang w:val="en-GB"/>
              </w:rPr>
            </w:pPr>
            <w:r w:rsidRPr="009A7161">
              <w:rPr>
                <w:rFonts w:ascii="Times New Roman" w:eastAsia="Times New Roman" w:hAnsi="Times New Roman" w:cs="Times New Roman"/>
                <w:b/>
                <w:sz w:val="18"/>
                <w:lang w:val="en-GB"/>
              </w:rPr>
              <w:t>Pre-frail vs. non-frail (Beta (95% CI)</w:t>
            </w:r>
            <w:r w:rsidRPr="009A7161">
              <w:rPr>
                <w:rFonts w:ascii="Times New Roman" w:eastAsia="Times New Roman" w:hAnsi="Times New Roman" w:cs="Times New Roman"/>
                <w:b/>
                <w:sz w:val="18"/>
              </w:rPr>
              <w:t>)</w:t>
            </w:r>
          </w:p>
        </w:tc>
      </w:tr>
      <w:tr w:rsidR="00C82457" w:rsidRPr="009A7161" w:rsidTr="00C22609">
        <w:trPr>
          <w:gridAfter w:val="5"/>
          <w:wAfter w:w="3956" w:type="pct"/>
          <w:trHeight w:val="398"/>
        </w:trPr>
        <w:tc>
          <w:tcPr>
            <w:tcW w:w="1044" w:type="pct"/>
            <w:gridSpan w:val="2"/>
            <w:tcBorders>
              <w:top w:val="single" w:sz="4" w:space="0" w:color="auto"/>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sz w:val="18"/>
                <w:lang w:val="en-GB"/>
              </w:rPr>
            </w:pPr>
            <w:r w:rsidRPr="009A7161">
              <w:rPr>
                <w:rFonts w:ascii="Times New Roman" w:eastAsia="Times New Roman" w:hAnsi="Times New Roman" w:cs="Times New Roman"/>
                <w:sz w:val="18"/>
              </w:rPr>
              <w:t>Periventricular/confluent WMH</w:t>
            </w:r>
          </w:p>
        </w:tc>
      </w:tr>
      <w:tr w:rsidR="00C82457" w:rsidRPr="009A7161" w:rsidTr="00C22609">
        <w:trPr>
          <w:trHeight w:val="398"/>
        </w:trPr>
        <w:tc>
          <w:tcPr>
            <w:tcW w:w="805" w:type="pct"/>
            <w:tcBorders>
              <w:top w:val="single" w:sz="4" w:space="0" w:color="auto"/>
            </w:tcBorders>
            <w:vAlign w:val="center"/>
          </w:tcPr>
          <w:p w:rsidR="00C82457" w:rsidRPr="009A7161" w:rsidRDefault="00C82457" w:rsidP="00C22609">
            <w:pPr>
              <w:spacing w:line="480" w:lineRule="auto"/>
              <w:ind w:left="426"/>
              <w:jc w:val="both"/>
              <w:rPr>
                <w:rFonts w:ascii="Times New Roman" w:eastAsia="Times New Roman" w:hAnsi="Times New Roman" w:cs="Times New Roman"/>
                <w:sz w:val="18"/>
                <w:vertAlign w:val="superscript"/>
              </w:rPr>
            </w:pPr>
            <w:proofErr w:type="spellStart"/>
            <w:r w:rsidRPr="009A7161">
              <w:rPr>
                <w:rFonts w:ascii="Times New Roman" w:eastAsia="Times New Roman" w:hAnsi="Times New Roman" w:cs="Times New Roman"/>
                <w:sz w:val="18"/>
              </w:rPr>
              <w:t>Solidity</w:t>
            </w:r>
            <w:r w:rsidRPr="009A7161">
              <w:rPr>
                <w:rFonts w:ascii="Times New Roman" w:eastAsia="Times New Roman" w:hAnsi="Times New Roman" w:cs="Times New Roman"/>
                <w:sz w:val="18"/>
                <w:vertAlign w:val="superscript"/>
              </w:rPr>
              <w:t>a</w:t>
            </w:r>
            <w:proofErr w:type="spellEnd"/>
          </w:p>
        </w:tc>
        <w:tc>
          <w:tcPr>
            <w:tcW w:w="477" w:type="pct"/>
            <w:gridSpan w:val="2"/>
            <w:tcBorders>
              <w:top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.29 ± .18</w:t>
            </w:r>
          </w:p>
        </w:tc>
        <w:tc>
          <w:tcPr>
            <w:tcW w:w="605" w:type="pct"/>
            <w:tcBorders>
              <w:top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.31 ± .20</w:t>
            </w:r>
          </w:p>
        </w:tc>
        <w:tc>
          <w:tcPr>
            <w:tcW w:w="638" w:type="pct"/>
            <w:tcBorders>
              <w:top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hAnsi="Times New Roman" w:cs="Times New Roman"/>
                <w:color w:val="000000"/>
                <w:sz w:val="18"/>
              </w:rPr>
              <w:t>.36 ± .20</w:t>
            </w:r>
          </w:p>
        </w:tc>
        <w:tc>
          <w:tcPr>
            <w:tcW w:w="1173" w:type="pct"/>
            <w:tcBorders>
              <w:top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0.03 (-0.17 , 0.23)</w:t>
            </w:r>
          </w:p>
        </w:tc>
        <w:tc>
          <w:tcPr>
            <w:tcW w:w="1302" w:type="pct"/>
            <w:tcBorders>
              <w:top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-0.01 (-0.15 , 0.13)</w:t>
            </w:r>
          </w:p>
        </w:tc>
      </w:tr>
      <w:tr w:rsidR="00C82457" w:rsidRPr="009A7161" w:rsidTr="00C22609">
        <w:trPr>
          <w:trHeight w:val="398"/>
        </w:trPr>
        <w:tc>
          <w:tcPr>
            <w:tcW w:w="805" w:type="pct"/>
            <w:vAlign w:val="center"/>
          </w:tcPr>
          <w:p w:rsidR="00C82457" w:rsidRPr="009A7161" w:rsidRDefault="00C82457" w:rsidP="00C22609">
            <w:pPr>
              <w:spacing w:line="480" w:lineRule="auto"/>
              <w:ind w:left="426"/>
              <w:jc w:val="both"/>
              <w:rPr>
                <w:rFonts w:ascii="Times New Roman" w:eastAsia="Times New Roman" w:hAnsi="Times New Roman" w:cs="Times New Roman"/>
                <w:sz w:val="18"/>
              </w:rPr>
            </w:pPr>
            <w:r w:rsidRPr="009A7161">
              <w:rPr>
                <w:rFonts w:ascii="Times New Roman" w:eastAsia="Times New Roman" w:hAnsi="Times New Roman" w:cs="Times New Roman"/>
                <w:sz w:val="18"/>
              </w:rPr>
              <w:t>Convexity</w:t>
            </w:r>
          </w:p>
        </w:tc>
        <w:tc>
          <w:tcPr>
            <w:tcW w:w="477" w:type="pct"/>
            <w:gridSpan w:val="2"/>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1.15 ± .18</w:t>
            </w:r>
          </w:p>
        </w:tc>
        <w:tc>
          <w:tcPr>
            <w:tcW w:w="605" w:type="pct"/>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1.14 ± .18</w:t>
            </w:r>
          </w:p>
        </w:tc>
        <w:tc>
          <w:tcPr>
            <w:tcW w:w="638" w:type="pct"/>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hAnsi="Times New Roman" w:cs="Times New Roman"/>
                <w:color w:val="000000"/>
                <w:sz w:val="18"/>
              </w:rPr>
              <w:t>1.17 ± .17</w:t>
            </w:r>
          </w:p>
        </w:tc>
        <w:tc>
          <w:tcPr>
            <w:tcW w:w="1173" w:type="pct"/>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-0.04 (-0.13 , 0.06)</w:t>
            </w:r>
          </w:p>
        </w:tc>
        <w:tc>
          <w:tcPr>
            <w:tcW w:w="1302" w:type="pct"/>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-0.02 (-0.08 , 0.05)</w:t>
            </w:r>
          </w:p>
        </w:tc>
      </w:tr>
      <w:tr w:rsidR="00C82457" w:rsidRPr="009A7161" w:rsidTr="00C22609">
        <w:trPr>
          <w:trHeight w:val="398"/>
        </w:trPr>
        <w:tc>
          <w:tcPr>
            <w:tcW w:w="805" w:type="pct"/>
            <w:vAlign w:val="center"/>
          </w:tcPr>
          <w:p w:rsidR="00C82457" w:rsidRPr="009A7161" w:rsidRDefault="00C82457" w:rsidP="00C22609">
            <w:pPr>
              <w:spacing w:line="480" w:lineRule="auto"/>
              <w:ind w:left="426"/>
              <w:jc w:val="both"/>
              <w:rPr>
                <w:rFonts w:ascii="Times New Roman" w:eastAsia="Times New Roman" w:hAnsi="Times New Roman" w:cs="Times New Roman"/>
                <w:sz w:val="18"/>
              </w:rPr>
            </w:pPr>
            <w:r w:rsidRPr="009A7161">
              <w:rPr>
                <w:rFonts w:ascii="Times New Roman" w:eastAsia="Times New Roman" w:hAnsi="Times New Roman" w:cs="Times New Roman"/>
                <w:sz w:val="18"/>
              </w:rPr>
              <w:t>Concavity index</w:t>
            </w:r>
          </w:p>
        </w:tc>
        <w:tc>
          <w:tcPr>
            <w:tcW w:w="477" w:type="pct"/>
            <w:gridSpan w:val="2"/>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1.13 ± .13</w:t>
            </w:r>
          </w:p>
        </w:tc>
        <w:tc>
          <w:tcPr>
            <w:tcW w:w="605" w:type="pct"/>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1.13 ± .24</w:t>
            </w:r>
          </w:p>
        </w:tc>
        <w:tc>
          <w:tcPr>
            <w:tcW w:w="638" w:type="pct"/>
            <w:vAlign w:val="center"/>
          </w:tcPr>
          <w:p w:rsidR="00C82457" w:rsidRPr="009A7161" w:rsidRDefault="00C82457" w:rsidP="00C22609">
            <w:pPr>
              <w:spacing w:line="480" w:lineRule="auto"/>
              <w:jc w:val="both"/>
              <w:rPr>
                <w:rStyle w:val="Verwijzingopmerking"/>
                <w:rFonts w:ascii="Times New Roman" w:hAnsi="Times New Roman" w:cs="Times New Roman"/>
                <w:sz w:val="18"/>
                <w:szCs w:val="22"/>
              </w:rPr>
            </w:pPr>
            <w:r w:rsidRPr="009A7161">
              <w:rPr>
                <w:rFonts w:ascii="Times New Roman" w:hAnsi="Times New Roman" w:cs="Times New Roman"/>
                <w:color w:val="000000"/>
                <w:sz w:val="18"/>
              </w:rPr>
              <w:t>1.08 ± .09</w:t>
            </w:r>
          </w:p>
        </w:tc>
        <w:tc>
          <w:tcPr>
            <w:tcW w:w="1173" w:type="pct"/>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0.02 (-0.02 , 0.06)</w:t>
            </w:r>
          </w:p>
        </w:tc>
        <w:tc>
          <w:tcPr>
            <w:tcW w:w="1302" w:type="pct"/>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0.02 (-0.01 , 0.04)</w:t>
            </w:r>
          </w:p>
        </w:tc>
      </w:tr>
      <w:tr w:rsidR="00C82457" w:rsidRPr="009A7161" w:rsidTr="00C22609">
        <w:trPr>
          <w:trHeight w:val="398"/>
        </w:trPr>
        <w:tc>
          <w:tcPr>
            <w:tcW w:w="805" w:type="pct"/>
            <w:tcBorders>
              <w:bottom w:val="single" w:sz="4" w:space="0" w:color="auto"/>
            </w:tcBorders>
            <w:vAlign w:val="center"/>
          </w:tcPr>
          <w:p w:rsidR="00C82457" w:rsidRPr="009A7161" w:rsidRDefault="00C82457" w:rsidP="00C22609">
            <w:pPr>
              <w:spacing w:line="480" w:lineRule="auto"/>
              <w:ind w:left="426"/>
              <w:jc w:val="both"/>
              <w:rPr>
                <w:rFonts w:ascii="Times New Roman" w:eastAsia="Times New Roman" w:hAnsi="Times New Roman" w:cs="Times New Roman"/>
                <w:sz w:val="18"/>
              </w:rPr>
            </w:pPr>
            <w:r w:rsidRPr="009A7161">
              <w:rPr>
                <w:rFonts w:ascii="Times New Roman" w:eastAsia="Times New Roman" w:hAnsi="Times New Roman" w:cs="Times New Roman"/>
                <w:sz w:val="18"/>
              </w:rPr>
              <w:t>Fractal dimension</w:t>
            </w:r>
          </w:p>
        </w:tc>
        <w:tc>
          <w:tcPr>
            <w:tcW w:w="477" w:type="pct"/>
            <w:gridSpan w:val="2"/>
            <w:tcBorders>
              <w:bottom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1.68 ± .26</w:t>
            </w:r>
          </w:p>
        </w:tc>
        <w:tc>
          <w:tcPr>
            <w:tcW w:w="605" w:type="pct"/>
            <w:tcBorders>
              <w:bottom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1.67 ± .22</w:t>
            </w:r>
          </w:p>
        </w:tc>
        <w:tc>
          <w:tcPr>
            <w:tcW w:w="638" w:type="pct"/>
            <w:tcBorders>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hAnsi="Times New Roman" w:cs="Times New Roman"/>
                <w:color w:val="000000"/>
                <w:sz w:val="18"/>
              </w:rPr>
              <w:t>1.57 ± .22</w:t>
            </w:r>
          </w:p>
        </w:tc>
        <w:tc>
          <w:tcPr>
            <w:tcW w:w="1173" w:type="pct"/>
            <w:tcBorders>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-0.01 (-0.03 , 0.01)</w:t>
            </w:r>
          </w:p>
        </w:tc>
        <w:tc>
          <w:tcPr>
            <w:tcW w:w="1302" w:type="pct"/>
            <w:tcBorders>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0.00 (-0.02 , 0.01)</w:t>
            </w:r>
          </w:p>
        </w:tc>
      </w:tr>
      <w:tr w:rsidR="00C82457" w:rsidRPr="009A7161" w:rsidTr="00C22609">
        <w:trPr>
          <w:gridAfter w:val="5"/>
          <w:wAfter w:w="3956" w:type="pct"/>
          <w:trHeight w:val="398"/>
        </w:trPr>
        <w:tc>
          <w:tcPr>
            <w:tcW w:w="1044" w:type="pct"/>
            <w:gridSpan w:val="2"/>
            <w:tcBorders>
              <w:top w:val="single" w:sz="4" w:space="0" w:color="auto"/>
              <w:bottom w:val="single" w:sz="4" w:space="0" w:color="auto"/>
            </w:tcBorders>
          </w:tcPr>
          <w:p w:rsidR="00C82457" w:rsidRPr="009A7161" w:rsidRDefault="00C82457" w:rsidP="00C22609">
            <w:pPr>
              <w:spacing w:line="480" w:lineRule="auto"/>
              <w:jc w:val="both"/>
              <w:rPr>
                <w:rFonts w:ascii="Times New Roman" w:eastAsia="Times New Roman" w:hAnsi="Times New Roman" w:cs="Times New Roman"/>
                <w:sz w:val="18"/>
              </w:rPr>
            </w:pPr>
            <w:r w:rsidRPr="009A7161">
              <w:rPr>
                <w:rFonts w:ascii="Times New Roman" w:eastAsia="Times New Roman" w:hAnsi="Times New Roman" w:cs="Times New Roman"/>
                <w:sz w:val="18"/>
              </w:rPr>
              <w:t>Deep WMH</w:t>
            </w:r>
          </w:p>
        </w:tc>
      </w:tr>
      <w:tr w:rsidR="00C82457" w:rsidRPr="009A7161" w:rsidTr="00C22609">
        <w:trPr>
          <w:trHeight w:val="398"/>
        </w:trPr>
        <w:tc>
          <w:tcPr>
            <w:tcW w:w="805" w:type="pct"/>
            <w:tcBorders>
              <w:top w:val="single" w:sz="4" w:space="0" w:color="auto"/>
            </w:tcBorders>
            <w:vAlign w:val="center"/>
          </w:tcPr>
          <w:p w:rsidR="00C82457" w:rsidRPr="009A7161" w:rsidRDefault="00C82457" w:rsidP="00C22609">
            <w:pPr>
              <w:spacing w:line="480" w:lineRule="auto"/>
              <w:ind w:left="426"/>
              <w:jc w:val="both"/>
              <w:rPr>
                <w:rFonts w:ascii="Times New Roman" w:eastAsia="Times New Roman" w:hAnsi="Times New Roman" w:cs="Times New Roman"/>
                <w:sz w:val="18"/>
              </w:rPr>
            </w:pPr>
            <w:r w:rsidRPr="009A7161">
              <w:rPr>
                <w:rFonts w:ascii="Times New Roman" w:eastAsia="Times New Roman" w:hAnsi="Times New Roman" w:cs="Times New Roman"/>
                <w:sz w:val="18"/>
              </w:rPr>
              <w:t>Eccentricity</w:t>
            </w:r>
          </w:p>
        </w:tc>
        <w:tc>
          <w:tcPr>
            <w:tcW w:w="477" w:type="pct"/>
            <w:gridSpan w:val="2"/>
            <w:tcBorders>
              <w:top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.58 ± .15</w:t>
            </w:r>
          </w:p>
        </w:tc>
        <w:tc>
          <w:tcPr>
            <w:tcW w:w="605" w:type="pct"/>
            <w:tcBorders>
              <w:top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.56 ± .18</w:t>
            </w:r>
          </w:p>
        </w:tc>
        <w:tc>
          <w:tcPr>
            <w:tcW w:w="638" w:type="pct"/>
            <w:tcBorders>
              <w:top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hAnsi="Times New Roman" w:cs="Times New Roman"/>
                <w:color w:val="000000"/>
                <w:sz w:val="18"/>
              </w:rPr>
              <w:t>.58 ± .10</w:t>
            </w:r>
          </w:p>
        </w:tc>
        <w:tc>
          <w:tcPr>
            <w:tcW w:w="1173" w:type="pct"/>
            <w:tcBorders>
              <w:top w:val="single" w:sz="4" w:space="0" w:color="auto"/>
            </w:tcBorders>
            <w:vAlign w:val="center"/>
          </w:tcPr>
          <w:p w:rsidR="00C82457" w:rsidRPr="009A7161" w:rsidRDefault="00C82457" w:rsidP="00C82457">
            <w:pPr>
              <w:pStyle w:val="Lijstalinea"/>
              <w:numPr>
                <w:ilvl w:val="1"/>
                <w:numId w:val="1"/>
              </w:num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(-0.05 , 0.09)</w:t>
            </w:r>
          </w:p>
        </w:tc>
        <w:tc>
          <w:tcPr>
            <w:tcW w:w="1302" w:type="pct"/>
            <w:tcBorders>
              <w:top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-0.02 (-0.08 , 0.05)</w:t>
            </w:r>
          </w:p>
        </w:tc>
      </w:tr>
      <w:tr w:rsidR="00C82457" w:rsidRPr="009A7161" w:rsidTr="00C22609">
        <w:trPr>
          <w:trHeight w:val="398"/>
        </w:trPr>
        <w:tc>
          <w:tcPr>
            <w:tcW w:w="805" w:type="pct"/>
            <w:tcBorders>
              <w:bottom w:val="single" w:sz="4" w:space="0" w:color="auto"/>
            </w:tcBorders>
            <w:vAlign w:val="center"/>
          </w:tcPr>
          <w:p w:rsidR="00C82457" w:rsidRPr="009A7161" w:rsidRDefault="00C82457" w:rsidP="00C22609">
            <w:pPr>
              <w:spacing w:line="480" w:lineRule="auto"/>
              <w:ind w:left="426"/>
              <w:jc w:val="both"/>
              <w:rPr>
                <w:rFonts w:ascii="Times New Roman" w:eastAsia="Times New Roman" w:hAnsi="Times New Roman" w:cs="Times New Roman"/>
                <w:sz w:val="18"/>
              </w:rPr>
            </w:pPr>
            <w:r w:rsidRPr="009A7161">
              <w:rPr>
                <w:rFonts w:ascii="Times New Roman" w:eastAsia="Times New Roman" w:hAnsi="Times New Roman" w:cs="Times New Roman"/>
                <w:sz w:val="18"/>
              </w:rPr>
              <w:t>Fractal dimension</w:t>
            </w:r>
          </w:p>
        </w:tc>
        <w:tc>
          <w:tcPr>
            <w:tcW w:w="477" w:type="pct"/>
            <w:gridSpan w:val="2"/>
            <w:tcBorders>
              <w:bottom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1.83 ± .20</w:t>
            </w:r>
          </w:p>
        </w:tc>
        <w:tc>
          <w:tcPr>
            <w:tcW w:w="605" w:type="pct"/>
            <w:tcBorders>
              <w:bottom w:val="single" w:sz="4" w:space="0" w:color="auto"/>
            </w:tcBorders>
            <w:vAlign w:val="center"/>
          </w:tcPr>
          <w:p w:rsidR="00C82457" w:rsidRPr="009A7161" w:rsidRDefault="00C82457" w:rsidP="00C22609">
            <w:pPr>
              <w:spacing w:line="480" w:lineRule="auto"/>
              <w:jc w:val="both"/>
              <w:rPr>
                <w:rFonts w:ascii="Times New Roman" w:hAnsi="Times New Roman" w:cs="Times New Roman"/>
                <w:color w:val="000000"/>
                <w:sz w:val="18"/>
              </w:rPr>
            </w:pPr>
            <w:r w:rsidRPr="009A7161">
              <w:rPr>
                <w:rFonts w:ascii="Times New Roman" w:hAnsi="Times New Roman" w:cs="Times New Roman"/>
                <w:color w:val="000000"/>
                <w:sz w:val="18"/>
              </w:rPr>
              <w:t>1.81 ± .35</w:t>
            </w:r>
          </w:p>
        </w:tc>
        <w:tc>
          <w:tcPr>
            <w:tcW w:w="638" w:type="pct"/>
            <w:tcBorders>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hAnsi="Times New Roman" w:cs="Times New Roman"/>
                <w:color w:val="000000"/>
                <w:sz w:val="18"/>
              </w:rPr>
              <w:t>1.88 ± .23</w:t>
            </w:r>
          </w:p>
        </w:tc>
        <w:tc>
          <w:tcPr>
            <w:tcW w:w="1173" w:type="pct"/>
            <w:tcBorders>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-0.05 (-0.18 , 0.09)</w:t>
            </w:r>
          </w:p>
        </w:tc>
        <w:tc>
          <w:tcPr>
            <w:tcW w:w="1302" w:type="pct"/>
            <w:tcBorders>
              <w:bottom w:val="single" w:sz="4" w:space="0" w:color="auto"/>
            </w:tcBorders>
            <w:vAlign w:val="center"/>
          </w:tcPr>
          <w:p w:rsidR="00C82457" w:rsidRPr="009A7161" w:rsidRDefault="00C82457" w:rsidP="00C22609">
            <w:pPr>
              <w:spacing w:line="480" w:lineRule="auto"/>
              <w:jc w:val="both"/>
              <w:rPr>
                <w:rFonts w:ascii="Times New Roman" w:eastAsia="Times New Roman" w:hAnsi="Times New Roman" w:cs="Times New Roman"/>
                <w:color w:val="000000" w:themeColor="dark1"/>
                <w:kern w:val="24"/>
                <w:sz w:val="18"/>
                <w:lang w:eastAsia="nl-NL"/>
              </w:rPr>
            </w:pPr>
            <w:r w:rsidRPr="009A7161">
              <w:rPr>
                <w:rFonts w:ascii="Times New Roman" w:eastAsia="Times New Roman" w:hAnsi="Times New Roman" w:cs="Times New Roman"/>
                <w:color w:val="000000" w:themeColor="dark1"/>
                <w:kern w:val="24"/>
                <w:sz w:val="18"/>
                <w:lang w:eastAsia="nl-NL"/>
              </w:rPr>
              <w:t>-0.06 (-0.19  , 0.07)</w:t>
            </w:r>
          </w:p>
        </w:tc>
      </w:tr>
    </w:tbl>
    <w:p w:rsidR="00C82457" w:rsidRPr="009A7161" w:rsidRDefault="00C82457" w:rsidP="00C82457">
      <w:pPr>
        <w:jc w:val="both"/>
        <w:rPr>
          <w:rFonts w:ascii="Times New Roman" w:hAnsi="Times New Roman" w:cs="Times New Roman"/>
          <w:sz w:val="18"/>
        </w:rPr>
      </w:pPr>
      <w:r w:rsidRPr="009A7161">
        <w:rPr>
          <w:rFonts w:ascii="Times New Roman" w:hAnsi="Times New Roman" w:cs="Times New Roman"/>
          <w:sz w:val="18"/>
        </w:rPr>
        <w:t xml:space="preserve">Data are represented as means ± SD. Regression analysis were adjusted for age, gender and additionally for natural log transformed WMH volume. Regression beta coefficients are presented with a 95% confidence interval. </w:t>
      </w:r>
      <w:proofErr w:type="spellStart"/>
      <w:r w:rsidRPr="009A7161">
        <w:rPr>
          <w:rFonts w:ascii="Times New Roman" w:hAnsi="Times New Roman" w:cs="Times New Roman"/>
          <w:sz w:val="18"/>
          <w:vertAlign w:val="superscript"/>
        </w:rPr>
        <w:t>a</w:t>
      </w:r>
      <w:r w:rsidRPr="009A7161">
        <w:rPr>
          <w:rFonts w:ascii="Times New Roman" w:hAnsi="Times New Roman" w:cs="Times New Roman"/>
          <w:sz w:val="18"/>
        </w:rPr>
        <w:t>Solidity</w:t>
      </w:r>
      <w:proofErr w:type="spellEnd"/>
      <w:r w:rsidRPr="009A7161">
        <w:rPr>
          <w:rFonts w:ascii="Times New Roman" w:hAnsi="Times New Roman" w:cs="Times New Roman"/>
          <w:sz w:val="18"/>
        </w:rPr>
        <w:t xml:space="preserve"> was natural log transformed because of</w:t>
      </w:r>
      <w:r w:rsidR="006B1EDC">
        <w:rPr>
          <w:rFonts w:ascii="Times New Roman" w:hAnsi="Times New Roman" w:cs="Times New Roman"/>
          <w:sz w:val="18"/>
        </w:rPr>
        <w:t xml:space="preserve"> a non-normal distribution. </w:t>
      </w:r>
      <w:r w:rsidRPr="009A7161">
        <w:rPr>
          <w:rFonts w:ascii="Times New Roman" w:hAnsi="Times New Roman" w:cs="Times New Roman"/>
          <w:sz w:val="18"/>
        </w:rPr>
        <w:t xml:space="preserve"> </w:t>
      </w:r>
    </w:p>
    <w:p w:rsidR="00C82457" w:rsidRPr="009A7161" w:rsidRDefault="00C82457" w:rsidP="00C82457">
      <w:pPr>
        <w:spacing w:line="480" w:lineRule="auto"/>
        <w:jc w:val="both"/>
        <w:rPr>
          <w:rFonts w:ascii="Times New Roman" w:hAnsi="Times New Roman" w:cs="Times New Roman"/>
          <w:sz w:val="18"/>
        </w:rPr>
      </w:pPr>
    </w:p>
    <w:p w:rsidR="00C82457" w:rsidRPr="009A7161" w:rsidRDefault="00C82457" w:rsidP="00C82457">
      <w:pPr>
        <w:rPr>
          <w:rFonts w:ascii="Times New Roman" w:hAnsi="Times New Roman" w:cs="Times New Roman"/>
          <w:sz w:val="18"/>
        </w:rPr>
      </w:pPr>
      <w:r w:rsidRPr="009A7161">
        <w:rPr>
          <w:rFonts w:ascii="Times New Roman" w:hAnsi="Times New Roman" w:cs="Times New Roman"/>
          <w:sz w:val="18"/>
        </w:rPr>
        <w:br w:type="page"/>
      </w:r>
    </w:p>
    <w:p w:rsidR="00C82457" w:rsidRPr="009A7161" w:rsidRDefault="00C82457" w:rsidP="00C82457">
      <w:pPr>
        <w:jc w:val="both"/>
        <w:rPr>
          <w:rFonts w:ascii="Times New Roman" w:hAnsi="Times New Roman" w:cs="Times New Roman"/>
        </w:rPr>
      </w:pPr>
      <w:r w:rsidRPr="009A7161">
        <w:rPr>
          <w:rFonts w:ascii="Times New Roman" w:hAnsi="Times New Roman" w:cs="Times New Roman"/>
        </w:rPr>
        <w:lastRenderedPageBreak/>
        <w:t>Supplementary table C: Exploratory post-hoc analyses of the relation between MRI features of SVD (that showed significant between group differences) and frailty components</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3671"/>
        <w:gridCol w:w="3911"/>
        <w:gridCol w:w="4116"/>
      </w:tblGrid>
      <w:tr w:rsidR="00C82457" w:rsidRPr="009A7161" w:rsidTr="00C22609">
        <w:tc>
          <w:tcPr>
            <w:tcW w:w="561" w:type="pct"/>
            <w:tcBorders>
              <w:top w:val="single" w:sz="4" w:space="0" w:color="auto"/>
              <w:left w:val="single" w:sz="4" w:space="0" w:color="auto"/>
              <w:bottom w:val="single" w:sz="4" w:space="0" w:color="auto"/>
            </w:tcBorders>
            <w:shd w:val="clear" w:color="auto" w:fill="F2F2F2" w:themeFill="background1" w:themeFillShade="F2"/>
          </w:tcPr>
          <w:p w:rsidR="00C82457" w:rsidRPr="009A7161" w:rsidRDefault="00C82457" w:rsidP="00C22609">
            <w:pPr>
              <w:spacing w:line="480" w:lineRule="auto"/>
              <w:jc w:val="both"/>
              <w:rPr>
                <w:rFonts w:ascii="Times New Roman" w:hAnsi="Times New Roman" w:cs="Times New Roman"/>
                <w:b/>
                <w:sz w:val="18"/>
              </w:rPr>
            </w:pPr>
          </w:p>
        </w:tc>
        <w:tc>
          <w:tcPr>
            <w:tcW w:w="1393" w:type="pct"/>
            <w:tcBorders>
              <w:top w:val="single" w:sz="4" w:space="0" w:color="auto"/>
              <w:bottom w:val="single" w:sz="4" w:space="0" w:color="auto"/>
            </w:tcBorders>
            <w:shd w:val="clear" w:color="auto" w:fill="F2F2F2" w:themeFill="background1" w:themeFillShade="F2"/>
          </w:tcPr>
          <w:p w:rsidR="00C82457" w:rsidRPr="009A7161" w:rsidRDefault="00C82457" w:rsidP="00C22609">
            <w:pPr>
              <w:spacing w:line="480" w:lineRule="auto"/>
              <w:jc w:val="both"/>
              <w:rPr>
                <w:rFonts w:ascii="Times New Roman" w:hAnsi="Times New Roman" w:cs="Times New Roman"/>
                <w:b/>
                <w:sz w:val="18"/>
              </w:rPr>
            </w:pPr>
            <w:r w:rsidRPr="009A7161">
              <w:rPr>
                <w:rFonts w:ascii="Times New Roman" w:hAnsi="Times New Roman" w:cs="Times New Roman"/>
                <w:b/>
                <w:sz w:val="18"/>
              </w:rPr>
              <w:t xml:space="preserve">WMH volume </w:t>
            </w:r>
          </w:p>
        </w:tc>
        <w:tc>
          <w:tcPr>
            <w:tcW w:w="1484" w:type="pct"/>
            <w:tcBorders>
              <w:top w:val="single" w:sz="4" w:space="0" w:color="auto"/>
              <w:bottom w:val="single" w:sz="4" w:space="0" w:color="auto"/>
            </w:tcBorders>
            <w:shd w:val="clear" w:color="auto" w:fill="F2F2F2" w:themeFill="background1" w:themeFillShade="F2"/>
          </w:tcPr>
          <w:p w:rsidR="00C82457" w:rsidRPr="009A7161" w:rsidRDefault="00C82457" w:rsidP="00C22609">
            <w:pPr>
              <w:spacing w:line="480" w:lineRule="auto"/>
              <w:jc w:val="both"/>
              <w:rPr>
                <w:rFonts w:ascii="Times New Roman" w:hAnsi="Times New Roman" w:cs="Times New Roman"/>
                <w:b/>
                <w:sz w:val="18"/>
              </w:rPr>
            </w:pPr>
            <w:r w:rsidRPr="009A7161">
              <w:rPr>
                <w:rFonts w:ascii="Times New Roman" w:hAnsi="Times New Roman" w:cs="Times New Roman"/>
                <w:b/>
                <w:sz w:val="18"/>
              </w:rPr>
              <w:t xml:space="preserve">Concavity index </w:t>
            </w:r>
          </w:p>
        </w:tc>
        <w:tc>
          <w:tcPr>
            <w:tcW w:w="1562" w:type="pct"/>
            <w:tcBorders>
              <w:top w:val="single" w:sz="4" w:space="0" w:color="auto"/>
              <w:bottom w:val="single" w:sz="4" w:space="0" w:color="auto"/>
            </w:tcBorders>
            <w:shd w:val="clear" w:color="auto" w:fill="F2F2F2" w:themeFill="background1" w:themeFillShade="F2"/>
          </w:tcPr>
          <w:p w:rsidR="00C82457" w:rsidRPr="009A7161" w:rsidRDefault="00C82457" w:rsidP="00C22609">
            <w:pPr>
              <w:spacing w:line="480" w:lineRule="auto"/>
              <w:jc w:val="both"/>
              <w:rPr>
                <w:rFonts w:ascii="Times New Roman" w:hAnsi="Times New Roman" w:cs="Times New Roman"/>
                <w:b/>
                <w:sz w:val="18"/>
              </w:rPr>
            </w:pPr>
            <w:r w:rsidRPr="009A7161">
              <w:rPr>
                <w:rFonts w:ascii="Times New Roman" w:hAnsi="Times New Roman" w:cs="Times New Roman"/>
                <w:b/>
                <w:sz w:val="18"/>
              </w:rPr>
              <w:t xml:space="preserve">Fractal dimension  </w:t>
            </w:r>
          </w:p>
        </w:tc>
      </w:tr>
      <w:tr w:rsidR="00C82457" w:rsidRPr="009A7161" w:rsidTr="00C22609">
        <w:tc>
          <w:tcPr>
            <w:tcW w:w="561" w:type="pct"/>
            <w:tcBorders>
              <w:top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Weakness</w:t>
            </w:r>
          </w:p>
        </w:tc>
        <w:tc>
          <w:tcPr>
            <w:tcW w:w="1393" w:type="pct"/>
            <w:tcBorders>
              <w:top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0.07 (-0.35 , 0.50)</w:t>
            </w:r>
          </w:p>
        </w:tc>
        <w:tc>
          <w:tcPr>
            <w:tcW w:w="1484" w:type="pct"/>
            <w:tcBorders>
              <w:top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0.01 (-.02 , 0.05)</w:t>
            </w:r>
          </w:p>
        </w:tc>
        <w:tc>
          <w:tcPr>
            <w:tcW w:w="1562" w:type="pct"/>
            <w:tcBorders>
              <w:top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0.19 (-0.35 , 0.72)</w:t>
            </w:r>
          </w:p>
        </w:tc>
      </w:tr>
      <w:tr w:rsidR="00C82457" w:rsidRPr="009A7161" w:rsidTr="00C22609">
        <w:tc>
          <w:tcPr>
            <w:tcW w:w="561" w:type="pct"/>
          </w:tcPr>
          <w:p w:rsidR="00C82457" w:rsidRPr="009A7161" w:rsidRDefault="00C82457" w:rsidP="00C22609">
            <w:pPr>
              <w:spacing w:line="480" w:lineRule="auto"/>
              <w:jc w:val="both"/>
              <w:rPr>
                <w:rFonts w:ascii="Times New Roman" w:hAnsi="Times New Roman" w:cs="Times New Roman"/>
                <w:sz w:val="18"/>
              </w:rPr>
            </w:pPr>
            <w:proofErr w:type="spellStart"/>
            <w:r w:rsidRPr="009A7161">
              <w:rPr>
                <w:rFonts w:ascii="Times New Roman" w:hAnsi="Times New Roman" w:cs="Times New Roman"/>
                <w:sz w:val="18"/>
              </w:rPr>
              <w:t>Weightloss</w:t>
            </w:r>
            <w:proofErr w:type="spellEnd"/>
          </w:p>
        </w:tc>
        <w:tc>
          <w:tcPr>
            <w:tcW w:w="1393"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0.12 (-0.36 , 0.60)</w:t>
            </w:r>
          </w:p>
        </w:tc>
        <w:tc>
          <w:tcPr>
            <w:tcW w:w="1484"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0.01 (-0.04 , 0.05)</w:t>
            </w:r>
          </w:p>
        </w:tc>
        <w:tc>
          <w:tcPr>
            <w:tcW w:w="1562"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0.00 (-0.09 , 0.09)</w:t>
            </w:r>
          </w:p>
        </w:tc>
      </w:tr>
      <w:tr w:rsidR="00C82457" w:rsidRPr="009A7161" w:rsidTr="00C22609">
        <w:tc>
          <w:tcPr>
            <w:tcW w:w="561"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Slowness</w:t>
            </w:r>
          </w:p>
        </w:tc>
        <w:tc>
          <w:tcPr>
            <w:tcW w:w="1393"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0.65 (0.23 , 1.06)*</w:t>
            </w:r>
          </w:p>
        </w:tc>
        <w:tc>
          <w:tcPr>
            <w:tcW w:w="1484"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0.04 (-0.01 , 0.08)</w:t>
            </w:r>
          </w:p>
        </w:tc>
        <w:tc>
          <w:tcPr>
            <w:tcW w:w="1562"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0.12 (0.04 , 0.21)*</w:t>
            </w:r>
          </w:p>
        </w:tc>
      </w:tr>
      <w:tr w:rsidR="00C82457" w:rsidRPr="009A7161" w:rsidTr="00C22609">
        <w:tc>
          <w:tcPr>
            <w:tcW w:w="561"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Mobility</w:t>
            </w:r>
          </w:p>
        </w:tc>
        <w:tc>
          <w:tcPr>
            <w:tcW w:w="1393"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0.31 (-0.07 , 0.69)</w:t>
            </w:r>
          </w:p>
        </w:tc>
        <w:tc>
          <w:tcPr>
            <w:tcW w:w="1484"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0.02 (-0.02 , 0.06)</w:t>
            </w:r>
          </w:p>
        </w:tc>
        <w:tc>
          <w:tcPr>
            <w:tcW w:w="1562" w:type="pct"/>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0.04 (-0.03 , 0.12)</w:t>
            </w:r>
          </w:p>
        </w:tc>
      </w:tr>
      <w:tr w:rsidR="00C82457" w:rsidRPr="009A7161" w:rsidTr="00C22609">
        <w:tc>
          <w:tcPr>
            <w:tcW w:w="561" w:type="pct"/>
            <w:tcBorders>
              <w:bottom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Exhaustion</w:t>
            </w:r>
          </w:p>
        </w:tc>
        <w:tc>
          <w:tcPr>
            <w:tcW w:w="1393" w:type="pct"/>
            <w:tcBorders>
              <w:bottom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0.41 (0.00 , 0.82)*</w:t>
            </w:r>
            <w:r w:rsidR="006B1EDC">
              <w:rPr>
                <w:rFonts w:ascii="Times New Roman" w:hAnsi="Times New Roman" w:cs="Times New Roman"/>
                <w:sz w:val="18"/>
              </w:rPr>
              <w:t>*</w:t>
            </w:r>
          </w:p>
        </w:tc>
        <w:tc>
          <w:tcPr>
            <w:tcW w:w="1484" w:type="pct"/>
            <w:tcBorders>
              <w:bottom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0.03 (-0.01 , 0.07)</w:t>
            </w:r>
          </w:p>
        </w:tc>
        <w:tc>
          <w:tcPr>
            <w:tcW w:w="1562" w:type="pct"/>
            <w:tcBorders>
              <w:bottom w:val="single" w:sz="4" w:space="0" w:color="auto"/>
            </w:tcBorders>
          </w:tcPr>
          <w:p w:rsidR="00C82457" w:rsidRPr="009A7161" w:rsidRDefault="00C82457" w:rsidP="00C22609">
            <w:pPr>
              <w:spacing w:line="480" w:lineRule="auto"/>
              <w:jc w:val="both"/>
              <w:rPr>
                <w:rFonts w:ascii="Times New Roman" w:hAnsi="Times New Roman" w:cs="Times New Roman"/>
                <w:sz w:val="18"/>
              </w:rPr>
            </w:pPr>
            <w:r w:rsidRPr="009A7161">
              <w:rPr>
                <w:rFonts w:ascii="Times New Roman" w:hAnsi="Times New Roman" w:cs="Times New Roman"/>
                <w:sz w:val="18"/>
              </w:rPr>
              <w:t>0.06 (-0.02 , 0.14)</w:t>
            </w:r>
          </w:p>
        </w:tc>
      </w:tr>
    </w:tbl>
    <w:p w:rsidR="00C82457" w:rsidRPr="009A7161" w:rsidRDefault="00C82457" w:rsidP="00C82457">
      <w:pPr>
        <w:jc w:val="both"/>
        <w:rPr>
          <w:rFonts w:ascii="Times New Roman" w:hAnsi="Times New Roman" w:cs="Times New Roman"/>
          <w:sz w:val="18"/>
        </w:rPr>
      </w:pPr>
      <w:r w:rsidRPr="009A7161">
        <w:rPr>
          <w:rFonts w:ascii="Times New Roman" w:hAnsi="Times New Roman" w:cs="Times New Roman"/>
          <w:sz w:val="18"/>
        </w:rPr>
        <w:t xml:space="preserve">Exploratory post-hoc analyses of the relation between MRI features of SVD (that showed significant between group differences: total WMH volume and the concavity index and fractal dimension of confluent and periventricular WMH) and frailty components were performed by linear regression analyses corrected for age and gender. WMH volume was additionally corrected for ICV. Data are presented as Beta’s with 95% confidence intervals. WMH volumes were natural log transformed before performing regression analyses. *p </w:t>
      </w:r>
      <w:r w:rsidR="006B1EDC">
        <w:rPr>
          <w:rFonts w:ascii="Times New Roman" w:hAnsi="Times New Roman" w:cs="Times New Roman"/>
          <w:sz w:val="18"/>
        </w:rPr>
        <w:t>=</w:t>
      </w:r>
      <w:r w:rsidRPr="009A7161">
        <w:rPr>
          <w:rFonts w:ascii="Times New Roman" w:hAnsi="Times New Roman" w:cs="Times New Roman"/>
          <w:sz w:val="18"/>
        </w:rPr>
        <w:t>0.0</w:t>
      </w:r>
      <w:r w:rsidR="006B1EDC">
        <w:rPr>
          <w:rFonts w:ascii="Times New Roman" w:hAnsi="Times New Roman" w:cs="Times New Roman"/>
          <w:sz w:val="18"/>
        </w:rPr>
        <w:t>03</w:t>
      </w:r>
      <w:r w:rsidRPr="009A7161">
        <w:rPr>
          <w:rFonts w:ascii="Times New Roman" w:hAnsi="Times New Roman" w:cs="Times New Roman"/>
          <w:sz w:val="18"/>
        </w:rPr>
        <w:t>.</w:t>
      </w:r>
      <w:r w:rsidR="006B1EDC">
        <w:rPr>
          <w:rFonts w:ascii="Times New Roman" w:hAnsi="Times New Roman" w:cs="Times New Roman"/>
          <w:sz w:val="18"/>
        </w:rPr>
        <w:t xml:space="preserve"> ** p=0.048</w:t>
      </w:r>
    </w:p>
    <w:p w:rsidR="00C82457" w:rsidRPr="009A7161" w:rsidRDefault="00C82457" w:rsidP="00C82457">
      <w:pPr>
        <w:jc w:val="both"/>
        <w:rPr>
          <w:rFonts w:ascii="Times New Roman" w:hAnsi="Times New Roman" w:cs="Times New Roman"/>
        </w:rPr>
      </w:pPr>
    </w:p>
    <w:p w:rsidR="005029F5" w:rsidRDefault="005029F5">
      <w:pPr>
        <w:rPr>
          <w:rFonts w:ascii="Times New Roman" w:hAnsi="Times New Roman" w:cs="Times New Roman"/>
        </w:rPr>
      </w:pPr>
      <w:r>
        <w:rPr>
          <w:rFonts w:ascii="Times New Roman" w:hAnsi="Times New Roman" w:cs="Times New Roman"/>
        </w:rPr>
        <w:br w:type="page"/>
      </w:r>
    </w:p>
    <w:p w:rsidR="005029F5" w:rsidRDefault="005029F5">
      <w:pPr>
        <w:rPr>
          <w:rFonts w:ascii="Times New Roman" w:hAnsi="Times New Roman" w:cs="Times New Roman"/>
        </w:rPr>
      </w:pPr>
      <w:r>
        <w:rPr>
          <w:rFonts w:ascii="Times New Roman" w:hAnsi="Times New Roman" w:cs="Times New Roman"/>
          <w:noProof/>
          <w:lang w:val="nl-NL" w:eastAsia="nl-NL"/>
        </w:rPr>
        <w:lastRenderedPageBreak/>
        <w:drawing>
          <wp:inline distT="0" distB="0" distL="0" distR="0" wp14:anchorId="7065F963" wp14:editId="131D3212">
            <wp:extent cx="6899628" cy="5171846"/>
            <wp:effectExtent l="0" t="0" r="0" b="0"/>
            <wp:docPr id="2" name="Afbeelding 2" descr="H:\Biocog1\Frailty SVD ASL\Revisie na comments journal of gerontology series A\Presentati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iocog1\Frailty SVD ASL\Revisie na comments journal of gerontology series A\Presentatie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01929" cy="5173571"/>
                    </a:xfrm>
                    <a:prstGeom prst="rect">
                      <a:avLst/>
                    </a:prstGeom>
                    <a:noFill/>
                    <a:ln>
                      <a:noFill/>
                    </a:ln>
                  </pic:spPr>
                </pic:pic>
              </a:graphicData>
            </a:graphic>
          </wp:inline>
        </w:drawing>
      </w:r>
    </w:p>
    <w:p w:rsidR="00095CE6" w:rsidRPr="009A7161" w:rsidRDefault="005029F5">
      <w:pPr>
        <w:rPr>
          <w:rFonts w:ascii="Times New Roman" w:hAnsi="Times New Roman" w:cs="Times New Roman"/>
        </w:rPr>
      </w:pPr>
      <w:r>
        <w:rPr>
          <w:rFonts w:ascii="Times New Roman" w:hAnsi="Times New Roman" w:cs="Times New Roman"/>
        </w:rPr>
        <w:t>Supplementary figure 1: flowchart of the inclusion of participants</w:t>
      </w:r>
    </w:p>
    <w:sectPr w:rsidR="00095CE6" w:rsidRPr="009A7161" w:rsidSect="0011034A">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875DC"/>
    <w:multiLevelType w:val="multilevel"/>
    <w:tmpl w:val="ABEE4B7E"/>
    <w:lvl w:ilvl="0">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7575151"/>
    <w:multiLevelType w:val="multilevel"/>
    <w:tmpl w:val="80187EFA"/>
    <w:lvl w:ilvl="0">
      <w:start w:val="1"/>
      <w:numFmt w:val="decimal"/>
      <w:lvlText w:val="%1."/>
      <w:lvlJc w:val="left"/>
      <w:pPr>
        <w:ind w:left="720" w:hanging="360"/>
      </w:pPr>
    </w:lvl>
    <w:lvl w:ilvl="1">
      <w:start w:val="6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57"/>
    <w:rsid w:val="00095CE6"/>
    <w:rsid w:val="001864E6"/>
    <w:rsid w:val="00383969"/>
    <w:rsid w:val="00421F73"/>
    <w:rsid w:val="005029F5"/>
    <w:rsid w:val="0065608C"/>
    <w:rsid w:val="006B1EDC"/>
    <w:rsid w:val="00770F93"/>
    <w:rsid w:val="007D14EF"/>
    <w:rsid w:val="007D6B3B"/>
    <w:rsid w:val="009A7161"/>
    <w:rsid w:val="009C0C04"/>
    <w:rsid w:val="009C59EC"/>
    <w:rsid w:val="009C61FA"/>
    <w:rsid w:val="00A13CF3"/>
    <w:rsid w:val="00A56A31"/>
    <w:rsid w:val="00AA4C08"/>
    <w:rsid w:val="00B97064"/>
    <w:rsid w:val="00BD2C3A"/>
    <w:rsid w:val="00C82457"/>
    <w:rsid w:val="00EB3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2457"/>
    <w:rPr>
      <w:rFonts w:ascii="Segoe UI" w:hAnsi="Segoe UI"/>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457"/>
    <w:pPr>
      <w:ind w:left="720"/>
      <w:contextualSpacing/>
    </w:pPr>
  </w:style>
  <w:style w:type="character" w:styleId="Verwijzingopmerking">
    <w:name w:val="annotation reference"/>
    <w:basedOn w:val="Standaardalinea-lettertype"/>
    <w:uiPriority w:val="99"/>
    <w:semiHidden/>
    <w:unhideWhenUsed/>
    <w:rsid w:val="00C82457"/>
    <w:rPr>
      <w:sz w:val="16"/>
      <w:szCs w:val="16"/>
    </w:rPr>
  </w:style>
  <w:style w:type="table" w:styleId="Tabelraster">
    <w:name w:val="Table Grid"/>
    <w:basedOn w:val="Standaardtabel"/>
    <w:uiPriority w:val="59"/>
    <w:rsid w:val="00C8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C82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C824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2457"/>
    <w:rPr>
      <w:rFonts w:ascii="Tahoma" w:hAnsi="Tahoma" w:cs="Tahoma"/>
      <w:sz w:val="16"/>
      <w:szCs w:val="16"/>
      <w:lang w:val="en-US"/>
    </w:rPr>
  </w:style>
  <w:style w:type="character" w:styleId="Hyperlink">
    <w:name w:val="Hyperlink"/>
    <w:basedOn w:val="Standaardalinea-lettertype"/>
    <w:uiPriority w:val="99"/>
    <w:unhideWhenUsed/>
    <w:rsid w:val="00BD2C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2457"/>
    <w:rPr>
      <w:rFonts w:ascii="Segoe UI" w:hAnsi="Segoe UI"/>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457"/>
    <w:pPr>
      <w:ind w:left="720"/>
      <w:contextualSpacing/>
    </w:pPr>
  </w:style>
  <w:style w:type="character" w:styleId="Verwijzingopmerking">
    <w:name w:val="annotation reference"/>
    <w:basedOn w:val="Standaardalinea-lettertype"/>
    <w:uiPriority w:val="99"/>
    <w:semiHidden/>
    <w:unhideWhenUsed/>
    <w:rsid w:val="00C82457"/>
    <w:rPr>
      <w:sz w:val="16"/>
      <w:szCs w:val="16"/>
    </w:rPr>
  </w:style>
  <w:style w:type="table" w:styleId="Tabelraster">
    <w:name w:val="Table Grid"/>
    <w:basedOn w:val="Standaardtabel"/>
    <w:uiPriority w:val="59"/>
    <w:rsid w:val="00C8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C82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C824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2457"/>
    <w:rPr>
      <w:rFonts w:ascii="Tahoma" w:hAnsi="Tahoma" w:cs="Tahoma"/>
      <w:sz w:val="16"/>
      <w:szCs w:val="16"/>
      <w:lang w:val="en-US"/>
    </w:rPr>
  </w:style>
  <w:style w:type="character" w:styleId="Hyperlink">
    <w:name w:val="Hyperlink"/>
    <w:basedOn w:val="Standaardalinea-lettertype"/>
    <w:uiPriority w:val="99"/>
    <w:unhideWhenUsed/>
    <w:rsid w:val="00BD2C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t.vanmontfort-2@umcutrecht.nl" TargetMode="External"/><Relationship Id="rId13" Type="http://schemas.openxmlformats.org/officeDocument/2006/relationships/hyperlink" Target="mailto:j.h.j.m.de_bresser@lumc.nl"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i.kant-2@umcutrecht.nl" TargetMode="External"/><Relationship Id="rId12" Type="http://schemas.openxmlformats.org/officeDocument/2006/relationships/hyperlink" Target="mailto:j.hendrikse@umcutrecht.nl" TargetMode="External"/><Relationship Id="rId17" Type="http://schemas.openxmlformats.org/officeDocument/2006/relationships/hyperlink" Target="mailto:i.kant-2@umcutrecht.nl" TargetMode="External"/><Relationship Id="rId2" Type="http://schemas.openxmlformats.org/officeDocument/2006/relationships/numbering" Target="numbering.xml"/><Relationship Id="rId16" Type="http://schemas.openxmlformats.org/officeDocument/2006/relationships/hyperlink" Target="mailto:Claudia.spies@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nkjanmutsaerts@gmail.com" TargetMode="External"/><Relationship Id="rId5" Type="http://schemas.openxmlformats.org/officeDocument/2006/relationships/settings" Target="settings.xml"/><Relationship Id="rId15" Type="http://schemas.openxmlformats.org/officeDocument/2006/relationships/hyperlink" Target="mailto:georg.winterer@charite.de"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looter-3@umcutrecht.nl" TargetMode="External"/><Relationship Id="rId14" Type="http://schemas.openxmlformats.org/officeDocument/2006/relationships/hyperlink" Target="mailto:m.g.jaarsma@lumc.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6EB9-9F86-4CA4-BC67-1410832C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DD68D1AD</Template>
  <TotalTime>4</TotalTime>
  <Pages>6</Pages>
  <Words>1188</Words>
  <Characters>6535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Kant-2, I.M.J.</dc:creator>
  <cp:lastModifiedBy>Kant-2, I.M.J.</cp:lastModifiedBy>
  <cp:revision>5</cp:revision>
  <dcterms:created xsi:type="dcterms:W3CDTF">2019-03-18T15:23:00Z</dcterms:created>
  <dcterms:modified xsi:type="dcterms:W3CDTF">2019-07-17T10:43:00Z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http://www.zotero.org/styles/neurobiology-of-aging</vt:lpwstr>
  </property>
  <property fmtid="{D5CDD505-2E9C-101B-9397-08002B2CF9AE}" pid="19" name="Mendeley Recent Style Name 8_1">
    <vt:lpwstr>Neurobiology of Aging</vt:lpwstr>
  </property>
  <property fmtid="{D5CDD505-2E9C-101B-9397-08002B2CF9AE}" pid="20" name="Mendeley Recent Style Id 9_1">
    <vt:lpwstr>http://www.zotero.org/styles/sage-vancouver</vt:lpwstr>
  </property>
  <property fmtid="{D5CDD505-2E9C-101B-9397-08002B2CF9AE}" pid="21" name="Mendeley Recent Style Name 9_1">
    <vt:lpwstr>SAGE - Vancouver</vt:lpwstr>
  </property>
  <property fmtid="{D5CDD505-2E9C-101B-9397-08002B2CF9AE}" pid="22" name="Mendeley Document_1">
    <vt:lpwstr>True</vt:lpwstr>
  </property>
  <property fmtid="{D5CDD505-2E9C-101B-9397-08002B2CF9AE}" pid="23" name="Mendeley Unique User Id_1">
    <vt:lpwstr>a5e23504-358c-31e1-b3b5-bf23e81e43d8</vt:lpwstr>
  </property>
  <property fmtid="{D5CDD505-2E9C-101B-9397-08002B2CF9AE}" pid="24" name="Mendeley Citation Style_1">
    <vt:lpwstr>http://www.zotero.org/styles/sage-vancouver</vt:lpwstr>
  </property>
</Properties>
</file>