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329DE" w:rsidRDefault="00F76B52" w:rsidP="003329DE">
      <w:pPr>
        <w:pStyle w:val="KeinLeerraum"/>
        <w:spacing w:line="480" w:lineRule="auto"/>
        <w:jc w:val="both"/>
        <w:rPr>
          <w:rFonts w:ascii="Arial" w:hAnsi="Arial" w:cs="Arial"/>
          <w:b/>
          <w:lang w:val="en-US"/>
        </w:rPr>
      </w:pPr>
      <w:r>
        <w:rPr>
          <w:rFonts w:ascii="Arial" w:hAnsi="Arial" w:cs="Arial"/>
          <w:b/>
          <w:lang w:val="en-US"/>
        </w:rPr>
        <w:t>Supplementa</w:t>
      </w:r>
      <w:r w:rsidR="00CB65F9">
        <w:rPr>
          <w:rFonts w:ascii="Arial" w:hAnsi="Arial" w:cs="Arial"/>
          <w:b/>
          <w:lang w:val="en-US"/>
        </w:rPr>
        <w:t>ry Data</w:t>
      </w:r>
    </w:p>
    <w:p w:rsidR="00316C86" w:rsidRDefault="00316C86" w:rsidP="003329DE">
      <w:pPr>
        <w:pStyle w:val="KeinLeerraum"/>
        <w:spacing w:line="480" w:lineRule="auto"/>
        <w:jc w:val="both"/>
        <w:rPr>
          <w:rFonts w:ascii="Arial" w:hAnsi="Arial" w:cs="Arial"/>
          <w:b/>
          <w:lang w:val="en-US"/>
        </w:rPr>
      </w:pPr>
    </w:p>
    <w:p w:rsidR="00CB65F9" w:rsidRDefault="00CB65F9" w:rsidP="00CB65F9">
      <w:pPr>
        <w:pStyle w:val="KeinLeerraum"/>
        <w:spacing w:line="480" w:lineRule="auto"/>
        <w:jc w:val="both"/>
        <w:rPr>
          <w:rFonts w:ascii="Arial" w:hAnsi="Arial" w:cs="Arial"/>
          <w:b/>
          <w:lang w:val="en-US"/>
        </w:rPr>
      </w:pPr>
      <w:r>
        <w:rPr>
          <w:rFonts w:ascii="Arial" w:hAnsi="Arial" w:cs="Arial"/>
          <w:b/>
          <w:lang w:val="en-US"/>
        </w:rPr>
        <w:t>Supplementary Methods</w:t>
      </w:r>
    </w:p>
    <w:p w:rsidR="00877AB3" w:rsidRDefault="00877AB3" w:rsidP="00877AB3">
      <w:pPr>
        <w:spacing w:after="0" w:line="480" w:lineRule="auto"/>
        <w:jc w:val="both"/>
        <w:rPr>
          <w:rFonts w:ascii="Arial" w:eastAsia="Times New Roman" w:hAnsi="Arial" w:cs="Arial"/>
          <w:b/>
          <w:lang w:val="en-US" w:eastAsia="de-DE"/>
        </w:rPr>
      </w:pPr>
    </w:p>
    <w:p w:rsidR="00CB65F9" w:rsidRPr="00A86D99" w:rsidRDefault="00CB65F9" w:rsidP="00CB65F9">
      <w:pPr>
        <w:spacing w:after="0" w:line="480" w:lineRule="auto"/>
        <w:jc w:val="both"/>
        <w:rPr>
          <w:rFonts w:ascii="Arial" w:eastAsia="Times New Roman" w:hAnsi="Arial" w:cs="Arial"/>
          <w:b/>
          <w:lang w:val="en-US" w:eastAsia="de-DE"/>
        </w:rPr>
      </w:pPr>
      <w:r w:rsidRPr="00A86D99">
        <w:rPr>
          <w:rFonts w:ascii="Arial" w:eastAsia="Times New Roman" w:hAnsi="Arial" w:cs="Arial"/>
          <w:b/>
          <w:i/>
          <w:lang w:val="en-US" w:eastAsia="de-DE"/>
        </w:rPr>
        <w:t>In vivo</w:t>
      </w:r>
      <w:r w:rsidRPr="00A86D99">
        <w:rPr>
          <w:rFonts w:ascii="Arial" w:eastAsia="Times New Roman" w:hAnsi="Arial" w:cs="Arial"/>
          <w:b/>
          <w:lang w:val="en-US" w:eastAsia="de-DE"/>
        </w:rPr>
        <w:t xml:space="preserve"> pulsed stable isotope resolved metabolomics</w:t>
      </w:r>
    </w:p>
    <w:p w:rsidR="00CB65F9" w:rsidRPr="00A86D99" w:rsidRDefault="00CB65F9" w:rsidP="00CB65F9">
      <w:pPr>
        <w:spacing w:after="0" w:line="480" w:lineRule="auto"/>
        <w:jc w:val="both"/>
        <w:rPr>
          <w:rFonts w:ascii="Arial" w:eastAsia="Times New Roman" w:hAnsi="Arial" w:cs="Arial"/>
          <w:lang w:val="en-US" w:eastAsia="de-DE"/>
        </w:rPr>
      </w:pPr>
      <w:r w:rsidRPr="00A86D99">
        <w:rPr>
          <w:rFonts w:ascii="Arial" w:eastAsia="Times New Roman" w:hAnsi="Arial" w:cs="Arial"/>
          <w:lang w:val="en-US" w:eastAsia="de-DE"/>
        </w:rPr>
        <w:t xml:space="preserve">Frozen liver tissue was grounded using mortar and pestle and the powdered tissue was directly resolved in pre-cooled extraction buffer (-20°C, chloroform/methanol/water (2:5:1 </w:t>
      </w:r>
      <w:proofErr w:type="spellStart"/>
      <w:r w:rsidRPr="00A86D99">
        <w:rPr>
          <w:rFonts w:ascii="Arial" w:eastAsia="Times New Roman" w:hAnsi="Arial" w:cs="Arial"/>
          <w:lang w:val="en-US" w:eastAsia="de-DE"/>
        </w:rPr>
        <w:t>vol</w:t>
      </w:r>
      <w:proofErr w:type="spellEnd"/>
      <w:r w:rsidRPr="00A86D99">
        <w:rPr>
          <w:rFonts w:ascii="Arial" w:eastAsia="Times New Roman" w:hAnsi="Arial" w:cs="Arial"/>
          <w:lang w:val="en-US" w:eastAsia="de-DE"/>
        </w:rPr>
        <w:t>/</w:t>
      </w:r>
      <w:proofErr w:type="spellStart"/>
      <w:r w:rsidRPr="00A86D99">
        <w:rPr>
          <w:rFonts w:ascii="Arial" w:eastAsia="Times New Roman" w:hAnsi="Arial" w:cs="Arial"/>
          <w:lang w:val="en-US" w:eastAsia="de-DE"/>
        </w:rPr>
        <w:t>vol</w:t>
      </w:r>
      <w:proofErr w:type="spellEnd"/>
      <w:r w:rsidRPr="00A86D99">
        <w:rPr>
          <w:rFonts w:ascii="Arial" w:eastAsia="Times New Roman" w:hAnsi="Arial" w:cs="Arial"/>
          <w:lang w:val="en-US" w:eastAsia="de-DE"/>
        </w:rPr>
        <w:t>/</w:t>
      </w:r>
      <w:proofErr w:type="spellStart"/>
      <w:r w:rsidRPr="00A86D99">
        <w:rPr>
          <w:rFonts w:ascii="Arial" w:eastAsia="Times New Roman" w:hAnsi="Arial" w:cs="Arial"/>
          <w:lang w:val="en-US" w:eastAsia="de-DE"/>
        </w:rPr>
        <w:t>vol</w:t>
      </w:r>
      <w:proofErr w:type="spellEnd"/>
      <w:r w:rsidRPr="00A86D99">
        <w:rPr>
          <w:rFonts w:ascii="Arial" w:eastAsia="Times New Roman" w:hAnsi="Arial" w:cs="Arial"/>
          <w:lang w:val="en-US" w:eastAsia="de-DE"/>
        </w:rPr>
        <w:t xml:space="preserve">). 50 mg tissue were resolved in 1 ml extraction buffer including the internal standard </w:t>
      </w:r>
      <w:proofErr w:type="spellStart"/>
      <w:r w:rsidRPr="00A86D99">
        <w:rPr>
          <w:rFonts w:ascii="Arial" w:eastAsia="Times New Roman" w:hAnsi="Arial" w:cs="Arial"/>
          <w:lang w:val="en-US" w:eastAsia="de-DE"/>
        </w:rPr>
        <w:t>cinnamic</w:t>
      </w:r>
      <w:proofErr w:type="spellEnd"/>
      <w:r w:rsidRPr="00A86D99">
        <w:rPr>
          <w:rFonts w:ascii="Arial" w:eastAsia="Times New Roman" w:hAnsi="Arial" w:cs="Arial"/>
          <w:lang w:val="en-US" w:eastAsia="de-DE"/>
        </w:rPr>
        <w:t xml:space="preserve"> acid (Sigma-Aldrich) 2 µg/ml. Samples were shaken for 1 hour at 4°C, subsequently 500 µl water were added, samples shaken for 30 minutes at 4°C, centrifuged for 10 minutes at 10,000</w:t>
      </w:r>
      <w:r w:rsidR="00CE544F" w:rsidRPr="00A86D99">
        <w:rPr>
          <w:rFonts w:ascii="Arial" w:eastAsia="Times New Roman" w:hAnsi="Arial" w:cs="Arial"/>
          <w:lang w:val="en-US" w:eastAsia="de-DE"/>
        </w:rPr>
        <w:t xml:space="preserve"> </w:t>
      </w:r>
      <w:r w:rsidRPr="00A86D99">
        <w:rPr>
          <w:rFonts w:ascii="Arial" w:eastAsia="Times New Roman" w:hAnsi="Arial" w:cs="Arial"/>
          <w:lang w:val="en-US" w:eastAsia="de-DE"/>
        </w:rPr>
        <w:t>g and polar and lipid phase collected and dried overnight in a speed vac.</w:t>
      </w:r>
    </w:p>
    <w:p w:rsidR="00CB65F9" w:rsidRPr="00A86D99" w:rsidRDefault="00CB65F9" w:rsidP="00CB65F9">
      <w:pPr>
        <w:spacing w:after="0" w:line="480" w:lineRule="auto"/>
        <w:jc w:val="both"/>
        <w:rPr>
          <w:rFonts w:ascii="Arial" w:eastAsia="Times New Roman" w:hAnsi="Arial" w:cs="Arial"/>
          <w:lang w:val="en-US" w:eastAsia="de-DE"/>
        </w:rPr>
      </w:pPr>
    </w:p>
    <w:p w:rsidR="00CB65F9" w:rsidRPr="00A86D99" w:rsidRDefault="00CB65F9" w:rsidP="00CB65F9">
      <w:pPr>
        <w:spacing w:after="0" w:line="480" w:lineRule="auto"/>
        <w:jc w:val="both"/>
        <w:rPr>
          <w:rFonts w:ascii="Arial" w:eastAsia="Times New Roman" w:hAnsi="Arial" w:cs="Arial"/>
          <w:b/>
          <w:lang w:val="en-US" w:eastAsia="de-DE"/>
        </w:rPr>
      </w:pPr>
      <w:r w:rsidRPr="00A86D99">
        <w:rPr>
          <w:rFonts w:ascii="Arial" w:eastAsia="Times New Roman" w:hAnsi="Arial" w:cs="Arial"/>
          <w:b/>
          <w:lang w:val="en-US" w:eastAsia="de-DE"/>
        </w:rPr>
        <w:t>Metabolomics measurements and data analysis</w:t>
      </w:r>
    </w:p>
    <w:p w:rsidR="00CB65F9" w:rsidRPr="00A86D99" w:rsidRDefault="00CB65F9" w:rsidP="0070090A">
      <w:pPr>
        <w:spacing w:after="0" w:line="480" w:lineRule="auto"/>
        <w:jc w:val="both"/>
        <w:rPr>
          <w:rFonts w:ascii="Arial" w:eastAsia="Times New Roman" w:hAnsi="Arial" w:cs="Arial"/>
          <w:lang w:val="en-US" w:eastAsia="de-DE"/>
        </w:rPr>
      </w:pPr>
      <w:r w:rsidRPr="00A86D99">
        <w:rPr>
          <w:rFonts w:ascii="Arial" w:eastAsia="Times New Roman" w:hAnsi="Arial" w:cs="Arial"/>
          <w:lang w:val="en-US" w:eastAsia="de-DE"/>
        </w:rPr>
        <w:t>Dried polar extracts were resolved in 20 µl pyridine including 40 mg/ml Methoxamine hydrochloride (Sigma-Aldrich) and shaken for 1 hour at 30°C. Subsequently, 80 µl Methyl-N-(</w:t>
      </w:r>
      <w:proofErr w:type="spellStart"/>
      <w:r w:rsidRPr="00A86D99">
        <w:rPr>
          <w:rFonts w:ascii="Arial" w:eastAsia="Times New Roman" w:hAnsi="Arial" w:cs="Arial"/>
          <w:lang w:val="en-US" w:eastAsia="de-DE"/>
        </w:rPr>
        <w:t>trimethylsilyl</w:t>
      </w:r>
      <w:proofErr w:type="spellEnd"/>
      <w:r w:rsidRPr="00A86D99">
        <w:rPr>
          <w:rFonts w:ascii="Arial" w:eastAsia="Times New Roman" w:hAnsi="Arial" w:cs="Arial"/>
          <w:lang w:val="en-US" w:eastAsia="de-DE"/>
        </w:rPr>
        <w:t xml:space="preserve">) trifluoroacetamide (MSTFA, </w:t>
      </w:r>
      <w:proofErr w:type="spellStart"/>
      <w:r w:rsidRPr="00A86D99">
        <w:rPr>
          <w:rFonts w:ascii="Arial" w:eastAsia="Times New Roman" w:hAnsi="Arial" w:cs="Arial"/>
          <w:lang w:val="en-US" w:eastAsia="de-DE"/>
        </w:rPr>
        <w:t>Fluka</w:t>
      </w:r>
      <w:proofErr w:type="spellEnd"/>
      <w:r w:rsidRPr="00A86D99">
        <w:rPr>
          <w:rFonts w:ascii="Arial" w:eastAsia="Times New Roman" w:hAnsi="Arial" w:cs="Arial"/>
          <w:lang w:val="en-US" w:eastAsia="de-DE"/>
        </w:rPr>
        <w:t>) was added and samples were shaken for 90 min at 37°C. Samples were centrifuged (10 min at 10,000</w:t>
      </w:r>
      <w:r w:rsidR="00E34097" w:rsidRPr="00A86D99">
        <w:rPr>
          <w:rFonts w:ascii="Arial" w:eastAsia="Times New Roman" w:hAnsi="Arial" w:cs="Arial"/>
          <w:lang w:val="en-US" w:eastAsia="de-DE"/>
        </w:rPr>
        <w:t xml:space="preserve"> </w:t>
      </w:r>
      <w:r w:rsidRPr="00A86D99">
        <w:rPr>
          <w:rFonts w:ascii="Arial" w:eastAsia="Times New Roman" w:hAnsi="Arial" w:cs="Arial"/>
          <w:lang w:val="en-US" w:eastAsia="de-DE"/>
        </w:rPr>
        <w:t>g) and transferred into glass vials (</w:t>
      </w:r>
      <w:proofErr w:type="spellStart"/>
      <w:r w:rsidRPr="00A86D99">
        <w:rPr>
          <w:rFonts w:ascii="Arial" w:eastAsia="Times New Roman" w:hAnsi="Arial" w:cs="Arial"/>
          <w:lang w:val="en-US" w:eastAsia="de-DE"/>
        </w:rPr>
        <w:t>Chromacol</w:t>
      </w:r>
      <w:proofErr w:type="spellEnd"/>
      <w:r w:rsidRPr="00A86D99">
        <w:rPr>
          <w:rFonts w:ascii="Arial" w:eastAsia="Times New Roman" w:hAnsi="Arial" w:cs="Arial"/>
          <w:lang w:val="en-US" w:eastAsia="de-DE"/>
        </w:rPr>
        <w:t xml:space="preserve">). 1 µl of the samples was injected into an Agilent gas chromatograph 6890 equipped with a temperature controlled injection system (ALEX, </w:t>
      </w:r>
      <w:proofErr w:type="spellStart"/>
      <w:r w:rsidRPr="00A86D99">
        <w:rPr>
          <w:rFonts w:ascii="Arial" w:eastAsia="Times New Roman" w:hAnsi="Arial" w:cs="Arial"/>
          <w:lang w:val="en-US" w:eastAsia="de-DE"/>
        </w:rPr>
        <w:t>Gerstel</w:t>
      </w:r>
      <w:proofErr w:type="spellEnd"/>
      <w:r w:rsidRPr="00A86D99">
        <w:rPr>
          <w:rFonts w:ascii="Arial" w:eastAsia="Times New Roman" w:hAnsi="Arial" w:cs="Arial"/>
          <w:lang w:val="en-US" w:eastAsia="de-DE"/>
        </w:rPr>
        <w:t>). Data were acquired using a GC-</w:t>
      </w:r>
      <w:proofErr w:type="spellStart"/>
      <w:r w:rsidRPr="00A86D99">
        <w:rPr>
          <w:rFonts w:ascii="Arial" w:eastAsia="Times New Roman" w:hAnsi="Arial" w:cs="Arial"/>
          <w:lang w:val="en-US" w:eastAsia="de-DE"/>
        </w:rPr>
        <w:t>ToF</w:t>
      </w:r>
      <w:proofErr w:type="spellEnd"/>
      <w:r w:rsidRPr="00A86D99">
        <w:rPr>
          <w:rFonts w:ascii="Arial" w:eastAsia="Times New Roman" w:hAnsi="Arial" w:cs="Arial"/>
          <w:lang w:val="en-US" w:eastAsia="de-DE"/>
        </w:rPr>
        <w:t xml:space="preserve">-MS (Pegasus III, </w:t>
      </w:r>
      <w:proofErr w:type="spellStart"/>
      <w:r w:rsidRPr="00A86D99">
        <w:rPr>
          <w:rFonts w:ascii="Arial" w:eastAsia="Times New Roman" w:hAnsi="Arial" w:cs="Arial"/>
          <w:lang w:val="en-US" w:eastAsia="de-DE"/>
        </w:rPr>
        <w:t>Leco</w:t>
      </w:r>
      <w:proofErr w:type="spellEnd"/>
      <w:r w:rsidRPr="00A86D99">
        <w:rPr>
          <w:rFonts w:ascii="Arial" w:eastAsia="Times New Roman" w:hAnsi="Arial" w:cs="Arial"/>
          <w:lang w:val="en-US" w:eastAsia="de-DE"/>
        </w:rPr>
        <w:t xml:space="preserve">), processed using the vendor software </w:t>
      </w:r>
      <w:proofErr w:type="spellStart"/>
      <w:r w:rsidRPr="00A86D99">
        <w:rPr>
          <w:rFonts w:ascii="Arial" w:eastAsia="Times New Roman" w:hAnsi="Arial" w:cs="Arial"/>
          <w:lang w:val="en-US" w:eastAsia="de-DE"/>
        </w:rPr>
        <w:t>Chromatof</w:t>
      </w:r>
      <w:proofErr w:type="spellEnd"/>
      <w:r w:rsidRPr="00A86D99">
        <w:rPr>
          <w:rFonts w:ascii="Arial" w:eastAsia="Times New Roman" w:hAnsi="Arial" w:cs="Arial"/>
          <w:lang w:val="en-US" w:eastAsia="de-DE"/>
        </w:rPr>
        <w:t xml:space="preserve"> (</w:t>
      </w:r>
      <w:proofErr w:type="spellStart"/>
      <w:r w:rsidRPr="00A86D99">
        <w:rPr>
          <w:rFonts w:ascii="Arial" w:eastAsia="Times New Roman" w:hAnsi="Arial" w:cs="Arial"/>
          <w:lang w:val="en-US" w:eastAsia="de-DE"/>
        </w:rPr>
        <w:t>Leco</w:t>
      </w:r>
      <w:proofErr w:type="spellEnd"/>
      <w:r w:rsidRPr="00A86D99">
        <w:rPr>
          <w:rFonts w:ascii="Arial" w:eastAsia="Times New Roman" w:hAnsi="Arial" w:cs="Arial"/>
          <w:lang w:val="en-US" w:eastAsia="de-DE"/>
        </w:rPr>
        <w:t xml:space="preserve">) and analyzed using the </w:t>
      </w:r>
      <w:proofErr w:type="spellStart"/>
      <w:r w:rsidRPr="00A86D99">
        <w:rPr>
          <w:rFonts w:ascii="Arial" w:eastAsia="Times New Roman" w:hAnsi="Arial" w:cs="Arial"/>
          <w:lang w:val="en-US" w:eastAsia="de-DE"/>
        </w:rPr>
        <w:t>MetMax</w:t>
      </w:r>
      <w:proofErr w:type="spellEnd"/>
      <w:r w:rsidRPr="00A86D99">
        <w:rPr>
          <w:rFonts w:ascii="Arial" w:eastAsia="Times New Roman" w:hAnsi="Arial" w:cs="Arial"/>
          <w:lang w:val="en-US" w:eastAsia="de-DE"/>
        </w:rPr>
        <w:t xml:space="preserve"> software</w:t>
      </w:r>
      <w:r w:rsidR="00282D5A" w:rsidRPr="00A86D99">
        <w:rPr>
          <w:rFonts w:ascii="Arial" w:eastAsia="Times New Roman" w:hAnsi="Arial" w:cs="Arial"/>
          <w:lang w:val="en-US" w:eastAsia="de-DE"/>
        </w:rPr>
        <w:t xml:space="preserve"> </w:t>
      </w:r>
      <w:hyperlink w:anchor="_ENREF_1" w:tooltip="Kempa, 2009 #77" w:history="1">
        <w:r w:rsidR="00302BB3" w:rsidRPr="00A86D99">
          <w:rPr>
            <w:rFonts w:ascii="Arial" w:eastAsia="Times New Roman" w:hAnsi="Arial" w:cs="Arial"/>
            <w:lang w:val="en-US" w:eastAsia="de-DE"/>
          </w:rPr>
          <w:fldChar w:fldCharType="begin"/>
        </w:r>
        <w:r w:rsidR="00302BB3">
          <w:rPr>
            <w:rFonts w:ascii="Arial" w:eastAsia="Times New Roman" w:hAnsi="Arial" w:cs="Arial"/>
            <w:lang w:val="en-US" w:eastAsia="de-DE"/>
          </w:rPr>
          <w:instrText xml:space="preserve"> ADDIN EN.CITE &lt;EndNote&gt;&lt;Cite&gt;&lt;Author&gt;Kempa&lt;/Author&gt;&lt;Year&gt;2009&lt;/Year&gt;&lt;RecNum&gt;77&lt;/RecNum&gt;&lt;DisplayText&gt;&lt;style face="superscript"&gt;1&lt;/style&gt;&lt;/DisplayText&gt;&lt;record&gt;&lt;rec-number&gt;77&lt;/rec-number&gt;&lt;foreign-keys&gt;&lt;key app="EN" db-id="ae0wezxsmz5dvoexer4xaazrr2wtz59fafs5" timestamp="1544621412"&gt;77&lt;/key&gt;&lt;/foreign-keys&gt;&lt;ref-type name="Journal Article"&gt;17&lt;/ref-type&gt;&lt;contributors&gt;&lt;authors&gt;&lt;author&gt;Kempa, S.&lt;/author&gt;&lt;author&gt;Hummel, J.&lt;/author&gt;&lt;author&gt;Schwemmer, T.&lt;/author&gt;&lt;author&gt;Pietzke, M.&lt;/author&gt;&lt;author&gt;Strehmel, N.&lt;/author&gt;&lt;author&gt;Wienkoop, S.&lt;/author&gt;&lt;author&gt;Kopka, J.&lt;/author&gt;&lt;author&gt;Weckwerth, W.&lt;/author&gt;&lt;/authors&gt;&lt;/contributors&gt;&lt;auth-address&gt;GoFORSYS, University of Potsdam, Germany.&lt;/auth-address&gt;&lt;titles&gt;&lt;title&gt;An automated GCxGC-TOF-MS protocol for batch-wise extraction and alignment of mass isotopomer matrixes from differential 13C-labelling experiments: a case study for photoautotrophic-mixotrophic grown Chlamydomonas reinhardtii cells&lt;/title&gt;&lt;secondary-title&gt;J Basic Microbiol&lt;/secondary-title&gt;&lt;alt-title&gt;Journal of basic microbiology&lt;/alt-title&gt;&lt;/titles&gt;&lt;periodical&gt;&lt;full-title&gt;J Basic Microbiol&lt;/full-title&gt;&lt;abbr-1&gt;Journal of basic microbiology&lt;/abbr-1&gt;&lt;/periodical&gt;&lt;alt-periodical&gt;&lt;full-title&gt;J Basic Microbiol&lt;/full-title&gt;&lt;abbr-1&gt;Journal of basic microbiology&lt;/abbr-1&gt;&lt;/alt-periodical&gt;&lt;pages&gt;82-91&lt;/pages&gt;&lt;volume&gt;49&lt;/volume&gt;&lt;number&gt;1&lt;/number&gt;&lt;edition&gt;2009/02/12&lt;/edition&gt;&lt;keywords&gt;&lt;keyword&gt;Algorithms&lt;/keyword&gt;&lt;keyword&gt;Animals&lt;/keyword&gt;&lt;keyword&gt;Carbon Isotopes&lt;/keyword&gt;&lt;keyword&gt;Chlamydomonas reinhardtii/*metabolism&lt;/keyword&gt;&lt;keyword&gt;Culture Media&lt;/keyword&gt;&lt;keyword&gt;Gas Chromatography-Mass Spectrometry/*methods&lt;/keyword&gt;&lt;/keywords&gt;&lt;dates&gt;&lt;year&gt;2009&lt;/year&gt;&lt;pub-dates&gt;&lt;date&gt;Feb&lt;/date&gt;&lt;/pub-dates&gt;&lt;/dates&gt;&lt;isbn&gt;0233-111x&lt;/isbn&gt;&lt;accession-num&gt;19206143&lt;/accession-num&gt;&lt;urls&gt;&lt;/urls&gt;&lt;electronic-resource-num&gt;10.1002/jobm.200800337&lt;/electronic-resource-num&gt;&lt;remote-database-provider&gt;NLM&lt;/remote-database-provider&gt;&lt;language&gt;eng&lt;/language&gt;&lt;/record&gt;&lt;/Cite&gt;&lt;/EndNote&gt;</w:instrText>
        </w:r>
        <w:r w:rsidR="00302BB3" w:rsidRPr="00A86D99">
          <w:rPr>
            <w:rFonts w:ascii="Arial" w:eastAsia="Times New Roman" w:hAnsi="Arial" w:cs="Arial"/>
            <w:lang w:val="en-US" w:eastAsia="de-DE"/>
          </w:rPr>
          <w:fldChar w:fldCharType="separate"/>
        </w:r>
        <w:r w:rsidR="00302BB3" w:rsidRPr="00302BB3">
          <w:rPr>
            <w:rFonts w:ascii="Arial" w:eastAsia="Times New Roman" w:hAnsi="Arial" w:cs="Arial"/>
            <w:noProof/>
            <w:vertAlign w:val="superscript"/>
            <w:lang w:val="en-US" w:eastAsia="de-DE"/>
          </w:rPr>
          <w:t>1</w:t>
        </w:r>
        <w:r w:rsidR="00302BB3" w:rsidRPr="00A86D99">
          <w:rPr>
            <w:rFonts w:ascii="Arial" w:eastAsia="Times New Roman" w:hAnsi="Arial" w:cs="Arial"/>
            <w:lang w:val="en-US" w:eastAsia="de-DE"/>
          </w:rPr>
          <w:fldChar w:fldCharType="end"/>
        </w:r>
      </w:hyperlink>
      <w:r w:rsidRPr="00A86D99">
        <w:rPr>
          <w:rFonts w:ascii="Arial" w:eastAsia="Times New Roman" w:hAnsi="Arial" w:cs="Arial"/>
          <w:lang w:val="en-US" w:eastAsia="de-DE"/>
        </w:rPr>
        <w:t xml:space="preserve">. Identification of metabolites was performed using pure chemicals (Sigma-Aldrich), quantification of metabolites and calculation of isotope incorporation were performed as described </w:t>
      </w:r>
      <w:hyperlink w:anchor="_ENREF_2" w:tooltip="Pietzke, 2014 #26" w:history="1">
        <w:r w:rsidR="00302BB3" w:rsidRPr="00A86D99">
          <w:rPr>
            <w:rFonts w:ascii="Arial" w:eastAsia="Times New Roman" w:hAnsi="Arial" w:cs="Arial"/>
            <w:lang w:val="en-US" w:eastAsia="de-DE"/>
          </w:rPr>
          <w:fldChar w:fldCharType="begin"/>
        </w:r>
        <w:r w:rsidR="00302BB3">
          <w:rPr>
            <w:rFonts w:ascii="Arial" w:eastAsia="Times New Roman" w:hAnsi="Arial" w:cs="Arial"/>
            <w:lang w:val="en-US" w:eastAsia="de-DE"/>
          </w:rPr>
          <w:instrText xml:space="preserve"> ADDIN EN.CITE &lt;EndNote&gt;&lt;Cite&gt;&lt;Author&gt;Pietzke&lt;/Author&gt;&lt;Year&gt;2014&lt;/Year&gt;&lt;RecNum&gt;26&lt;/RecNum&gt;&lt;DisplayText&gt;&lt;style face="superscript"&gt;2&lt;/style&gt;&lt;/DisplayText&gt;&lt;record&gt;&lt;rec-number&gt;26&lt;/rec-number&gt;&lt;foreign-keys&gt;&lt;key app="EN" db-id="ae0wezxsmz5dvoexer4xaazrr2wtz59fafs5" timestamp="1497436182"&gt;26&lt;/key&gt;&lt;/foreign-keys&gt;&lt;ref-type name="Journal Article"&gt;17&lt;/ref-type&gt;&lt;contributors&gt;&lt;authors&gt;&lt;author&gt;Pietzke, M.&lt;/author&gt;&lt;author&gt;Zasada, C.&lt;/author&gt;&lt;author&gt;Mudrich, S.&lt;/author&gt;&lt;author&gt;Kempa, S.&lt;/author&gt;&lt;/authors&gt;&lt;/contributors&gt;&lt;auth-address&gt;Integrative Metabolomics and Proteomics, Berlin Institute of Medical Systems Biology/Max-Delbrueck Center for Molecular Medicine, Robert Rossle Street 10, Berlin 13125, Germany.&amp;#xD;Integrative Metabolomics and Proteomics, Berlin Institute of Medical Systems Biology/Max-Delbrueck Center for Molecular Medicine, Robert Rossle Street 10, Berlin 13125, Germany ; Present address: Faculte des Sciences, de la Technologie et de la Communication, University of Luxembourg, 162 A, Avenue de la Faiencerie L-1511, Luxembourg, Luxembourg.&lt;/auth-address&gt;&lt;titles&gt;&lt;title&gt;Decoding the dynamics of cellular metabolism and the action of 3-bromopyruvate and 2-deoxyglucose using pulsed stable isotope-resolved metabolomics&lt;/title&gt;&lt;secondary-title&gt;Cancer Metab&lt;/secondary-title&gt;&lt;alt-title&gt;Cancer &amp;amp; metabolism&lt;/alt-title&gt;&lt;/titles&gt;&lt;periodical&gt;&lt;full-title&gt;Cancer Metab&lt;/full-title&gt;&lt;abbr-1&gt;Cancer &amp;amp; metabolism&lt;/abbr-1&gt;&lt;/periodical&gt;&lt;alt-periodical&gt;&lt;full-title&gt;Cancer Metab&lt;/full-title&gt;&lt;abbr-1&gt;Cancer &amp;amp; metabolism&lt;/abbr-1&gt;&lt;/alt-periodical&gt;&lt;pages&gt;9&lt;/pages&gt;&lt;volume&gt;2&lt;/volume&gt;&lt;edition&gt;2014/07/19&lt;/edition&gt;&lt;dates&gt;&lt;year&gt;2014&lt;/year&gt;&lt;/dates&gt;&lt;isbn&gt;2049-3002&lt;/isbn&gt;&lt;accession-num&gt;25035808&lt;/accession-num&gt;&lt;urls&gt;&lt;/urls&gt;&lt;custom2&gt;Pmc4101711&lt;/custom2&gt;&lt;electronic-resource-num&gt;10.1186/2049-3002-2-9&lt;/electronic-resource-num&gt;&lt;remote-database-provider&gt;Nlm&lt;/remote-database-provider&gt;&lt;language&gt;eng&lt;/language&gt;&lt;/record&gt;&lt;/Cite&gt;&lt;/EndNote&gt;</w:instrText>
        </w:r>
        <w:r w:rsidR="00302BB3" w:rsidRPr="00A86D99">
          <w:rPr>
            <w:rFonts w:ascii="Arial" w:eastAsia="Times New Roman" w:hAnsi="Arial" w:cs="Arial"/>
            <w:lang w:val="en-US" w:eastAsia="de-DE"/>
          </w:rPr>
          <w:fldChar w:fldCharType="separate"/>
        </w:r>
        <w:r w:rsidR="00302BB3" w:rsidRPr="00302BB3">
          <w:rPr>
            <w:rFonts w:ascii="Arial" w:eastAsia="Times New Roman" w:hAnsi="Arial" w:cs="Arial"/>
            <w:noProof/>
            <w:vertAlign w:val="superscript"/>
            <w:lang w:val="en-US" w:eastAsia="de-DE"/>
          </w:rPr>
          <w:t>2</w:t>
        </w:r>
        <w:r w:rsidR="00302BB3" w:rsidRPr="00A86D99">
          <w:rPr>
            <w:rFonts w:ascii="Arial" w:eastAsia="Times New Roman" w:hAnsi="Arial" w:cs="Arial"/>
            <w:lang w:val="en-US" w:eastAsia="de-DE"/>
          </w:rPr>
          <w:fldChar w:fldCharType="end"/>
        </w:r>
      </w:hyperlink>
      <w:r w:rsidRPr="00A86D99">
        <w:rPr>
          <w:rFonts w:ascii="Arial" w:eastAsia="Times New Roman" w:hAnsi="Arial" w:cs="Arial"/>
          <w:lang w:val="en-US" w:eastAsia="de-DE"/>
        </w:rPr>
        <w:t>.</w:t>
      </w:r>
    </w:p>
    <w:p w:rsidR="00254459" w:rsidRPr="00A86D99" w:rsidRDefault="00254459" w:rsidP="006A3250">
      <w:pPr>
        <w:spacing w:after="0" w:line="480" w:lineRule="auto"/>
        <w:jc w:val="both"/>
        <w:rPr>
          <w:rFonts w:ascii="Arial" w:eastAsia="Times New Roman" w:hAnsi="Arial" w:cs="Arial"/>
          <w:b/>
          <w:lang w:val="en-US" w:eastAsia="de-DE"/>
        </w:rPr>
      </w:pPr>
    </w:p>
    <w:p w:rsidR="006A3250" w:rsidRPr="00A86D99" w:rsidRDefault="006A3250" w:rsidP="006A3250">
      <w:pPr>
        <w:spacing w:after="0" w:line="480" w:lineRule="auto"/>
        <w:jc w:val="both"/>
        <w:rPr>
          <w:rFonts w:ascii="Arial" w:eastAsia="Times New Roman" w:hAnsi="Arial" w:cs="Arial"/>
          <w:b/>
          <w:lang w:val="en-US" w:eastAsia="de-DE"/>
        </w:rPr>
      </w:pPr>
      <w:r w:rsidRPr="00A86D99">
        <w:rPr>
          <w:rFonts w:ascii="Arial" w:eastAsia="Times New Roman" w:hAnsi="Arial" w:cs="Arial"/>
          <w:b/>
          <w:lang w:val="en-US" w:eastAsia="de-DE"/>
        </w:rPr>
        <w:t>Cellular metabolic rate measurements</w:t>
      </w:r>
    </w:p>
    <w:p w:rsidR="006A3250" w:rsidRPr="00A86D99" w:rsidRDefault="006A3250" w:rsidP="006A3250">
      <w:pPr>
        <w:spacing w:after="0" w:line="480" w:lineRule="auto"/>
        <w:contextualSpacing/>
        <w:jc w:val="both"/>
        <w:rPr>
          <w:rFonts w:ascii="Arial" w:eastAsia="Times New Roman" w:hAnsi="Arial" w:cs="Arial"/>
          <w:lang w:val="en-US" w:eastAsia="de-DE"/>
        </w:rPr>
      </w:pPr>
      <w:r w:rsidRPr="00A86D99">
        <w:rPr>
          <w:rFonts w:ascii="Arial" w:eastAsia="Times New Roman" w:hAnsi="Arial" w:cs="Arial"/>
          <w:lang w:val="en-US" w:eastAsia="de-DE"/>
        </w:rPr>
        <w:t xml:space="preserve">Primary hepatocytes and ASV-B cells were seeded 24 hours ahead of analysis (7,000 cells per well in collagen-coated XF96 cell culture plates, Seahorse Bioscience) in standard medium. One hour before experimental start the cells were supplied with XF Base medium </w:t>
      </w:r>
      <w:r w:rsidRPr="00A86D99">
        <w:rPr>
          <w:rFonts w:ascii="Arial" w:eastAsia="Times New Roman" w:hAnsi="Arial" w:cs="Arial"/>
          <w:lang w:val="en-US" w:eastAsia="de-DE"/>
        </w:rPr>
        <w:lastRenderedPageBreak/>
        <w:t xml:space="preserve">(Seahorse Bioscience) supplemented with 2 </w:t>
      </w:r>
      <w:proofErr w:type="spellStart"/>
      <w:r w:rsidRPr="00A86D99">
        <w:rPr>
          <w:rFonts w:ascii="Arial" w:eastAsia="Times New Roman" w:hAnsi="Arial" w:cs="Arial"/>
          <w:lang w:val="en-US" w:eastAsia="de-DE"/>
        </w:rPr>
        <w:t>mM</w:t>
      </w:r>
      <w:proofErr w:type="spellEnd"/>
      <w:r w:rsidRPr="00A86D99">
        <w:rPr>
          <w:rFonts w:ascii="Arial" w:eastAsia="Times New Roman" w:hAnsi="Arial" w:cs="Arial"/>
          <w:lang w:val="en-US" w:eastAsia="de-DE"/>
        </w:rPr>
        <w:t xml:space="preserve"> glutamine and 10 </w:t>
      </w:r>
      <w:proofErr w:type="spellStart"/>
      <w:r w:rsidRPr="00A86D99">
        <w:rPr>
          <w:rFonts w:ascii="Arial" w:eastAsia="Times New Roman" w:hAnsi="Arial" w:cs="Arial"/>
          <w:lang w:val="en-US" w:eastAsia="de-DE"/>
        </w:rPr>
        <w:t>mM</w:t>
      </w:r>
      <w:proofErr w:type="spellEnd"/>
      <w:r w:rsidRPr="00A86D99">
        <w:rPr>
          <w:rFonts w:ascii="Arial" w:eastAsia="Times New Roman" w:hAnsi="Arial" w:cs="Arial"/>
          <w:lang w:val="en-US" w:eastAsia="de-DE"/>
        </w:rPr>
        <w:t xml:space="preserve"> glucose. Oxygen consumption rate (OCR) and extracellular acidification rate (ECAR) were measured using the XF</w:t>
      </w:r>
      <w:r w:rsidRPr="00A86D99">
        <w:rPr>
          <w:rFonts w:ascii="Arial" w:eastAsia="Times New Roman" w:hAnsi="Arial" w:cs="Arial"/>
          <w:vertAlign w:val="superscript"/>
          <w:lang w:val="en-US" w:eastAsia="de-DE"/>
        </w:rPr>
        <w:t>e</w:t>
      </w:r>
      <w:r w:rsidRPr="00A86D99">
        <w:rPr>
          <w:rFonts w:ascii="Arial" w:eastAsia="Times New Roman" w:hAnsi="Arial" w:cs="Arial"/>
          <w:lang w:val="en-US" w:eastAsia="de-DE"/>
        </w:rPr>
        <w:t>96 Extracellular Flux Analyzer (Seahorse Bioscience) according to the manufacturer’s instructions.</w:t>
      </w:r>
    </w:p>
    <w:p w:rsidR="006A3250" w:rsidRPr="00A86D99" w:rsidRDefault="006A3250" w:rsidP="006A3250">
      <w:pPr>
        <w:spacing w:after="0" w:line="480" w:lineRule="auto"/>
        <w:jc w:val="both"/>
        <w:rPr>
          <w:rFonts w:ascii="Arial" w:eastAsia="Times New Roman" w:hAnsi="Arial" w:cs="Arial"/>
          <w:lang w:val="en-US" w:eastAsia="de-DE"/>
        </w:rPr>
      </w:pPr>
    </w:p>
    <w:p w:rsidR="006A3250" w:rsidRPr="00A86D99" w:rsidRDefault="006A3250" w:rsidP="006A3250">
      <w:pPr>
        <w:spacing w:after="0" w:line="480" w:lineRule="auto"/>
        <w:rPr>
          <w:rFonts w:ascii="Arial" w:eastAsia="Times New Roman" w:hAnsi="Arial" w:cs="Arial"/>
          <w:b/>
          <w:lang w:val="en-GB" w:eastAsia="de-DE"/>
        </w:rPr>
      </w:pPr>
      <w:r w:rsidRPr="00A86D99">
        <w:rPr>
          <w:rFonts w:ascii="Arial" w:eastAsia="Times New Roman" w:hAnsi="Arial" w:cs="Arial"/>
          <w:b/>
          <w:lang w:val="en-GB" w:eastAsia="de-DE"/>
        </w:rPr>
        <w:t>Urea quantification</w:t>
      </w:r>
    </w:p>
    <w:p w:rsidR="006A3250" w:rsidRPr="00A86D99" w:rsidRDefault="006A3250" w:rsidP="006A3250">
      <w:pPr>
        <w:spacing w:after="360" w:line="480" w:lineRule="auto"/>
        <w:contextualSpacing/>
        <w:jc w:val="both"/>
        <w:rPr>
          <w:rFonts w:ascii="Arial" w:eastAsia="Times New Roman" w:hAnsi="Arial" w:cs="Arial"/>
          <w:lang w:val="en-GB" w:eastAsia="de-DE"/>
        </w:rPr>
      </w:pPr>
      <w:r w:rsidRPr="00A86D99">
        <w:rPr>
          <w:rFonts w:ascii="Arial" w:eastAsia="Times New Roman" w:hAnsi="Arial" w:cs="Arial"/>
          <w:lang w:val="en-GB" w:eastAsia="de-DE"/>
        </w:rPr>
        <w:t>For the analysis of urea synthesis, 500</w:t>
      </w:r>
      <w:r w:rsidR="0003585A" w:rsidRPr="00A86D99">
        <w:rPr>
          <w:rFonts w:ascii="Arial" w:eastAsia="Times New Roman" w:hAnsi="Arial" w:cs="Arial"/>
          <w:lang w:val="en-GB" w:eastAsia="de-DE"/>
        </w:rPr>
        <w:t>,</w:t>
      </w:r>
      <w:r w:rsidRPr="00A86D99">
        <w:rPr>
          <w:rFonts w:ascii="Arial" w:eastAsia="Times New Roman" w:hAnsi="Arial" w:cs="Arial"/>
          <w:lang w:val="en-GB" w:eastAsia="de-DE"/>
        </w:rPr>
        <w:t>000 ASV-B cells or primary hepatocytes were seeded in 6-well plates with 2 ml of growth medium (DMEM</w:t>
      </w:r>
      <w:r w:rsidR="0003585A" w:rsidRPr="00A86D99">
        <w:rPr>
          <w:rFonts w:ascii="Arial" w:eastAsia="Times New Roman" w:hAnsi="Arial" w:cs="Arial"/>
          <w:lang w:val="en-GB" w:eastAsia="de-DE"/>
        </w:rPr>
        <w:t xml:space="preserve"> high glucose</w:t>
      </w:r>
      <w:r w:rsidRPr="00A86D99">
        <w:rPr>
          <w:rFonts w:ascii="Arial" w:eastAsia="Times New Roman" w:hAnsi="Arial" w:cs="Arial"/>
          <w:lang w:val="en-GB" w:eastAsia="de-DE"/>
        </w:rPr>
        <w:t>, 10% FCS and 1% penicillin/streptomycin). The medium was replaced 18</w:t>
      </w:r>
      <w:r w:rsidR="0003585A" w:rsidRPr="00A86D99">
        <w:rPr>
          <w:rFonts w:ascii="Arial" w:eastAsia="Times New Roman" w:hAnsi="Arial" w:cs="Arial"/>
          <w:lang w:val="en-GB" w:eastAsia="de-DE"/>
        </w:rPr>
        <w:t xml:space="preserve"> hours</w:t>
      </w:r>
      <w:r w:rsidRPr="00A86D99">
        <w:rPr>
          <w:rFonts w:ascii="Arial" w:eastAsia="Times New Roman" w:hAnsi="Arial" w:cs="Arial"/>
          <w:lang w:val="en-GB" w:eastAsia="de-DE"/>
        </w:rPr>
        <w:t xml:space="preserve"> later and the cells were incubated for further 24</w:t>
      </w:r>
      <w:r w:rsidR="0003585A" w:rsidRPr="00A86D99">
        <w:rPr>
          <w:rFonts w:ascii="Arial" w:eastAsia="Times New Roman" w:hAnsi="Arial" w:cs="Arial"/>
          <w:lang w:val="en-GB" w:eastAsia="de-DE"/>
        </w:rPr>
        <w:t xml:space="preserve"> hours</w:t>
      </w:r>
      <w:r w:rsidRPr="00A86D99">
        <w:rPr>
          <w:rFonts w:ascii="Arial" w:eastAsia="Times New Roman" w:hAnsi="Arial" w:cs="Arial"/>
          <w:lang w:val="en-GB" w:eastAsia="de-DE"/>
        </w:rPr>
        <w:t>. 1.5 ml supernatant was collected and centrifuged at 1</w:t>
      </w:r>
      <w:r w:rsidR="00E75322" w:rsidRPr="00A86D99">
        <w:rPr>
          <w:rFonts w:ascii="Arial" w:eastAsia="Times New Roman" w:hAnsi="Arial" w:cs="Arial"/>
          <w:lang w:val="en-GB" w:eastAsia="de-DE"/>
        </w:rPr>
        <w:t>,</w:t>
      </w:r>
      <w:r w:rsidRPr="00A86D99">
        <w:rPr>
          <w:rFonts w:ascii="Arial" w:eastAsia="Times New Roman" w:hAnsi="Arial" w:cs="Arial"/>
          <w:lang w:val="en-GB" w:eastAsia="de-DE"/>
        </w:rPr>
        <w:t xml:space="preserve">000 g for 5 minutes to separate cells and debris. The remaining supernatant (1.2 ml) was transferred to a new tube and the samples were stored at -80°C until further use. Urea measurements were conducted by the University Hospital RWTH Aachen Central </w:t>
      </w:r>
      <w:r w:rsidR="00103B54" w:rsidRPr="00A86D99">
        <w:rPr>
          <w:rFonts w:ascii="Arial" w:eastAsia="Times New Roman" w:hAnsi="Arial" w:cs="Arial"/>
          <w:lang w:val="en-GB" w:eastAsia="de-DE"/>
        </w:rPr>
        <w:t>L</w:t>
      </w:r>
      <w:r w:rsidRPr="00A86D99">
        <w:rPr>
          <w:rFonts w:ascii="Arial" w:eastAsia="Times New Roman" w:hAnsi="Arial" w:cs="Arial"/>
          <w:lang w:val="en-GB" w:eastAsia="de-DE"/>
        </w:rPr>
        <w:t>aboratories applying standard diagnostic procedures.</w:t>
      </w:r>
    </w:p>
    <w:p w:rsidR="006A3250" w:rsidRPr="00A86D99" w:rsidRDefault="006A3250" w:rsidP="006A3250">
      <w:pPr>
        <w:spacing w:after="60" w:line="480" w:lineRule="auto"/>
        <w:contextualSpacing/>
        <w:jc w:val="both"/>
        <w:rPr>
          <w:rFonts w:ascii="Arial" w:eastAsia="Times New Roman" w:hAnsi="Arial" w:cs="Arial"/>
          <w:b/>
          <w:lang w:val="en-GB" w:eastAsia="de-DE"/>
        </w:rPr>
      </w:pPr>
    </w:p>
    <w:p w:rsidR="006A3250" w:rsidRPr="00A86D99" w:rsidRDefault="006A3250" w:rsidP="006A3250">
      <w:pPr>
        <w:spacing w:after="60" w:line="480" w:lineRule="auto"/>
        <w:contextualSpacing/>
        <w:jc w:val="both"/>
        <w:rPr>
          <w:rFonts w:ascii="Arial" w:eastAsia="Times New Roman" w:hAnsi="Arial" w:cs="Arial"/>
          <w:b/>
          <w:lang w:val="en-GB" w:eastAsia="de-DE"/>
        </w:rPr>
      </w:pPr>
      <w:r w:rsidRPr="00A86D99">
        <w:rPr>
          <w:rFonts w:ascii="Arial" w:eastAsia="Times New Roman" w:hAnsi="Arial" w:cs="Arial"/>
          <w:b/>
          <w:lang w:val="en-GB" w:eastAsia="de-DE"/>
        </w:rPr>
        <w:t>Intracellular triglyceride measurement</w:t>
      </w:r>
    </w:p>
    <w:p w:rsidR="006A3250" w:rsidRPr="00A86D99" w:rsidRDefault="006A3250" w:rsidP="006A3250">
      <w:pPr>
        <w:spacing w:after="0" w:line="480" w:lineRule="auto"/>
        <w:contextualSpacing/>
        <w:jc w:val="both"/>
        <w:rPr>
          <w:rFonts w:ascii="Arial" w:eastAsia="Times New Roman" w:hAnsi="Arial" w:cs="Arial"/>
          <w:lang w:val="en-GB" w:eastAsia="de-DE"/>
        </w:rPr>
      </w:pPr>
      <w:r w:rsidRPr="00A86D99">
        <w:rPr>
          <w:rFonts w:ascii="Arial" w:eastAsia="Times New Roman" w:hAnsi="Arial" w:cs="Arial"/>
          <w:lang w:val="en-GB" w:eastAsia="de-DE"/>
        </w:rPr>
        <w:t xml:space="preserve">Intracellular triglycerides in ASV-B cells and primary hepatocytes were determined using the Triglycerides </w:t>
      </w:r>
      <w:proofErr w:type="spellStart"/>
      <w:r w:rsidRPr="00A86D99">
        <w:rPr>
          <w:rFonts w:ascii="Arial" w:eastAsia="Times New Roman" w:hAnsi="Arial" w:cs="Arial"/>
          <w:lang w:val="en-GB" w:eastAsia="de-DE"/>
        </w:rPr>
        <w:t>liquicolor</w:t>
      </w:r>
      <w:r w:rsidRPr="00A86D99">
        <w:rPr>
          <w:rFonts w:ascii="Arial" w:eastAsia="Times New Roman" w:hAnsi="Arial" w:cs="Arial"/>
          <w:vertAlign w:val="superscript"/>
          <w:lang w:val="en-GB" w:eastAsia="de-DE"/>
        </w:rPr>
        <w:t>mono</w:t>
      </w:r>
      <w:proofErr w:type="spellEnd"/>
      <w:r w:rsidRPr="00A86D99">
        <w:rPr>
          <w:rFonts w:ascii="Arial" w:eastAsia="Times New Roman" w:hAnsi="Arial" w:cs="Arial"/>
          <w:lang w:val="en-GB" w:eastAsia="de-DE"/>
        </w:rPr>
        <w:t xml:space="preserve"> assay (HUMAN Diagnostics). Briefly, </w:t>
      </w:r>
      <w:r w:rsidR="00F14846" w:rsidRPr="00A86D99">
        <w:rPr>
          <w:rFonts w:ascii="Arial" w:eastAsia="Times New Roman" w:hAnsi="Arial" w:cs="Arial"/>
          <w:lang w:val="en-GB" w:eastAsia="de-DE"/>
        </w:rPr>
        <w:t xml:space="preserve">400,000 </w:t>
      </w:r>
      <w:r w:rsidRPr="00A86D99">
        <w:rPr>
          <w:rFonts w:ascii="Arial" w:eastAsia="Times New Roman" w:hAnsi="Arial" w:cs="Arial"/>
          <w:lang w:val="en-GB" w:eastAsia="de-DE"/>
        </w:rPr>
        <w:t>cells</w:t>
      </w:r>
      <w:r w:rsidR="00F14846" w:rsidRPr="00A86D99">
        <w:rPr>
          <w:rFonts w:ascii="Arial" w:eastAsia="Times New Roman" w:hAnsi="Arial" w:cs="Arial"/>
          <w:lang w:val="en-GB" w:eastAsia="de-DE"/>
        </w:rPr>
        <w:t xml:space="preserve"> per </w:t>
      </w:r>
      <w:r w:rsidRPr="00A86D99">
        <w:rPr>
          <w:rFonts w:ascii="Arial" w:eastAsia="Times New Roman" w:hAnsi="Arial" w:cs="Arial"/>
          <w:lang w:val="en-GB" w:eastAsia="de-DE"/>
        </w:rPr>
        <w:t xml:space="preserve">well were seeded in 1 ml </w:t>
      </w:r>
      <w:r w:rsidR="004B0FBD" w:rsidRPr="00A86D99">
        <w:rPr>
          <w:rFonts w:ascii="Arial" w:eastAsia="Times New Roman" w:hAnsi="Arial" w:cs="Arial"/>
          <w:lang w:val="en-GB" w:eastAsia="de-DE"/>
        </w:rPr>
        <w:t>standard</w:t>
      </w:r>
      <w:r w:rsidRPr="00A86D99">
        <w:rPr>
          <w:rFonts w:ascii="Arial" w:eastAsia="Times New Roman" w:hAnsi="Arial" w:cs="Arial"/>
          <w:lang w:val="en-GB" w:eastAsia="de-DE"/>
        </w:rPr>
        <w:t xml:space="preserve"> medium with 10% FCS and 1% penicillin/streptomycin in 6 well plates and left for 4 hours to attach. Subsequently, the medium was replaced by </w:t>
      </w:r>
      <w:r w:rsidR="00B43613" w:rsidRPr="00A86D99">
        <w:rPr>
          <w:rFonts w:ascii="Arial" w:eastAsia="Times New Roman" w:hAnsi="Arial" w:cs="Arial"/>
          <w:lang w:val="en-GB" w:eastAsia="de-DE"/>
        </w:rPr>
        <w:t>DMEM (high glucose)</w:t>
      </w:r>
      <w:r w:rsidR="00B66233" w:rsidRPr="00A86D99">
        <w:rPr>
          <w:rFonts w:ascii="Arial" w:eastAsia="Times New Roman" w:hAnsi="Arial" w:cs="Arial"/>
          <w:lang w:val="en-GB" w:eastAsia="de-DE"/>
        </w:rPr>
        <w:t xml:space="preserve"> </w:t>
      </w:r>
      <w:r w:rsidRPr="00A86D99">
        <w:rPr>
          <w:rFonts w:ascii="Arial" w:eastAsia="Times New Roman" w:hAnsi="Arial" w:cs="Arial"/>
          <w:lang w:val="en-GB" w:eastAsia="de-DE"/>
        </w:rPr>
        <w:t xml:space="preserve">supplemented with 0.5% FBS for 16 hours to starve the cells. Then the cells were either left untreated or stimulated with 300 µM oleic acid-albumin (Sigma-Aldrich) for 24 hours. The next day, the cells were washed with PBS once and harvested in 100 µl homogenization buffer (10 </w:t>
      </w:r>
      <w:proofErr w:type="spellStart"/>
      <w:r w:rsidRPr="00A86D99">
        <w:rPr>
          <w:rFonts w:ascii="Arial" w:eastAsia="Times New Roman" w:hAnsi="Arial" w:cs="Arial"/>
          <w:lang w:val="en-GB" w:eastAsia="de-DE"/>
        </w:rPr>
        <w:t>mM</w:t>
      </w:r>
      <w:proofErr w:type="spellEnd"/>
      <w:r w:rsidRPr="00A86D99">
        <w:rPr>
          <w:rFonts w:ascii="Arial" w:eastAsia="Times New Roman" w:hAnsi="Arial" w:cs="Arial"/>
          <w:lang w:val="en-GB" w:eastAsia="de-DE"/>
        </w:rPr>
        <w:t xml:space="preserve"> </w:t>
      </w:r>
      <w:proofErr w:type="spellStart"/>
      <w:r w:rsidRPr="00A86D99">
        <w:rPr>
          <w:rFonts w:ascii="Arial" w:eastAsia="Times New Roman" w:hAnsi="Arial" w:cs="Arial"/>
          <w:lang w:val="en-GB" w:eastAsia="de-DE"/>
        </w:rPr>
        <w:t>Tris</w:t>
      </w:r>
      <w:proofErr w:type="spellEnd"/>
      <w:r w:rsidRPr="00A86D99">
        <w:rPr>
          <w:rFonts w:ascii="Arial" w:eastAsia="Times New Roman" w:hAnsi="Arial" w:cs="Arial"/>
          <w:lang w:val="en-GB" w:eastAsia="de-DE"/>
        </w:rPr>
        <w:t xml:space="preserve">, 2 </w:t>
      </w:r>
      <w:proofErr w:type="spellStart"/>
      <w:r w:rsidRPr="00A86D99">
        <w:rPr>
          <w:rFonts w:ascii="Arial" w:eastAsia="Times New Roman" w:hAnsi="Arial" w:cs="Arial"/>
          <w:lang w:val="en-GB" w:eastAsia="de-DE"/>
        </w:rPr>
        <w:t>mM</w:t>
      </w:r>
      <w:proofErr w:type="spellEnd"/>
      <w:r w:rsidRPr="00A86D99">
        <w:rPr>
          <w:rFonts w:ascii="Arial" w:eastAsia="Times New Roman" w:hAnsi="Arial" w:cs="Arial"/>
          <w:lang w:val="en-GB" w:eastAsia="de-DE"/>
        </w:rPr>
        <w:t xml:space="preserve"> EDTA, 250 </w:t>
      </w:r>
      <w:proofErr w:type="spellStart"/>
      <w:r w:rsidRPr="00A86D99">
        <w:rPr>
          <w:rFonts w:ascii="Arial" w:eastAsia="Times New Roman" w:hAnsi="Arial" w:cs="Arial"/>
          <w:lang w:val="en-GB" w:eastAsia="de-DE"/>
        </w:rPr>
        <w:t>mM</w:t>
      </w:r>
      <w:proofErr w:type="spellEnd"/>
      <w:r w:rsidRPr="00A86D99">
        <w:rPr>
          <w:rFonts w:ascii="Arial" w:eastAsia="Times New Roman" w:hAnsi="Arial" w:cs="Arial"/>
          <w:lang w:val="en-GB" w:eastAsia="de-DE"/>
        </w:rPr>
        <w:t xml:space="preserve"> sucrose at pH 7.5). Homogenization was conducted by sonication (6 impulses with 10% intensity by sonication, </w:t>
      </w:r>
      <w:proofErr w:type="spellStart"/>
      <w:r w:rsidRPr="00A86D99">
        <w:rPr>
          <w:rFonts w:ascii="Arial" w:eastAsia="Times New Roman" w:hAnsi="Arial" w:cs="Arial"/>
          <w:lang w:val="en-GB" w:eastAsia="de-DE"/>
        </w:rPr>
        <w:t>Sonoplus</w:t>
      </w:r>
      <w:proofErr w:type="spellEnd"/>
      <w:r w:rsidRPr="00A86D99">
        <w:rPr>
          <w:rFonts w:ascii="Arial" w:eastAsia="Times New Roman" w:hAnsi="Arial" w:cs="Arial"/>
          <w:lang w:val="en-GB" w:eastAsia="de-DE"/>
        </w:rPr>
        <w:t xml:space="preserve"> Type UW3100, </w:t>
      </w:r>
      <w:proofErr w:type="spellStart"/>
      <w:r w:rsidRPr="00A86D99">
        <w:rPr>
          <w:rFonts w:ascii="Arial" w:eastAsia="Times New Roman" w:hAnsi="Arial" w:cs="Arial"/>
          <w:lang w:val="en-GB" w:eastAsia="de-DE"/>
        </w:rPr>
        <w:t>Bandelin</w:t>
      </w:r>
      <w:proofErr w:type="spellEnd"/>
      <w:r w:rsidRPr="00A86D99">
        <w:rPr>
          <w:rFonts w:ascii="Arial" w:eastAsia="Times New Roman" w:hAnsi="Arial" w:cs="Arial"/>
          <w:lang w:val="en-GB" w:eastAsia="de-DE"/>
        </w:rPr>
        <w:t>). Cell debris was separated by centrifugation. The assay was conducted according to the manufacturer’s instructions.</w:t>
      </w:r>
    </w:p>
    <w:p w:rsidR="008E6DEF" w:rsidRPr="00A86D99" w:rsidRDefault="008E6DEF" w:rsidP="006A3250">
      <w:pPr>
        <w:spacing w:after="0" w:line="480" w:lineRule="auto"/>
        <w:contextualSpacing/>
        <w:jc w:val="both"/>
        <w:rPr>
          <w:rFonts w:ascii="Arial" w:eastAsia="Times New Roman" w:hAnsi="Arial" w:cs="Arial"/>
          <w:lang w:val="en-GB" w:eastAsia="de-DE"/>
        </w:rPr>
      </w:pPr>
    </w:p>
    <w:p w:rsidR="006A3250" w:rsidRPr="00A86D99" w:rsidRDefault="006A3250" w:rsidP="006A3250">
      <w:pPr>
        <w:spacing w:after="0" w:line="480" w:lineRule="auto"/>
        <w:jc w:val="both"/>
        <w:rPr>
          <w:rFonts w:ascii="Arial" w:eastAsia="Times New Roman" w:hAnsi="Arial" w:cs="Arial"/>
          <w:b/>
          <w:lang w:val="en-US" w:eastAsia="de-DE"/>
        </w:rPr>
      </w:pPr>
      <w:r w:rsidRPr="00A86D99">
        <w:rPr>
          <w:rFonts w:ascii="Arial" w:eastAsia="Times New Roman" w:hAnsi="Arial" w:cs="Arial"/>
          <w:b/>
          <w:lang w:val="en-US" w:eastAsia="de-DE"/>
        </w:rPr>
        <w:lastRenderedPageBreak/>
        <w:t>Histochemistry</w:t>
      </w:r>
    </w:p>
    <w:p w:rsidR="006A3250" w:rsidRPr="00A86D99" w:rsidRDefault="006A3250" w:rsidP="006A3250">
      <w:pPr>
        <w:spacing w:after="0" w:line="480" w:lineRule="auto"/>
        <w:jc w:val="both"/>
        <w:rPr>
          <w:rFonts w:ascii="Arial" w:eastAsia="Times New Roman" w:hAnsi="Arial" w:cs="Arial"/>
          <w:lang w:val="en-US" w:eastAsia="de-DE"/>
        </w:rPr>
      </w:pPr>
      <w:r w:rsidRPr="00A86D99">
        <w:rPr>
          <w:rFonts w:ascii="Arial" w:eastAsia="Times New Roman" w:hAnsi="Arial" w:cs="Arial"/>
          <w:lang w:val="en-US" w:eastAsia="de-DE"/>
        </w:rPr>
        <w:t>PAS</w:t>
      </w:r>
      <w:r w:rsidR="003802E7" w:rsidRPr="00A86D99">
        <w:rPr>
          <w:rFonts w:ascii="Arial" w:eastAsia="Times New Roman" w:hAnsi="Arial" w:cs="Arial"/>
          <w:lang w:val="en-US" w:eastAsia="de-DE"/>
        </w:rPr>
        <w:t xml:space="preserve">, </w:t>
      </w:r>
      <w:r w:rsidR="009D4400" w:rsidRPr="00A86D99">
        <w:rPr>
          <w:rFonts w:ascii="Arial" w:eastAsia="Times New Roman" w:hAnsi="Arial" w:cs="Arial"/>
          <w:lang w:val="en-US" w:eastAsia="de-DE"/>
        </w:rPr>
        <w:t xml:space="preserve">Ki-67 </w:t>
      </w:r>
      <w:r w:rsidR="003802E7" w:rsidRPr="00A86D99">
        <w:rPr>
          <w:rFonts w:ascii="Arial" w:eastAsia="Times New Roman" w:hAnsi="Arial" w:cs="Arial"/>
          <w:lang w:val="en-US" w:eastAsia="de-DE"/>
        </w:rPr>
        <w:t xml:space="preserve">and </w:t>
      </w:r>
      <w:r w:rsidRPr="00A86D99">
        <w:rPr>
          <w:rFonts w:ascii="Arial" w:eastAsia="Times New Roman" w:hAnsi="Arial" w:cs="Arial"/>
          <w:lang w:val="en-US" w:eastAsia="de-DE"/>
        </w:rPr>
        <w:t xml:space="preserve">staining </w:t>
      </w:r>
      <w:r w:rsidR="003802E7" w:rsidRPr="00A86D99">
        <w:rPr>
          <w:rFonts w:ascii="Arial" w:eastAsia="Times New Roman" w:hAnsi="Arial" w:cs="Arial"/>
          <w:lang w:val="en-US" w:eastAsia="de-DE"/>
        </w:rPr>
        <w:t xml:space="preserve">against the immune cell markers CD45 (BD Biosciences) and F4/80 </w:t>
      </w:r>
      <w:r w:rsidR="003802E7" w:rsidRPr="00A86D99">
        <w:rPr>
          <w:rFonts w:ascii="Arial" w:hAnsi="Arial" w:cs="Arial"/>
          <w:lang w:val="en-US"/>
        </w:rPr>
        <w:t>(</w:t>
      </w:r>
      <w:proofErr w:type="spellStart"/>
      <w:r w:rsidR="003802E7" w:rsidRPr="00A86D99">
        <w:rPr>
          <w:rFonts w:ascii="Arial" w:hAnsi="Arial" w:cs="Arial"/>
          <w:lang w:val="en-US"/>
        </w:rPr>
        <w:t>Thermo</w:t>
      </w:r>
      <w:proofErr w:type="spellEnd"/>
      <w:r w:rsidR="003802E7" w:rsidRPr="00A86D99">
        <w:rPr>
          <w:rFonts w:ascii="Arial" w:hAnsi="Arial" w:cs="Arial"/>
          <w:lang w:val="en-US"/>
        </w:rPr>
        <w:t xml:space="preserve"> Fisher Scientific) </w:t>
      </w:r>
      <w:r w:rsidR="003804D0" w:rsidRPr="00A86D99">
        <w:rPr>
          <w:rFonts w:ascii="Arial" w:eastAsia="Times New Roman" w:hAnsi="Arial" w:cs="Arial"/>
          <w:lang w:val="en-US" w:eastAsia="de-DE"/>
        </w:rPr>
        <w:t xml:space="preserve">as well as counterstaining with </w:t>
      </w:r>
      <w:r w:rsidR="003804D0" w:rsidRPr="00A86D99">
        <w:rPr>
          <w:rFonts w:ascii="Arial" w:hAnsi="Arial" w:cs="Arial"/>
          <w:lang w:val="en-US"/>
        </w:rPr>
        <w:t xml:space="preserve">hematoxylin </w:t>
      </w:r>
      <w:r w:rsidRPr="00A86D99">
        <w:rPr>
          <w:rFonts w:ascii="Arial" w:eastAsia="Times New Roman" w:hAnsi="Arial" w:cs="Arial"/>
          <w:lang w:val="en-US" w:eastAsia="de-DE"/>
        </w:rPr>
        <w:t>w</w:t>
      </w:r>
      <w:r w:rsidR="009D4400" w:rsidRPr="00A86D99">
        <w:rPr>
          <w:rFonts w:ascii="Arial" w:eastAsia="Times New Roman" w:hAnsi="Arial" w:cs="Arial"/>
          <w:lang w:val="en-US" w:eastAsia="de-DE"/>
        </w:rPr>
        <w:t>ere</w:t>
      </w:r>
      <w:r w:rsidRPr="00A86D99">
        <w:rPr>
          <w:rFonts w:ascii="Arial" w:eastAsia="Times New Roman" w:hAnsi="Arial" w:cs="Arial"/>
          <w:lang w:val="en-US" w:eastAsia="de-DE"/>
        </w:rPr>
        <w:t xml:space="preserve"> performed according to routine histochemistry protocols.</w:t>
      </w:r>
      <w:r w:rsidR="00CC19A2" w:rsidRPr="00A86D99">
        <w:rPr>
          <w:rFonts w:ascii="Arial" w:eastAsia="Times New Roman" w:hAnsi="Arial" w:cs="Arial"/>
          <w:lang w:val="en-US" w:eastAsia="de-DE"/>
        </w:rPr>
        <w:t xml:space="preserve"> </w:t>
      </w:r>
      <w:r w:rsidR="003804D0" w:rsidRPr="00A86D99">
        <w:rPr>
          <w:rFonts w:ascii="Arial" w:eastAsia="Times New Roman" w:hAnsi="Arial" w:cs="Arial"/>
          <w:lang w:val="en-US" w:eastAsia="de-DE"/>
        </w:rPr>
        <w:t xml:space="preserve">The </w:t>
      </w:r>
      <w:proofErr w:type="spellStart"/>
      <w:r w:rsidR="003804D0" w:rsidRPr="00A86D99">
        <w:rPr>
          <w:rFonts w:ascii="Arial" w:eastAsia="Times New Roman" w:hAnsi="Arial" w:cs="Arial"/>
          <w:lang w:val="en-US" w:eastAsia="de-DE"/>
        </w:rPr>
        <w:t>ImageJ</w:t>
      </w:r>
      <w:proofErr w:type="spellEnd"/>
      <w:r w:rsidR="003804D0" w:rsidRPr="00A86D99">
        <w:rPr>
          <w:rFonts w:ascii="Arial" w:eastAsia="Times New Roman" w:hAnsi="Arial" w:cs="Arial"/>
          <w:lang w:val="en-US" w:eastAsia="de-DE"/>
        </w:rPr>
        <w:t xml:space="preserve"> software (NIH) was used in order to </w:t>
      </w:r>
      <w:r w:rsidR="003802E7" w:rsidRPr="00A86D99">
        <w:rPr>
          <w:rFonts w:ascii="Arial" w:eastAsia="Times New Roman" w:hAnsi="Arial" w:cs="Arial"/>
          <w:lang w:val="en-US" w:eastAsia="de-DE"/>
        </w:rPr>
        <w:t>calculate</w:t>
      </w:r>
      <w:r w:rsidR="003804D0" w:rsidRPr="00A86D99">
        <w:rPr>
          <w:rFonts w:ascii="Arial" w:eastAsia="Times New Roman" w:hAnsi="Arial" w:cs="Arial"/>
          <w:lang w:val="en-US" w:eastAsia="de-DE"/>
        </w:rPr>
        <w:t xml:space="preserve"> </w:t>
      </w:r>
      <w:r w:rsidR="00CC19A2" w:rsidRPr="00A86D99">
        <w:rPr>
          <w:rFonts w:ascii="Arial" w:eastAsia="Times New Roman" w:hAnsi="Arial" w:cs="Arial"/>
          <w:lang w:val="en-US" w:eastAsia="de-DE"/>
        </w:rPr>
        <w:t>PAS-</w:t>
      </w:r>
      <w:r w:rsidR="009D4400" w:rsidRPr="00A86D99">
        <w:rPr>
          <w:rFonts w:ascii="Arial" w:eastAsia="Times New Roman" w:hAnsi="Arial" w:cs="Arial"/>
          <w:lang w:val="en-US" w:eastAsia="de-DE"/>
        </w:rPr>
        <w:t xml:space="preserve"> or Ki-67-</w:t>
      </w:r>
      <w:r w:rsidR="00CC19A2" w:rsidRPr="00A86D99">
        <w:rPr>
          <w:rFonts w:ascii="Arial" w:eastAsia="Times New Roman" w:hAnsi="Arial" w:cs="Arial"/>
          <w:lang w:val="en-US" w:eastAsia="de-DE"/>
        </w:rPr>
        <w:t xml:space="preserve">positive </w:t>
      </w:r>
      <w:r w:rsidR="003804D0" w:rsidRPr="00A86D99">
        <w:rPr>
          <w:rFonts w:ascii="Arial" w:eastAsia="Times New Roman" w:hAnsi="Arial" w:cs="Arial"/>
          <w:lang w:val="en-US" w:eastAsia="de-DE"/>
        </w:rPr>
        <w:t>areas</w:t>
      </w:r>
      <w:r w:rsidR="00CD7929" w:rsidRPr="00A86D99">
        <w:rPr>
          <w:rFonts w:ascii="Arial" w:eastAsia="Times New Roman" w:hAnsi="Arial" w:cs="Arial"/>
          <w:lang w:val="en-US" w:eastAsia="de-DE"/>
        </w:rPr>
        <w:t xml:space="preserve"> (</w:t>
      </w:r>
      <w:r w:rsidR="00AE014A" w:rsidRPr="00A86D99">
        <w:rPr>
          <w:rFonts w:ascii="Arial" w:eastAsia="Times New Roman" w:hAnsi="Arial" w:cs="Arial"/>
          <w:lang w:val="en-US" w:eastAsia="de-DE"/>
        </w:rPr>
        <w:t xml:space="preserve">data </w:t>
      </w:r>
      <w:r w:rsidR="00CD7929" w:rsidRPr="00A86D99">
        <w:rPr>
          <w:rFonts w:ascii="Arial" w:eastAsia="Times New Roman" w:hAnsi="Arial" w:cs="Arial"/>
          <w:lang w:val="en-US" w:eastAsia="de-DE"/>
        </w:rPr>
        <w:t xml:space="preserve">normalization </w:t>
      </w:r>
      <w:r w:rsidR="00EF0360" w:rsidRPr="00A86D99">
        <w:rPr>
          <w:rFonts w:ascii="Arial" w:eastAsia="Times New Roman" w:hAnsi="Arial" w:cs="Arial"/>
          <w:lang w:val="en-US" w:eastAsia="de-DE"/>
        </w:rPr>
        <w:t>was conducted</w:t>
      </w:r>
      <w:r w:rsidR="001F1A15" w:rsidRPr="00A86D99">
        <w:rPr>
          <w:rFonts w:ascii="Arial" w:eastAsia="Times New Roman" w:hAnsi="Arial" w:cs="Arial"/>
          <w:lang w:val="en-US" w:eastAsia="de-DE"/>
        </w:rPr>
        <w:t xml:space="preserve"> </w:t>
      </w:r>
      <w:r w:rsidR="00982F17" w:rsidRPr="00A86D99">
        <w:rPr>
          <w:rFonts w:ascii="Arial" w:eastAsia="Times New Roman" w:hAnsi="Arial" w:cs="Arial"/>
          <w:lang w:val="en-US" w:eastAsia="de-DE"/>
        </w:rPr>
        <w:t>using the</w:t>
      </w:r>
      <w:r w:rsidR="00AE014A" w:rsidRPr="00A86D99">
        <w:rPr>
          <w:rFonts w:ascii="Arial" w:eastAsia="Times New Roman" w:hAnsi="Arial" w:cs="Arial"/>
          <w:lang w:val="en-US" w:eastAsia="de-DE"/>
        </w:rPr>
        <w:t xml:space="preserve"> total analyzed area).</w:t>
      </w:r>
      <w:r w:rsidR="00CD7929" w:rsidRPr="00A86D99">
        <w:rPr>
          <w:rFonts w:ascii="Arial" w:eastAsia="Times New Roman" w:hAnsi="Arial" w:cs="Arial"/>
          <w:lang w:val="en-US" w:eastAsia="de-DE"/>
        </w:rPr>
        <w:t xml:space="preserve"> </w:t>
      </w:r>
    </w:p>
    <w:p w:rsidR="006A3250" w:rsidRPr="00A86D99" w:rsidRDefault="006A3250" w:rsidP="006A3250">
      <w:pPr>
        <w:spacing w:after="0" w:line="480" w:lineRule="auto"/>
        <w:jc w:val="both"/>
        <w:rPr>
          <w:rFonts w:ascii="Arial" w:eastAsia="Times New Roman" w:hAnsi="Arial" w:cs="Arial"/>
          <w:b/>
          <w:lang w:val="en-US" w:eastAsia="de-DE"/>
        </w:rPr>
      </w:pPr>
    </w:p>
    <w:p w:rsidR="006A3250" w:rsidRPr="00A86D99" w:rsidRDefault="006A3250" w:rsidP="006A3250">
      <w:pPr>
        <w:spacing w:after="0" w:line="480" w:lineRule="auto"/>
        <w:contextualSpacing/>
        <w:jc w:val="both"/>
        <w:rPr>
          <w:rFonts w:ascii="Arial" w:eastAsia="Times New Roman" w:hAnsi="Arial" w:cs="Arial"/>
          <w:b/>
          <w:lang w:val="en-US" w:eastAsia="de-DE"/>
        </w:rPr>
      </w:pPr>
      <w:r w:rsidRPr="00A86D99">
        <w:rPr>
          <w:rFonts w:ascii="Arial" w:eastAsia="Times New Roman" w:hAnsi="Arial" w:cs="Arial"/>
          <w:b/>
          <w:lang w:val="en-US" w:eastAsia="de-DE"/>
        </w:rPr>
        <w:t>Transmission electron microscopy (TEM)</w:t>
      </w:r>
    </w:p>
    <w:p w:rsidR="006A3250" w:rsidRPr="002A1348" w:rsidRDefault="006A3250" w:rsidP="002A1348">
      <w:pPr>
        <w:spacing w:after="0" w:line="480" w:lineRule="auto"/>
        <w:jc w:val="both"/>
        <w:rPr>
          <w:rFonts w:ascii="Arial" w:eastAsia="Times New Roman" w:hAnsi="Arial" w:cs="Arial"/>
          <w:lang w:val="en-US" w:eastAsia="de-DE"/>
        </w:rPr>
      </w:pPr>
      <w:r w:rsidRPr="00A86D99">
        <w:rPr>
          <w:rFonts w:ascii="Arial" w:eastAsia="Times New Roman" w:hAnsi="Arial" w:cs="Arial"/>
          <w:lang w:val="en-US" w:eastAsia="de-DE"/>
        </w:rPr>
        <w:t xml:space="preserve">TEM was performed by the Core Facility for Electron Microscopy of the Charité Berlin as outlined in detail before </w:t>
      </w:r>
      <w:hyperlink w:anchor="_ENREF_3" w:tooltip="Theilig, 2001 #21" w:history="1">
        <w:r w:rsidR="00302BB3" w:rsidRPr="00A86D99">
          <w:rPr>
            <w:rFonts w:ascii="Arial" w:eastAsia="Times New Roman" w:hAnsi="Arial" w:cs="Arial"/>
            <w:lang w:val="en-US" w:eastAsia="de-DE"/>
          </w:rPr>
          <w:fldChar w:fldCharType="begin">
            <w:fldData xml:space="preserve">PEVuZE5vdGU+PENpdGU+PEF1dGhvcj5UaGVpbGlnPC9BdXRob3I+PFllYXI+MjAwMTwvWWVhcj48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</w:fldData>
          </w:fldChar>
        </w:r>
        <w:r w:rsidR="00302BB3">
          <w:rPr>
            <w:rFonts w:ascii="Arial" w:eastAsia="Times New Roman" w:hAnsi="Arial" w:cs="Arial"/>
            <w:lang w:val="en-US" w:eastAsia="de-DE"/>
          </w:rPr>
          <w:instrText xml:space="preserve"> ADDIN EN.CITE </w:instrText>
        </w:r>
        <w:r w:rsidR="00302BB3">
          <w:rPr>
            <w:rFonts w:ascii="Arial" w:eastAsia="Times New Roman" w:hAnsi="Arial" w:cs="Arial"/>
            <w:lang w:val="en-US" w:eastAsia="de-DE"/>
          </w:rPr>
          <w:fldChar w:fldCharType="begin">
            <w:fldData xml:space="preserve">PEVuZE5vdGU+PENpdGU+PEF1dGhvcj5UaGVpbGlnPC9BdXRob3I+PFllYXI+MjAwMTwvWWVhcj48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</w:fldData>
          </w:fldChar>
        </w:r>
        <w:r w:rsidR="00302BB3">
          <w:rPr>
            <w:rFonts w:ascii="Arial" w:eastAsia="Times New Roman" w:hAnsi="Arial" w:cs="Arial"/>
            <w:lang w:val="en-US" w:eastAsia="de-DE"/>
          </w:rPr>
          <w:instrText xml:space="preserve"> ADDIN EN.CITE.DATA </w:instrText>
        </w:r>
        <w:r w:rsidR="00302BB3">
          <w:rPr>
            <w:rFonts w:ascii="Arial" w:eastAsia="Times New Roman" w:hAnsi="Arial" w:cs="Arial"/>
            <w:lang w:val="en-US" w:eastAsia="de-DE"/>
          </w:rPr>
        </w:r>
        <w:r w:rsidR="00302BB3">
          <w:rPr>
            <w:rFonts w:ascii="Arial" w:eastAsia="Times New Roman" w:hAnsi="Arial" w:cs="Arial"/>
            <w:lang w:val="en-US" w:eastAsia="de-DE"/>
          </w:rPr>
          <w:fldChar w:fldCharType="end"/>
        </w:r>
        <w:r w:rsidR="00302BB3" w:rsidRPr="00A86D99">
          <w:rPr>
            <w:rFonts w:ascii="Arial" w:eastAsia="Times New Roman" w:hAnsi="Arial" w:cs="Arial"/>
            <w:lang w:val="en-US" w:eastAsia="de-DE"/>
          </w:rPr>
        </w:r>
        <w:r w:rsidR="00302BB3" w:rsidRPr="00A86D99">
          <w:rPr>
            <w:rFonts w:ascii="Arial" w:eastAsia="Times New Roman" w:hAnsi="Arial" w:cs="Arial"/>
            <w:lang w:val="en-US" w:eastAsia="de-DE"/>
          </w:rPr>
          <w:fldChar w:fldCharType="separate"/>
        </w:r>
        <w:r w:rsidR="00302BB3" w:rsidRPr="00302BB3">
          <w:rPr>
            <w:rFonts w:ascii="Arial" w:eastAsia="Times New Roman" w:hAnsi="Arial" w:cs="Arial"/>
            <w:noProof/>
            <w:vertAlign w:val="superscript"/>
            <w:lang w:val="en-US" w:eastAsia="de-DE"/>
          </w:rPr>
          <w:t>3</w:t>
        </w:r>
        <w:r w:rsidR="00302BB3" w:rsidRPr="00A86D99">
          <w:rPr>
            <w:rFonts w:ascii="Arial" w:eastAsia="Times New Roman" w:hAnsi="Arial" w:cs="Arial"/>
            <w:lang w:val="en-US" w:eastAsia="de-DE"/>
          </w:rPr>
          <w:fldChar w:fldCharType="end"/>
        </w:r>
      </w:hyperlink>
      <w:r w:rsidRPr="00A86D99">
        <w:rPr>
          <w:rFonts w:ascii="Arial" w:eastAsia="Times New Roman" w:hAnsi="Arial" w:cs="Arial"/>
          <w:lang w:val="en-US" w:eastAsia="de-DE"/>
        </w:rPr>
        <w:t>.</w:t>
      </w:r>
    </w:p>
    <w:p w:rsidR="00302BB3" w:rsidRDefault="00302BB3" w:rsidP="00D046DD">
      <w:pPr>
        <w:spacing w:after="0" w:line="480" w:lineRule="auto"/>
        <w:jc w:val="both"/>
        <w:rPr>
          <w:rFonts w:ascii="Arial" w:eastAsia="Times New Roman" w:hAnsi="Arial" w:cs="Arial"/>
          <w:b/>
          <w:lang w:val="en-US" w:eastAsia="de-DE"/>
        </w:rPr>
      </w:pPr>
    </w:p>
    <w:p w:rsidR="00302BB3" w:rsidRDefault="00302BB3" w:rsidP="00D046DD">
      <w:pPr>
        <w:spacing w:after="0" w:line="480" w:lineRule="auto"/>
        <w:jc w:val="both"/>
        <w:rPr>
          <w:rFonts w:ascii="Arial" w:eastAsia="Times New Roman" w:hAnsi="Arial" w:cs="Arial"/>
          <w:b/>
          <w:lang w:val="en-US" w:eastAsia="de-DE"/>
        </w:rPr>
      </w:pPr>
    </w:p>
    <w:p w:rsidR="00B64703" w:rsidRDefault="00B64703">
      <w:pPr>
        <w:rPr>
          <w:rFonts w:ascii="Arial" w:eastAsia="Calibri" w:hAnsi="Arial" w:cs="Arial"/>
          <w:b/>
          <w:lang w:val="en-US"/>
        </w:rPr>
      </w:pPr>
      <w:r>
        <w:rPr>
          <w:rFonts w:ascii="Arial" w:hAnsi="Arial" w:cs="Arial"/>
          <w:b/>
          <w:lang w:val="en-US"/>
        </w:rPr>
        <w:br w:type="page"/>
      </w:r>
    </w:p>
    <w:p w:rsidR="00302BB3" w:rsidRDefault="00302BB3" w:rsidP="00302BB3">
      <w:pPr>
        <w:pStyle w:val="KeinLeerraum"/>
        <w:spacing w:line="480" w:lineRule="auto"/>
        <w:jc w:val="both"/>
        <w:rPr>
          <w:rFonts w:ascii="Arial" w:hAnsi="Arial" w:cs="Arial"/>
          <w:b/>
          <w:lang w:val="en-US"/>
        </w:rPr>
      </w:pPr>
      <w:r>
        <w:rPr>
          <w:rFonts w:ascii="Arial" w:hAnsi="Arial" w:cs="Arial"/>
          <w:b/>
          <w:lang w:val="en-US"/>
        </w:rPr>
        <w:lastRenderedPageBreak/>
        <w:t>Supplementary Figure</w:t>
      </w:r>
      <w:r w:rsidR="00F96527">
        <w:rPr>
          <w:rFonts w:ascii="Arial" w:hAnsi="Arial" w:cs="Arial"/>
          <w:b/>
          <w:lang w:val="en-US"/>
        </w:rPr>
        <w:t>s and Figure</w:t>
      </w:r>
      <w:r>
        <w:rPr>
          <w:rFonts w:ascii="Arial" w:hAnsi="Arial" w:cs="Arial"/>
          <w:b/>
          <w:lang w:val="en-US"/>
        </w:rPr>
        <w:t xml:space="preserve"> Legends</w:t>
      </w:r>
    </w:p>
    <w:p w:rsidR="00302BB3" w:rsidRDefault="00B64703" w:rsidP="00D046DD">
      <w:pPr>
        <w:spacing w:after="0" w:line="480" w:lineRule="auto"/>
        <w:jc w:val="both"/>
        <w:rPr>
          <w:rFonts w:ascii="Arial" w:eastAsia="Times New Roman" w:hAnsi="Arial" w:cs="Arial"/>
          <w:b/>
          <w:lang w:val="en-US" w:eastAsia="de-DE"/>
        </w:rPr>
      </w:pPr>
      <w:r>
        <w:rPr>
          <w:rFonts w:ascii="Arial" w:eastAsia="Times New Roman" w:hAnsi="Arial" w:cs="Arial"/>
          <w:b/>
          <w:noProof/>
          <w:lang w:eastAsia="de-DE"/>
        </w:rPr>
        <w:drawing>
          <wp:inline distT="0" distB="0" distL="0" distR="0">
            <wp:extent cx="5760720" cy="5791200"/>
            <wp:effectExtent l="0" t="0" r="0" b="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olie1.TIF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4603"/>
                    <a:stretch/>
                  </pic:blipFill>
                  <pic:spPr bwMode="auto">
                    <a:xfrm>
                      <a:off x="0" y="0"/>
                      <a:ext cx="5760720" cy="5791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64703" w:rsidRDefault="00B64703" w:rsidP="00D046DD">
      <w:pPr>
        <w:spacing w:after="0" w:line="480" w:lineRule="auto"/>
        <w:jc w:val="both"/>
        <w:rPr>
          <w:rFonts w:ascii="Arial" w:eastAsia="Times New Roman" w:hAnsi="Arial" w:cs="Arial"/>
          <w:b/>
          <w:lang w:val="en-US" w:eastAsia="de-DE"/>
        </w:rPr>
      </w:pPr>
    </w:p>
    <w:p w:rsidR="00F55BA4" w:rsidRDefault="00D046DD" w:rsidP="00D046DD">
      <w:pPr>
        <w:spacing w:after="0" w:line="480" w:lineRule="auto"/>
        <w:jc w:val="both"/>
        <w:rPr>
          <w:rFonts w:ascii="Arial" w:eastAsia="Times New Roman" w:hAnsi="Arial" w:cs="Arial"/>
          <w:lang w:val="en-US" w:eastAsia="de-DE"/>
        </w:rPr>
      </w:pPr>
      <w:r>
        <w:rPr>
          <w:rFonts w:ascii="Arial" w:eastAsia="Times New Roman" w:hAnsi="Arial" w:cs="Arial"/>
          <w:b/>
          <w:lang w:val="en-US" w:eastAsia="de-DE"/>
        </w:rPr>
        <w:t>Figure S1</w:t>
      </w:r>
      <w:r w:rsidRPr="00D26730">
        <w:rPr>
          <w:rFonts w:ascii="Arial" w:eastAsia="Times New Roman" w:hAnsi="Arial" w:cs="Arial"/>
          <w:b/>
          <w:lang w:val="en-US" w:eastAsia="de-DE"/>
        </w:rPr>
        <w:t xml:space="preserve">. </w:t>
      </w:r>
      <w:r w:rsidR="00387747">
        <w:rPr>
          <w:rFonts w:ascii="Arial" w:eastAsia="Times New Roman" w:hAnsi="Arial" w:cs="Arial"/>
          <w:b/>
          <w:lang w:val="en-US" w:eastAsia="de-DE"/>
        </w:rPr>
        <w:t xml:space="preserve">Detailed quality control of the mass spectrometry-based proteomics analysis. </w:t>
      </w:r>
      <w:r w:rsidRPr="00D26730">
        <w:rPr>
          <w:rFonts w:ascii="Arial" w:eastAsia="Times New Roman" w:hAnsi="Arial" w:cs="Arial"/>
          <w:lang w:val="en-US" w:eastAsia="de-DE"/>
        </w:rPr>
        <w:t>(A)</w:t>
      </w:r>
      <w:r w:rsidRPr="00D26730">
        <w:rPr>
          <w:rFonts w:ascii="Arial" w:eastAsia="Times New Roman" w:hAnsi="Arial" w:cs="Arial"/>
          <w:b/>
          <w:lang w:val="en-US" w:eastAsia="de-DE"/>
        </w:rPr>
        <w:t xml:space="preserve"> </w:t>
      </w:r>
      <w:r w:rsidRPr="00D26730">
        <w:rPr>
          <w:rFonts w:ascii="Arial" w:eastAsia="Times New Roman" w:hAnsi="Arial" w:cs="Arial"/>
          <w:lang w:val="en-US" w:eastAsia="de-DE"/>
        </w:rPr>
        <w:t>Boxplot of the 14 biological replicate samples. Y axis represent</w:t>
      </w:r>
      <w:r>
        <w:rPr>
          <w:rFonts w:ascii="Arial" w:eastAsia="Times New Roman" w:hAnsi="Arial" w:cs="Arial"/>
          <w:lang w:val="en-US" w:eastAsia="de-DE"/>
        </w:rPr>
        <w:t>s</w:t>
      </w:r>
      <w:r w:rsidRPr="00D26730">
        <w:rPr>
          <w:rFonts w:ascii="Arial" w:eastAsia="Times New Roman" w:hAnsi="Arial" w:cs="Arial"/>
          <w:lang w:val="en-US" w:eastAsia="de-DE"/>
        </w:rPr>
        <w:t xml:space="preserve"> the log</w:t>
      </w:r>
      <w:r w:rsidRPr="006E1D65">
        <w:rPr>
          <w:rFonts w:ascii="Arial" w:eastAsia="Times New Roman" w:hAnsi="Arial" w:cs="Arial"/>
          <w:vertAlign w:val="subscript"/>
          <w:lang w:val="en-US" w:eastAsia="de-DE"/>
        </w:rPr>
        <w:t>2</w:t>
      </w:r>
      <w:r w:rsidRPr="00D26730">
        <w:rPr>
          <w:rFonts w:ascii="Arial" w:eastAsia="Times New Roman" w:hAnsi="Arial" w:cs="Arial"/>
          <w:lang w:val="en-US" w:eastAsia="de-DE"/>
        </w:rPr>
        <w:t xml:space="preserve"> transformed </w:t>
      </w:r>
      <w:proofErr w:type="spellStart"/>
      <w:r w:rsidRPr="00D26730">
        <w:rPr>
          <w:rFonts w:ascii="Arial" w:eastAsia="Times New Roman" w:hAnsi="Arial" w:cs="Arial"/>
          <w:lang w:val="en-US" w:eastAsia="de-DE"/>
        </w:rPr>
        <w:t>LFQ.intensity</w:t>
      </w:r>
      <w:proofErr w:type="spellEnd"/>
      <w:r w:rsidRPr="00D26730">
        <w:rPr>
          <w:rFonts w:ascii="Arial" w:eastAsia="Times New Roman" w:hAnsi="Arial" w:cs="Arial"/>
          <w:lang w:val="en-US" w:eastAsia="de-DE"/>
        </w:rPr>
        <w:t xml:space="preserve"> of the proteins. (B) Density plot of the log</w:t>
      </w:r>
      <w:r w:rsidRPr="006E1D65">
        <w:rPr>
          <w:rFonts w:ascii="Arial" w:eastAsia="Times New Roman" w:hAnsi="Arial" w:cs="Arial"/>
          <w:vertAlign w:val="subscript"/>
          <w:lang w:val="en-US" w:eastAsia="de-DE"/>
        </w:rPr>
        <w:t>2</w:t>
      </w:r>
      <w:r w:rsidR="00D11951">
        <w:rPr>
          <w:rFonts w:ascii="Arial" w:eastAsia="Times New Roman" w:hAnsi="Arial" w:cs="Arial"/>
          <w:lang w:val="en-US" w:eastAsia="de-DE"/>
        </w:rPr>
        <w:t>-</w:t>
      </w:r>
      <w:r w:rsidRPr="00D26730">
        <w:rPr>
          <w:rFonts w:ascii="Arial" w:eastAsia="Times New Roman" w:hAnsi="Arial" w:cs="Arial"/>
          <w:lang w:val="en-US" w:eastAsia="de-DE"/>
        </w:rPr>
        <w:t>transformed LFQ intensit</w:t>
      </w:r>
      <w:r w:rsidR="00D11951">
        <w:rPr>
          <w:rFonts w:ascii="Arial" w:eastAsia="Times New Roman" w:hAnsi="Arial" w:cs="Arial"/>
          <w:lang w:val="en-US" w:eastAsia="de-DE"/>
        </w:rPr>
        <w:t>ies</w:t>
      </w:r>
      <w:r w:rsidRPr="00D26730">
        <w:rPr>
          <w:rFonts w:ascii="Arial" w:eastAsia="Times New Roman" w:hAnsi="Arial" w:cs="Arial"/>
          <w:lang w:val="en-US" w:eastAsia="de-DE"/>
        </w:rPr>
        <w:t xml:space="preserve"> of proteins from 14 biological replicate. The box plot and density plot together show that the log</w:t>
      </w:r>
      <w:r w:rsidRPr="00217D18">
        <w:rPr>
          <w:rFonts w:ascii="Arial" w:eastAsia="Times New Roman" w:hAnsi="Arial" w:cs="Arial"/>
          <w:vertAlign w:val="subscript"/>
          <w:lang w:val="en-US" w:eastAsia="de-DE"/>
        </w:rPr>
        <w:t>2</w:t>
      </w:r>
      <w:r w:rsidR="00D11951">
        <w:rPr>
          <w:rFonts w:ascii="Arial" w:eastAsia="Times New Roman" w:hAnsi="Arial" w:cs="Arial"/>
          <w:lang w:val="en-US" w:eastAsia="de-DE"/>
        </w:rPr>
        <w:t>-</w:t>
      </w:r>
      <w:r w:rsidRPr="00D26730">
        <w:rPr>
          <w:rFonts w:ascii="Arial" w:eastAsia="Times New Roman" w:hAnsi="Arial" w:cs="Arial"/>
          <w:lang w:val="en-US" w:eastAsia="de-DE"/>
        </w:rPr>
        <w:t xml:space="preserve">transformed LFQ intensities follow homogeneous normal-like distributions. (C) Boulder plot </w:t>
      </w:r>
      <w:r w:rsidR="00D11951">
        <w:rPr>
          <w:rFonts w:ascii="Arial" w:eastAsia="Times New Roman" w:hAnsi="Arial" w:cs="Arial"/>
          <w:lang w:val="en-US" w:eastAsia="de-DE"/>
        </w:rPr>
        <w:t>depicting</w:t>
      </w:r>
      <w:r w:rsidR="00D11951" w:rsidRPr="00D26730">
        <w:rPr>
          <w:rFonts w:ascii="Arial" w:eastAsia="Times New Roman" w:hAnsi="Arial" w:cs="Arial"/>
          <w:lang w:val="en-US" w:eastAsia="de-DE"/>
        </w:rPr>
        <w:t xml:space="preserve"> </w:t>
      </w:r>
      <w:r w:rsidRPr="00D26730">
        <w:rPr>
          <w:rFonts w:ascii="Arial" w:eastAsia="Times New Roman" w:hAnsi="Arial" w:cs="Arial"/>
          <w:lang w:val="en-US" w:eastAsia="de-DE"/>
        </w:rPr>
        <w:t xml:space="preserve">the proportion of the explained variance of the Eigen values of the Principal Component Analysis. (D) Correlation heatmap of the 14 biological replicates. </w:t>
      </w:r>
      <w:r w:rsidRPr="00D26730">
        <w:rPr>
          <w:rFonts w:ascii="Arial" w:eastAsia="Times New Roman" w:hAnsi="Arial" w:cs="Arial"/>
          <w:lang w:val="en-US" w:eastAsia="de-DE"/>
        </w:rPr>
        <w:lastRenderedPageBreak/>
        <w:t>Correlation coefficients are calculated using the Pearson method, and the clustering was performed with the complete method and Euclidean distances.</w:t>
      </w:r>
    </w:p>
    <w:p w:rsidR="00F55BA4" w:rsidRDefault="00F55BA4">
      <w:pPr>
        <w:rPr>
          <w:rFonts w:ascii="Arial" w:eastAsia="Times New Roman" w:hAnsi="Arial" w:cs="Arial"/>
          <w:lang w:val="en-US" w:eastAsia="de-DE"/>
        </w:rPr>
      </w:pPr>
      <w:r>
        <w:rPr>
          <w:rFonts w:ascii="Arial" w:eastAsia="Times New Roman" w:hAnsi="Arial" w:cs="Arial"/>
          <w:lang w:val="en-US" w:eastAsia="de-DE"/>
        </w:rPr>
        <w:br w:type="page"/>
      </w:r>
    </w:p>
    <w:p w:rsidR="00B64703" w:rsidRDefault="006A51EE" w:rsidP="00D046DD">
      <w:pPr>
        <w:spacing w:after="0" w:line="480" w:lineRule="auto"/>
        <w:jc w:val="both"/>
        <w:rPr>
          <w:rFonts w:ascii="Arial" w:eastAsia="Times New Roman" w:hAnsi="Arial" w:cs="Arial"/>
          <w:b/>
          <w:lang w:val="en-US" w:eastAsia="de-DE"/>
        </w:rPr>
      </w:pPr>
      <w:r>
        <w:rPr>
          <w:rFonts w:ascii="Arial" w:eastAsia="Times New Roman" w:hAnsi="Arial" w:cs="Arial"/>
          <w:b/>
          <w:noProof/>
          <w:lang w:eastAsia="de-DE"/>
        </w:rPr>
        <w:lastRenderedPageBreak/>
        <w:drawing>
          <wp:inline distT="0" distB="0" distL="0" distR="0">
            <wp:extent cx="5760720" cy="7680960"/>
            <wp:effectExtent l="0" t="0" r="0" b="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Folie2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4703" w:rsidRDefault="00B64703" w:rsidP="00D046DD">
      <w:pPr>
        <w:spacing w:after="0" w:line="480" w:lineRule="auto"/>
        <w:jc w:val="both"/>
        <w:rPr>
          <w:rFonts w:ascii="Arial" w:eastAsia="Times New Roman" w:hAnsi="Arial" w:cs="Arial"/>
          <w:b/>
          <w:lang w:val="en-US" w:eastAsia="de-DE"/>
        </w:rPr>
      </w:pPr>
    </w:p>
    <w:p w:rsidR="00D046DD" w:rsidRPr="00D26730" w:rsidRDefault="00D046DD" w:rsidP="00D046DD">
      <w:pPr>
        <w:spacing w:after="0" w:line="480" w:lineRule="auto"/>
        <w:jc w:val="both"/>
        <w:rPr>
          <w:rFonts w:ascii="Arial" w:eastAsia="Times New Roman" w:hAnsi="Arial" w:cs="Arial"/>
          <w:lang w:val="en-US" w:eastAsia="de-DE"/>
        </w:rPr>
      </w:pPr>
      <w:r w:rsidRPr="00D26730">
        <w:rPr>
          <w:rFonts w:ascii="Arial" w:eastAsia="Times New Roman" w:hAnsi="Arial" w:cs="Arial"/>
          <w:b/>
          <w:lang w:val="en-US" w:eastAsia="de-DE"/>
        </w:rPr>
        <w:t>Figure S</w:t>
      </w:r>
      <w:r>
        <w:rPr>
          <w:rFonts w:ascii="Arial" w:eastAsia="Times New Roman" w:hAnsi="Arial" w:cs="Arial"/>
          <w:b/>
          <w:lang w:val="en-US" w:eastAsia="de-DE"/>
        </w:rPr>
        <w:t>2</w:t>
      </w:r>
      <w:r w:rsidRPr="00D26730">
        <w:rPr>
          <w:rFonts w:ascii="Arial" w:eastAsia="Times New Roman" w:hAnsi="Arial" w:cs="Arial"/>
          <w:b/>
          <w:lang w:val="en-US" w:eastAsia="de-DE"/>
        </w:rPr>
        <w:t xml:space="preserve">. </w:t>
      </w:r>
      <w:r w:rsidRPr="00387747">
        <w:rPr>
          <w:rFonts w:ascii="Arial" w:eastAsia="Times New Roman" w:hAnsi="Arial" w:cs="Arial"/>
          <w:b/>
          <w:lang w:val="en-US" w:eastAsia="de-DE"/>
        </w:rPr>
        <w:t xml:space="preserve">Heatmap </w:t>
      </w:r>
      <w:r w:rsidR="00387747" w:rsidRPr="00387747">
        <w:rPr>
          <w:rFonts w:ascii="Arial" w:eastAsia="Times New Roman" w:hAnsi="Arial" w:cs="Arial"/>
          <w:b/>
          <w:lang w:val="en-US" w:eastAsia="de-DE"/>
        </w:rPr>
        <w:t>of proteomics data.</w:t>
      </w:r>
      <w:r w:rsidR="00387747">
        <w:rPr>
          <w:rFonts w:ascii="Arial" w:eastAsia="Times New Roman" w:hAnsi="Arial" w:cs="Arial"/>
          <w:lang w:val="en-US" w:eastAsia="de-DE"/>
        </w:rPr>
        <w:t xml:space="preserve"> Five </w:t>
      </w:r>
      <w:r w:rsidRPr="00D26730">
        <w:rPr>
          <w:rFonts w:ascii="Arial" w:eastAsia="Times New Roman" w:hAnsi="Arial" w:cs="Arial"/>
          <w:lang w:val="en-US" w:eastAsia="de-DE"/>
        </w:rPr>
        <w:t>regulation classes of 139 significantly regula</w:t>
      </w:r>
      <w:r>
        <w:rPr>
          <w:rFonts w:ascii="Arial" w:eastAsia="Times New Roman" w:hAnsi="Arial" w:cs="Arial"/>
          <w:lang w:val="en-US" w:eastAsia="de-DE"/>
        </w:rPr>
        <w:t>ted metabolically relevant mous</w:t>
      </w:r>
      <w:r w:rsidR="00D92BF2">
        <w:rPr>
          <w:rFonts w:ascii="Arial" w:eastAsia="Times New Roman" w:hAnsi="Arial" w:cs="Arial"/>
          <w:lang w:val="en-US" w:eastAsia="de-DE"/>
        </w:rPr>
        <w:t>e pathways (PIANO</w:t>
      </w:r>
      <w:r w:rsidRPr="00D26730">
        <w:rPr>
          <w:rFonts w:ascii="Arial" w:eastAsia="Times New Roman" w:hAnsi="Arial" w:cs="Arial"/>
          <w:lang w:val="en-US" w:eastAsia="de-DE"/>
        </w:rPr>
        <w:t xml:space="preserve"> consensus score &gt; 50)</w:t>
      </w:r>
      <w:r w:rsidR="00387747">
        <w:rPr>
          <w:rFonts w:ascii="Arial" w:eastAsia="Times New Roman" w:hAnsi="Arial" w:cs="Arial"/>
          <w:lang w:val="en-US" w:eastAsia="de-DE"/>
        </w:rPr>
        <w:t xml:space="preserve"> are presented</w:t>
      </w:r>
      <w:r w:rsidRPr="00D26730">
        <w:rPr>
          <w:rFonts w:ascii="Arial" w:eastAsia="Times New Roman" w:hAnsi="Arial" w:cs="Arial"/>
          <w:lang w:val="en-US" w:eastAsia="de-DE"/>
        </w:rPr>
        <w:t xml:space="preserve">. Significance of the pathways are shown as FDR. </w:t>
      </w:r>
    </w:p>
    <w:p w:rsidR="00D046DD" w:rsidRDefault="006A51EE" w:rsidP="00316C86">
      <w:pPr>
        <w:tabs>
          <w:tab w:val="right" w:pos="360"/>
          <w:tab w:val="left" w:pos="540"/>
        </w:tabs>
        <w:spacing w:after="0" w:line="480" w:lineRule="auto"/>
        <w:rPr>
          <w:rFonts w:ascii="Arial" w:eastAsia="Times New Roman" w:hAnsi="Arial" w:cs="Arial"/>
          <w:b/>
          <w:lang w:val="en-GB" w:eastAsia="de-DE"/>
        </w:rPr>
      </w:pPr>
      <w:r>
        <w:rPr>
          <w:rFonts w:ascii="Arial" w:eastAsia="Times New Roman" w:hAnsi="Arial" w:cs="Arial"/>
          <w:b/>
          <w:noProof/>
          <w:lang w:eastAsia="de-DE"/>
        </w:rPr>
        <w:lastRenderedPageBreak/>
        <w:drawing>
          <wp:inline distT="0" distB="0" distL="0" distR="0">
            <wp:extent cx="5760720" cy="3467100"/>
            <wp:effectExtent l="0" t="0" r="0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Folie3.TIF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4861"/>
                    <a:stretch/>
                  </pic:blipFill>
                  <pic:spPr bwMode="auto">
                    <a:xfrm>
                      <a:off x="0" y="0"/>
                      <a:ext cx="5760720" cy="3467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A51EE" w:rsidRDefault="006A51EE" w:rsidP="00316C86">
      <w:pPr>
        <w:tabs>
          <w:tab w:val="right" w:pos="360"/>
          <w:tab w:val="left" w:pos="540"/>
        </w:tabs>
        <w:spacing w:after="0" w:line="480" w:lineRule="auto"/>
        <w:rPr>
          <w:rFonts w:ascii="Arial" w:eastAsia="Times New Roman" w:hAnsi="Arial" w:cs="Arial"/>
          <w:b/>
          <w:lang w:val="en-GB" w:eastAsia="de-DE"/>
        </w:rPr>
      </w:pPr>
    </w:p>
    <w:p w:rsidR="00D26730" w:rsidRPr="00D26730" w:rsidRDefault="00D26730" w:rsidP="00D26730">
      <w:pPr>
        <w:spacing w:after="0" w:line="480" w:lineRule="auto"/>
        <w:jc w:val="both"/>
        <w:rPr>
          <w:rFonts w:ascii="Arial" w:eastAsia="Times New Roman" w:hAnsi="Arial" w:cs="Arial"/>
          <w:lang w:val="en-US" w:eastAsia="de-DE"/>
        </w:rPr>
      </w:pPr>
      <w:r w:rsidRPr="00D26730">
        <w:rPr>
          <w:rFonts w:ascii="Arial" w:eastAsia="Times New Roman" w:hAnsi="Arial" w:cs="Arial"/>
          <w:b/>
          <w:lang w:val="en-US" w:eastAsia="de-DE"/>
        </w:rPr>
        <w:t>Figure S</w:t>
      </w:r>
      <w:r w:rsidR="00D046DD">
        <w:rPr>
          <w:rFonts w:ascii="Arial" w:eastAsia="Times New Roman" w:hAnsi="Arial" w:cs="Arial"/>
          <w:b/>
          <w:lang w:val="en-US" w:eastAsia="de-DE"/>
        </w:rPr>
        <w:t>3</w:t>
      </w:r>
      <w:r w:rsidRPr="00D26730">
        <w:rPr>
          <w:rFonts w:ascii="Arial" w:eastAsia="Times New Roman" w:hAnsi="Arial" w:cs="Arial"/>
          <w:b/>
          <w:lang w:val="en-US" w:eastAsia="de-DE"/>
        </w:rPr>
        <w:t>.</w:t>
      </w:r>
      <w:r w:rsidRPr="00D26730">
        <w:rPr>
          <w:rFonts w:ascii="Arial" w:eastAsia="Times New Roman" w:hAnsi="Arial" w:cs="Arial"/>
          <w:lang w:val="en-US" w:eastAsia="de-DE"/>
        </w:rPr>
        <w:t xml:space="preserve"> </w:t>
      </w:r>
      <w:r w:rsidR="00387747" w:rsidRPr="00387747">
        <w:rPr>
          <w:rFonts w:ascii="Arial" w:eastAsia="Times New Roman" w:hAnsi="Arial" w:cs="Arial"/>
          <w:b/>
          <w:lang w:val="en-US" w:eastAsia="de-DE"/>
        </w:rPr>
        <w:t>Quantification of protein expression of selected metabolic enzymes.</w:t>
      </w:r>
      <w:r w:rsidR="00387747" w:rsidRPr="00D26730">
        <w:rPr>
          <w:rFonts w:ascii="Arial" w:eastAsia="Times New Roman" w:hAnsi="Arial" w:cs="Arial"/>
          <w:lang w:val="en-US" w:eastAsia="de-DE"/>
        </w:rPr>
        <w:t xml:space="preserve"> </w:t>
      </w:r>
      <w:r w:rsidR="00387747">
        <w:rPr>
          <w:rFonts w:ascii="Arial" w:eastAsia="Times New Roman" w:hAnsi="Arial" w:cs="Arial"/>
          <w:lang w:val="en-US" w:eastAsia="de-DE"/>
        </w:rPr>
        <w:t>E</w:t>
      </w:r>
      <w:r w:rsidRPr="00D26730">
        <w:rPr>
          <w:rFonts w:ascii="Arial" w:eastAsia="Times New Roman" w:hAnsi="Arial" w:cs="Arial"/>
          <w:lang w:val="en-US" w:eastAsia="de-DE"/>
        </w:rPr>
        <w:t xml:space="preserve">xpression based on mass-spectrometry </w:t>
      </w:r>
      <w:r w:rsidRPr="00A86D99">
        <w:rPr>
          <w:rFonts w:ascii="Arial" w:eastAsia="Times New Roman" w:hAnsi="Arial" w:cs="Arial"/>
          <w:lang w:val="en-US" w:eastAsia="de-DE"/>
        </w:rPr>
        <w:t xml:space="preserve">proteomics </w:t>
      </w:r>
      <w:r w:rsidR="00D046DD" w:rsidRPr="00A86D99">
        <w:rPr>
          <w:rFonts w:ascii="Arial" w:eastAsia="Times New Roman" w:hAnsi="Arial" w:cs="Arial"/>
          <w:lang w:val="en-US" w:eastAsia="de-DE"/>
        </w:rPr>
        <w:t>measurements</w:t>
      </w:r>
      <w:r w:rsidR="00556521" w:rsidRPr="00A86D99">
        <w:rPr>
          <w:rFonts w:ascii="Arial" w:eastAsia="Times New Roman" w:hAnsi="Arial" w:cs="Arial"/>
          <w:lang w:val="en-US" w:eastAsia="de-DE"/>
        </w:rPr>
        <w:t xml:space="preserve"> </w:t>
      </w:r>
      <w:r w:rsidR="00387747">
        <w:rPr>
          <w:rFonts w:ascii="Arial" w:eastAsia="Times New Roman" w:hAnsi="Arial" w:cs="Arial"/>
          <w:lang w:val="en-US" w:eastAsia="de-DE"/>
        </w:rPr>
        <w:t xml:space="preserve">is shown </w:t>
      </w:r>
      <w:r w:rsidR="00556521" w:rsidRPr="00A86D99">
        <w:rPr>
          <w:rFonts w:ascii="Arial" w:eastAsia="Times New Roman" w:hAnsi="Arial" w:cs="Arial"/>
          <w:lang w:val="en-US" w:eastAsia="de-DE"/>
        </w:rPr>
        <w:t>(n = 5 to 7</w:t>
      </w:r>
      <w:r w:rsidR="00EC483F" w:rsidRPr="00A86D99">
        <w:rPr>
          <w:rFonts w:ascii="Arial" w:eastAsia="Times New Roman" w:hAnsi="Arial" w:cs="Arial"/>
          <w:lang w:val="en-US" w:eastAsia="de-DE"/>
        </w:rPr>
        <w:t xml:space="preserve">; </w:t>
      </w:r>
      <w:r w:rsidR="00EC483F" w:rsidRPr="00A86D99">
        <w:rPr>
          <w:rFonts w:ascii="Arial" w:hAnsi="Arial" w:cs="Arial"/>
          <w:lang w:val="en-US"/>
        </w:rPr>
        <w:t xml:space="preserve">significance was </w:t>
      </w:r>
      <w:r w:rsidR="00771B78" w:rsidRPr="00A86D99">
        <w:rPr>
          <w:rFonts w:ascii="Arial" w:hAnsi="Arial" w:cs="Arial"/>
          <w:lang w:val="en-US"/>
        </w:rPr>
        <w:t>determined</w:t>
      </w:r>
      <w:r w:rsidR="00EC483F" w:rsidRPr="00A86D99">
        <w:rPr>
          <w:rFonts w:ascii="Arial" w:hAnsi="Arial" w:cs="Arial"/>
          <w:lang w:val="en-US"/>
        </w:rPr>
        <w:t xml:space="preserve"> comparing protein abundance in HCC and control tissue</w:t>
      </w:r>
      <w:r w:rsidR="007E353C" w:rsidRPr="00A86D99">
        <w:rPr>
          <w:rFonts w:ascii="Arial" w:eastAsia="Times New Roman" w:hAnsi="Arial" w:cs="Arial"/>
          <w:lang w:val="en-US" w:eastAsia="de-DE"/>
        </w:rPr>
        <w:t>)</w:t>
      </w:r>
      <w:r w:rsidR="0000785F" w:rsidRPr="00A86D99">
        <w:rPr>
          <w:rFonts w:ascii="Arial" w:eastAsia="Times New Roman" w:hAnsi="Arial" w:cs="Arial"/>
          <w:lang w:val="en-US" w:eastAsia="de-DE"/>
        </w:rPr>
        <w:t>.</w:t>
      </w:r>
      <w:r w:rsidR="007E353C" w:rsidRPr="00A86D99">
        <w:rPr>
          <w:rFonts w:ascii="Arial" w:eastAsia="Times New Roman" w:hAnsi="Arial" w:cs="Arial"/>
          <w:lang w:val="en-US" w:eastAsia="de-DE"/>
        </w:rPr>
        <w:t xml:space="preserve"> </w:t>
      </w:r>
      <w:r w:rsidR="000D04EB" w:rsidRPr="00A86D99">
        <w:rPr>
          <w:rFonts w:ascii="Arial" w:hAnsi="Arial" w:cs="Arial"/>
          <w:lang w:val="en-US"/>
        </w:rPr>
        <w:t xml:space="preserve">*, </w:t>
      </w:r>
      <w:r w:rsidR="000D04EB" w:rsidRPr="00A86D99">
        <w:rPr>
          <w:rFonts w:ascii="Arial" w:hAnsi="Arial" w:cs="Arial"/>
          <w:i/>
          <w:lang w:val="en-US"/>
        </w:rPr>
        <w:t>p</w:t>
      </w:r>
      <w:r w:rsidR="000D04EB" w:rsidRPr="00A86D99">
        <w:rPr>
          <w:rFonts w:ascii="Arial" w:hAnsi="Arial" w:cs="Arial"/>
          <w:lang w:val="en-US"/>
        </w:rPr>
        <w:t xml:space="preserve"> &lt; 0.05, ***, </w:t>
      </w:r>
      <w:r w:rsidR="000D04EB" w:rsidRPr="00A86D99">
        <w:rPr>
          <w:rFonts w:ascii="Arial" w:hAnsi="Arial" w:cs="Arial"/>
          <w:i/>
          <w:lang w:val="en-US"/>
        </w:rPr>
        <w:t>p</w:t>
      </w:r>
      <w:r w:rsidR="007E106B" w:rsidRPr="00A86D99">
        <w:rPr>
          <w:rFonts w:ascii="Arial" w:hAnsi="Arial" w:cs="Arial"/>
          <w:lang w:val="en-US"/>
        </w:rPr>
        <w:t xml:space="preserve"> &lt; 0.0001</w:t>
      </w:r>
      <w:r w:rsidR="000D04EB" w:rsidRPr="00A86D99">
        <w:rPr>
          <w:rFonts w:ascii="Arial" w:hAnsi="Arial" w:cs="Arial"/>
          <w:lang w:val="en-US"/>
        </w:rPr>
        <w:t>.</w:t>
      </w:r>
    </w:p>
    <w:p w:rsidR="00302BB3" w:rsidRDefault="006A51EE" w:rsidP="00B83988">
      <w:pPr>
        <w:spacing w:after="0" w:line="480" w:lineRule="auto"/>
        <w:jc w:val="both"/>
        <w:rPr>
          <w:rFonts w:ascii="Arial" w:eastAsia="Times New Roman" w:hAnsi="Arial" w:cs="Arial"/>
          <w:b/>
          <w:lang w:val="en-US" w:eastAsia="de-DE"/>
        </w:rPr>
      </w:pPr>
      <w:r>
        <w:rPr>
          <w:rFonts w:ascii="Arial" w:eastAsia="Times New Roman" w:hAnsi="Arial" w:cs="Arial"/>
          <w:b/>
          <w:noProof/>
          <w:lang w:eastAsia="de-DE"/>
        </w:rPr>
        <w:lastRenderedPageBreak/>
        <w:drawing>
          <wp:inline distT="0" distB="0" distL="0" distR="0">
            <wp:extent cx="5760720" cy="5570220"/>
            <wp:effectExtent l="0" t="0" r="0" b="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Folie4.TIF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7480"/>
                    <a:stretch/>
                  </pic:blipFill>
                  <pic:spPr bwMode="auto">
                    <a:xfrm>
                      <a:off x="0" y="0"/>
                      <a:ext cx="5760720" cy="55702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A51EE" w:rsidRDefault="006A51EE" w:rsidP="00B83988">
      <w:pPr>
        <w:spacing w:after="0" w:line="480" w:lineRule="auto"/>
        <w:jc w:val="both"/>
        <w:rPr>
          <w:rFonts w:ascii="Arial" w:eastAsia="Times New Roman" w:hAnsi="Arial" w:cs="Arial"/>
          <w:b/>
          <w:lang w:val="en-US" w:eastAsia="de-DE"/>
        </w:rPr>
      </w:pPr>
    </w:p>
    <w:p w:rsidR="00B83988" w:rsidRDefault="00B83988" w:rsidP="00B83988">
      <w:pPr>
        <w:spacing w:after="0" w:line="480" w:lineRule="auto"/>
        <w:jc w:val="both"/>
        <w:rPr>
          <w:rFonts w:ascii="Arial" w:eastAsia="Times New Roman" w:hAnsi="Arial" w:cs="Arial"/>
          <w:b/>
          <w:lang w:val="en-US" w:eastAsia="de-DE"/>
        </w:rPr>
      </w:pPr>
      <w:r w:rsidRPr="00A86D99">
        <w:rPr>
          <w:rFonts w:ascii="Arial" w:eastAsia="Times New Roman" w:hAnsi="Arial" w:cs="Arial"/>
          <w:b/>
          <w:lang w:val="en-US" w:eastAsia="de-DE"/>
        </w:rPr>
        <w:t xml:space="preserve">Figure S4. </w:t>
      </w:r>
      <w:r w:rsidR="00387747">
        <w:rPr>
          <w:rFonts w:ascii="Arial" w:eastAsia="Times New Roman" w:hAnsi="Arial" w:cs="Arial"/>
          <w:b/>
          <w:lang w:val="en-US" w:eastAsia="de-DE"/>
        </w:rPr>
        <w:t xml:space="preserve">Analysis of tumor-associated inflammation. </w:t>
      </w:r>
      <w:r w:rsidRPr="00A86D99">
        <w:rPr>
          <w:rFonts w:ascii="Arial" w:eastAsia="Times New Roman" w:hAnsi="Arial" w:cs="Arial"/>
          <w:lang w:val="en-US" w:eastAsia="de-DE"/>
        </w:rPr>
        <w:t xml:space="preserve">Immunohistochemistry staining for (A) the leukocyte marker CD45 and (B) the macrophages marker F4/80 on murine HCC tissue sections including </w:t>
      </w:r>
      <w:r w:rsidRPr="0021142B">
        <w:rPr>
          <w:rFonts w:ascii="Arial" w:eastAsia="Times New Roman" w:hAnsi="Arial" w:cs="Arial"/>
          <w:u w:val="single"/>
          <w:lang w:val="en-US" w:eastAsia="de-DE"/>
        </w:rPr>
        <w:t>a</w:t>
      </w:r>
      <w:r w:rsidRPr="00A86D99">
        <w:rPr>
          <w:rFonts w:ascii="Arial" w:eastAsia="Times New Roman" w:hAnsi="Arial" w:cs="Arial"/>
          <w:lang w:val="en-US" w:eastAsia="de-DE"/>
        </w:rPr>
        <w:t xml:space="preserve">djacent </w:t>
      </w:r>
      <w:r w:rsidRPr="0021142B">
        <w:rPr>
          <w:rFonts w:ascii="Arial" w:eastAsia="Times New Roman" w:hAnsi="Arial" w:cs="Arial"/>
          <w:u w:val="single"/>
          <w:lang w:val="en-US" w:eastAsia="de-DE"/>
        </w:rPr>
        <w:t>n</w:t>
      </w:r>
      <w:r w:rsidRPr="00A86D99">
        <w:rPr>
          <w:rFonts w:ascii="Arial" w:eastAsia="Times New Roman" w:hAnsi="Arial" w:cs="Arial"/>
          <w:lang w:val="en-US" w:eastAsia="de-DE"/>
        </w:rPr>
        <w:t>on-</w:t>
      </w:r>
      <w:r w:rsidRPr="0021142B">
        <w:rPr>
          <w:rFonts w:ascii="Arial" w:eastAsia="Times New Roman" w:hAnsi="Arial" w:cs="Arial"/>
          <w:u w:val="single"/>
          <w:lang w:val="en-US" w:eastAsia="de-DE"/>
        </w:rPr>
        <w:t>m</w:t>
      </w:r>
      <w:r w:rsidRPr="00A86D99">
        <w:rPr>
          <w:rFonts w:ascii="Arial" w:eastAsia="Times New Roman" w:hAnsi="Arial" w:cs="Arial"/>
          <w:lang w:val="en-US" w:eastAsia="de-DE"/>
        </w:rPr>
        <w:t xml:space="preserve">alignant </w:t>
      </w:r>
      <w:r w:rsidRPr="0021142B">
        <w:rPr>
          <w:rFonts w:ascii="Arial" w:eastAsia="Times New Roman" w:hAnsi="Arial" w:cs="Arial"/>
          <w:u w:val="single"/>
          <w:lang w:val="en-US" w:eastAsia="de-DE"/>
        </w:rPr>
        <w:t>l</w:t>
      </w:r>
      <w:r w:rsidRPr="00A86D99">
        <w:rPr>
          <w:rFonts w:ascii="Arial" w:eastAsia="Times New Roman" w:hAnsi="Arial" w:cs="Arial"/>
          <w:lang w:val="en-US" w:eastAsia="de-DE"/>
        </w:rPr>
        <w:t>iver (a.n</w:t>
      </w:r>
      <w:r w:rsidR="00DD214D" w:rsidRPr="00A86D99">
        <w:rPr>
          <w:rFonts w:ascii="Arial" w:eastAsia="Times New Roman" w:hAnsi="Arial" w:cs="Arial"/>
          <w:lang w:val="en-US" w:eastAsia="de-DE"/>
        </w:rPr>
        <w:t>.-</w:t>
      </w:r>
      <w:proofErr w:type="spellStart"/>
      <w:r w:rsidR="00DD214D" w:rsidRPr="00A86D99">
        <w:rPr>
          <w:rFonts w:ascii="Arial" w:eastAsia="Times New Roman" w:hAnsi="Arial" w:cs="Arial"/>
          <w:lang w:val="en-US" w:eastAsia="de-DE"/>
        </w:rPr>
        <w:t>m.</w:t>
      </w:r>
      <w:r w:rsidRPr="00A86D99">
        <w:rPr>
          <w:rFonts w:ascii="Arial" w:eastAsia="Times New Roman" w:hAnsi="Arial" w:cs="Arial"/>
          <w:lang w:val="en-US" w:eastAsia="de-DE"/>
        </w:rPr>
        <w:t>l</w:t>
      </w:r>
      <w:proofErr w:type="spellEnd"/>
      <w:r w:rsidR="00DD214D" w:rsidRPr="00A86D99">
        <w:rPr>
          <w:rFonts w:ascii="Arial" w:eastAsia="Times New Roman" w:hAnsi="Arial" w:cs="Arial"/>
          <w:lang w:val="en-US" w:eastAsia="de-DE"/>
        </w:rPr>
        <w:t>.</w:t>
      </w:r>
      <w:r w:rsidRPr="00A86D99">
        <w:rPr>
          <w:rFonts w:ascii="Arial" w:eastAsia="Times New Roman" w:hAnsi="Arial" w:cs="Arial"/>
          <w:lang w:val="en-US" w:eastAsia="de-DE"/>
        </w:rPr>
        <w:t>).</w:t>
      </w:r>
      <w:r w:rsidR="00863629" w:rsidRPr="00A86D99">
        <w:rPr>
          <w:rFonts w:ascii="Arial" w:eastAsia="Times New Roman" w:hAnsi="Arial" w:cs="Arial"/>
          <w:lang w:val="en-US" w:eastAsia="de-DE"/>
        </w:rPr>
        <w:t xml:space="preserve"> Scale bar:</w:t>
      </w:r>
      <w:r w:rsidRPr="00A86D99">
        <w:rPr>
          <w:rFonts w:ascii="Arial" w:eastAsia="Times New Roman" w:hAnsi="Arial" w:cs="Arial"/>
          <w:lang w:val="en-US" w:eastAsia="de-DE"/>
        </w:rPr>
        <w:t xml:space="preserve"> 100 µm.</w:t>
      </w:r>
      <w:r>
        <w:rPr>
          <w:rFonts w:ascii="Arial" w:eastAsia="Times New Roman" w:hAnsi="Arial" w:cs="Arial"/>
          <w:lang w:val="en-US" w:eastAsia="de-DE"/>
        </w:rPr>
        <w:t xml:space="preserve">   </w:t>
      </w:r>
    </w:p>
    <w:p w:rsidR="00B83988" w:rsidRDefault="006A51EE" w:rsidP="00D26730">
      <w:pPr>
        <w:spacing w:after="0" w:line="480" w:lineRule="auto"/>
        <w:jc w:val="both"/>
        <w:rPr>
          <w:rFonts w:ascii="Arial" w:eastAsia="Times New Roman" w:hAnsi="Arial" w:cs="Arial"/>
          <w:b/>
          <w:lang w:val="en-US" w:eastAsia="de-DE"/>
        </w:rPr>
      </w:pPr>
      <w:bookmarkStart w:id="0" w:name="_GoBack"/>
      <w:r>
        <w:rPr>
          <w:rFonts w:ascii="Arial" w:eastAsia="Times New Roman" w:hAnsi="Arial" w:cs="Arial"/>
          <w:b/>
          <w:noProof/>
          <w:lang w:eastAsia="de-DE"/>
        </w:rPr>
        <w:lastRenderedPageBreak/>
        <w:drawing>
          <wp:inline distT="0" distB="0" distL="0" distR="0">
            <wp:extent cx="5760720" cy="4968240"/>
            <wp:effectExtent l="0" t="0" r="0" b="381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Folie5.TIF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5318"/>
                    <a:stretch/>
                  </pic:blipFill>
                  <pic:spPr bwMode="auto">
                    <a:xfrm>
                      <a:off x="0" y="0"/>
                      <a:ext cx="5760720" cy="4968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6A51EE" w:rsidRDefault="006A51EE" w:rsidP="00D26730">
      <w:pPr>
        <w:spacing w:after="0" w:line="480" w:lineRule="auto"/>
        <w:jc w:val="both"/>
        <w:rPr>
          <w:rFonts w:ascii="Arial" w:eastAsia="Times New Roman" w:hAnsi="Arial" w:cs="Arial"/>
          <w:b/>
          <w:lang w:val="en-US" w:eastAsia="de-DE"/>
        </w:rPr>
      </w:pPr>
    </w:p>
    <w:p w:rsidR="00D26730" w:rsidRPr="00302BB3" w:rsidRDefault="00D26730" w:rsidP="00302BB3">
      <w:pPr>
        <w:spacing w:after="0" w:line="480" w:lineRule="auto"/>
        <w:jc w:val="both"/>
        <w:rPr>
          <w:rFonts w:ascii="Arial" w:eastAsia="Times New Roman" w:hAnsi="Arial" w:cs="Arial"/>
          <w:b/>
          <w:lang w:val="en-US" w:eastAsia="de-DE"/>
        </w:rPr>
      </w:pPr>
      <w:r w:rsidRPr="00D26730">
        <w:rPr>
          <w:rFonts w:ascii="Arial" w:eastAsia="Times New Roman" w:hAnsi="Arial" w:cs="Arial"/>
          <w:b/>
          <w:lang w:val="en-US" w:eastAsia="de-DE"/>
        </w:rPr>
        <w:t>Figure S</w:t>
      </w:r>
      <w:r w:rsidR="00B83988">
        <w:rPr>
          <w:rFonts w:ascii="Arial" w:eastAsia="Times New Roman" w:hAnsi="Arial" w:cs="Arial"/>
          <w:b/>
          <w:lang w:val="en-US" w:eastAsia="de-DE"/>
        </w:rPr>
        <w:t>5</w:t>
      </w:r>
      <w:r w:rsidRPr="00D26730">
        <w:rPr>
          <w:rFonts w:ascii="Arial" w:eastAsia="Times New Roman" w:hAnsi="Arial" w:cs="Arial"/>
          <w:b/>
          <w:lang w:val="en-US" w:eastAsia="de-DE"/>
        </w:rPr>
        <w:t xml:space="preserve">. </w:t>
      </w:r>
      <w:r w:rsidR="00C85430">
        <w:rPr>
          <w:rFonts w:ascii="Arial" w:eastAsia="Times New Roman" w:hAnsi="Arial" w:cs="Arial"/>
          <w:b/>
          <w:lang w:val="en-US" w:eastAsia="de-DE"/>
        </w:rPr>
        <w:t xml:space="preserve">Comparison of mitochondrial function and number. </w:t>
      </w:r>
      <w:r w:rsidRPr="00D26730">
        <w:rPr>
          <w:rFonts w:ascii="Arial" w:eastAsia="Times New Roman" w:hAnsi="Arial" w:cs="Arial"/>
          <w:lang w:val="en-US" w:eastAsia="de-DE"/>
        </w:rPr>
        <w:t>(A)</w:t>
      </w:r>
      <w:r w:rsidRPr="00D26730">
        <w:rPr>
          <w:rFonts w:ascii="Arial" w:eastAsia="Times New Roman" w:hAnsi="Arial" w:cs="Arial"/>
          <w:b/>
          <w:lang w:val="en-US" w:eastAsia="de-DE"/>
        </w:rPr>
        <w:t xml:space="preserve"> </w:t>
      </w:r>
      <w:r w:rsidRPr="00D26730">
        <w:rPr>
          <w:rFonts w:ascii="Arial" w:eastAsia="Times New Roman" w:hAnsi="Arial" w:cs="Arial"/>
          <w:lang w:val="en-US" w:eastAsia="de-DE"/>
        </w:rPr>
        <w:t>OCR/ECAR-ratio in control and HCC cells</w:t>
      </w:r>
      <w:r w:rsidR="00FF083E">
        <w:rPr>
          <w:rFonts w:ascii="Arial" w:eastAsia="Times New Roman" w:hAnsi="Arial" w:cs="Arial"/>
          <w:lang w:val="en-US" w:eastAsia="de-DE"/>
        </w:rPr>
        <w:t xml:space="preserve"> (n = 10</w:t>
      </w:r>
      <w:r w:rsidR="0001658E">
        <w:rPr>
          <w:rFonts w:ascii="Arial" w:eastAsia="Times New Roman" w:hAnsi="Arial" w:cs="Arial"/>
          <w:lang w:val="en-US" w:eastAsia="de-DE"/>
        </w:rPr>
        <w:t>).</w:t>
      </w:r>
      <w:r w:rsidR="0011162D">
        <w:rPr>
          <w:rFonts w:ascii="Arial" w:eastAsia="Times New Roman" w:hAnsi="Arial" w:cs="Arial"/>
          <w:lang w:val="en-US" w:eastAsia="de-DE"/>
        </w:rPr>
        <w:t xml:space="preserve"> ***, </w:t>
      </w:r>
      <w:r w:rsidR="0011162D" w:rsidRPr="0001658E">
        <w:rPr>
          <w:rFonts w:ascii="Arial" w:eastAsia="Times New Roman" w:hAnsi="Arial" w:cs="Arial"/>
          <w:i/>
          <w:lang w:val="en-US" w:eastAsia="de-DE"/>
        </w:rPr>
        <w:t>p</w:t>
      </w:r>
      <w:r w:rsidR="0011162D">
        <w:rPr>
          <w:rFonts w:ascii="Arial" w:eastAsia="Times New Roman" w:hAnsi="Arial" w:cs="Arial"/>
          <w:lang w:val="en-US" w:eastAsia="de-DE"/>
        </w:rPr>
        <w:t xml:space="preserve"> &lt; 0.0001</w:t>
      </w:r>
      <w:r w:rsidRPr="00D26730">
        <w:rPr>
          <w:rFonts w:ascii="Arial" w:eastAsia="Times New Roman" w:hAnsi="Arial" w:cs="Arial"/>
          <w:lang w:val="en-US" w:eastAsia="de-DE"/>
        </w:rPr>
        <w:t>.</w:t>
      </w:r>
      <w:r w:rsidRPr="00D26730">
        <w:rPr>
          <w:rFonts w:ascii="Arial" w:eastAsia="Times New Roman" w:hAnsi="Arial" w:cs="Arial"/>
          <w:b/>
          <w:lang w:val="en-US" w:eastAsia="de-DE"/>
        </w:rPr>
        <w:t xml:space="preserve"> </w:t>
      </w:r>
      <w:r w:rsidRPr="00D26730">
        <w:rPr>
          <w:rFonts w:ascii="Arial" w:eastAsia="Times New Roman" w:hAnsi="Arial" w:cs="Arial"/>
          <w:lang w:val="en-US" w:eastAsia="de-DE"/>
        </w:rPr>
        <w:t xml:space="preserve">(B) </w:t>
      </w:r>
      <w:r w:rsidR="005B6C7E">
        <w:rPr>
          <w:rFonts w:ascii="Arial" w:eastAsia="Times New Roman" w:hAnsi="Arial" w:cs="Arial"/>
          <w:lang w:val="en-US" w:eastAsia="de-DE"/>
        </w:rPr>
        <w:t>Representative e</w:t>
      </w:r>
      <w:r w:rsidR="00C85430">
        <w:rPr>
          <w:rFonts w:ascii="Arial" w:eastAsia="Times New Roman" w:hAnsi="Arial" w:cs="Arial"/>
          <w:lang w:val="en-US" w:eastAsia="de-DE"/>
        </w:rPr>
        <w:t>lectron microscopy</w:t>
      </w:r>
      <w:r w:rsidRPr="00D26730">
        <w:rPr>
          <w:rFonts w:ascii="Arial" w:eastAsia="Times New Roman" w:hAnsi="Arial" w:cs="Arial"/>
          <w:lang w:val="en-US" w:eastAsia="de-DE"/>
        </w:rPr>
        <w:t xml:space="preserve"> images of normal </w:t>
      </w:r>
      <w:r w:rsidR="0011162D">
        <w:rPr>
          <w:rFonts w:ascii="Arial" w:eastAsia="Times New Roman" w:hAnsi="Arial" w:cs="Arial"/>
          <w:lang w:val="en-US" w:eastAsia="de-DE"/>
        </w:rPr>
        <w:t>(</w:t>
      </w:r>
      <w:proofErr w:type="spellStart"/>
      <w:r w:rsidR="0011162D">
        <w:rPr>
          <w:rFonts w:ascii="Arial" w:eastAsia="Times New Roman" w:hAnsi="Arial" w:cs="Arial"/>
          <w:lang w:val="en-US" w:eastAsia="de-DE"/>
        </w:rPr>
        <w:t>ctr</w:t>
      </w:r>
      <w:proofErr w:type="spellEnd"/>
      <w:r w:rsidR="0011162D">
        <w:rPr>
          <w:rFonts w:ascii="Arial" w:eastAsia="Times New Roman" w:hAnsi="Arial" w:cs="Arial"/>
          <w:lang w:val="en-US" w:eastAsia="de-DE"/>
        </w:rPr>
        <w:t xml:space="preserve">) </w:t>
      </w:r>
      <w:r w:rsidRPr="00D26730">
        <w:rPr>
          <w:rFonts w:ascii="Arial" w:eastAsia="Times New Roman" w:hAnsi="Arial" w:cs="Arial"/>
          <w:lang w:val="en-US" w:eastAsia="de-DE"/>
        </w:rPr>
        <w:t xml:space="preserve">and ASV-B liver </w:t>
      </w:r>
      <w:r w:rsidR="0001658E">
        <w:rPr>
          <w:rFonts w:ascii="Arial" w:eastAsia="Times New Roman" w:hAnsi="Arial" w:cs="Arial"/>
          <w:lang w:val="en-US" w:eastAsia="de-DE"/>
        </w:rPr>
        <w:t xml:space="preserve">(HCC) </w:t>
      </w:r>
      <w:r w:rsidRPr="00D26730">
        <w:rPr>
          <w:rFonts w:ascii="Arial" w:eastAsia="Times New Roman" w:hAnsi="Arial" w:cs="Arial"/>
          <w:lang w:val="en-US" w:eastAsia="de-DE"/>
        </w:rPr>
        <w:t>sections</w:t>
      </w:r>
      <w:r w:rsidRPr="00AA1A38">
        <w:rPr>
          <w:rFonts w:ascii="Arial" w:eastAsia="Times New Roman" w:hAnsi="Arial" w:cs="Arial"/>
          <w:lang w:val="en-US" w:eastAsia="de-DE"/>
        </w:rPr>
        <w:t>.</w:t>
      </w:r>
      <w:r w:rsidR="000D04EB">
        <w:rPr>
          <w:rFonts w:ascii="Arial" w:eastAsia="Times New Roman" w:hAnsi="Arial" w:cs="Arial"/>
          <w:lang w:val="en-US" w:eastAsia="de-DE"/>
        </w:rPr>
        <w:t xml:space="preserve"> Scale bar:</w:t>
      </w:r>
      <w:r w:rsidR="00BD088E" w:rsidRPr="00AA1A38">
        <w:rPr>
          <w:rFonts w:ascii="Arial" w:eastAsia="Times New Roman" w:hAnsi="Arial" w:cs="Arial"/>
          <w:lang w:val="en-US" w:eastAsia="de-DE"/>
        </w:rPr>
        <w:t xml:space="preserve"> 2 µm.</w:t>
      </w:r>
    </w:p>
    <w:p w:rsidR="00254459" w:rsidRDefault="00254459">
      <w:pPr>
        <w:rPr>
          <w:rFonts w:ascii="Arial" w:eastAsia="Times New Roman" w:hAnsi="Arial" w:cs="Arial"/>
          <w:b/>
          <w:lang w:val="en-US" w:eastAsia="de-DE"/>
        </w:rPr>
      </w:pPr>
    </w:p>
    <w:p w:rsidR="00F55BA4" w:rsidRDefault="00F55BA4">
      <w:pPr>
        <w:rPr>
          <w:rFonts w:ascii="Arial" w:eastAsia="Times New Roman" w:hAnsi="Arial" w:cs="Arial"/>
          <w:b/>
          <w:lang w:val="en-US" w:eastAsia="de-DE"/>
        </w:rPr>
      </w:pPr>
    </w:p>
    <w:p w:rsidR="00302BB3" w:rsidRDefault="00302BB3">
      <w:pPr>
        <w:rPr>
          <w:rFonts w:ascii="Arial" w:eastAsia="Times New Roman" w:hAnsi="Arial" w:cs="Arial"/>
          <w:b/>
          <w:lang w:val="en-US" w:eastAsia="de-DE"/>
        </w:rPr>
      </w:pPr>
    </w:p>
    <w:p w:rsidR="00F55BA4" w:rsidRDefault="00F55BA4">
      <w:pPr>
        <w:rPr>
          <w:rFonts w:ascii="Arial" w:eastAsia="Calibri" w:hAnsi="Arial" w:cs="Arial"/>
          <w:b/>
          <w:lang w:val="en-US"/>
        </w:rPr>
      </w:pPr>
      <w:r>
        <w:rPr>
          <w:rFonts w:ascii="Arial" w:hAnsi="Arial" w:cs="Arial"/>
          <w:b/>
          <w:lang w:val="en-US"/>
        </w:rPr>
        <w:br w:type="page"/>
      </w:r>
    </w:p>
    <w:p w:rsidR="00CB65F9" w:rsidRPr="00771B78" w:rsidRDefault="00CB65F9" w:rsidP="00CB65F9">
      <w:pPr>
        <w:pStyle w:val="KeinLeerraum"/>
        <w:spacing w:line="480" w:lineRule="auto"/>
        <w:jc w:val="both"/>
        <w:rPr>
          <w:rFonts w:ascii="Arial" w:hAnsi="Arial" w:cs="Arial"/>
          <w:b/>
          <w:lang w:val="en-US"/>
        </w:rPr>
      </w:pPr>
      <w:r w:rsidRPr="00771B78">
        <w:rPr>
          <w:rFonts w:ascii="Arial" w:hAnsi="Arial" w:cs="Arial"/>
          <w:b/>
          <w:lang w:val="en-US"/>
        </w:rPr>
        <w:lastRenderedPageBreak/>
        <w:t>Supplementary References</w:t>
      </w:r>
    </w:p>
    <w:p w:rsidR="00302BB3" w:rsidRPr="00302BB3" w:rsidRDefault="00CB65F9" w:rsidP="00302BB3">
      <w:pPr>
        <w:pStyle w:val="EndNoteBibliography"/>
        <w:spacing w:after="0"/>
        <w:ind w:left="720" w:hanging="720"/>
      </w:pPr>
      <w:r w:rsidRPr="00771B78">
        <w:rPr>
          <w:rFonts w:ascii="Arial" w:eastAsia="Calibri" w:hAnsi="Arial" w:cs="Arial"/>
          <w:b/>
        </w:rPr>
        <w:fldChar w:fldCharType="begin"/>
      </w:r>
      <w:r w:rsidRPr="00771B78">
        <w:rPr>
          <w:rFonts w:ascii="Arial" w:eastAsia="Calibri" w:hAnsi="Arial" w:cs="Arial"/>
          <w:b/>
        </w:rPr>
        <w:instrText xml:space="preserve"> ADDIN EN.REFLIST </w:instrText>
      </w:r>
      <w:r w:rsidRPr="00771B78">
        <w:rPr>
          <w:rFonts w:ascii="Arial" w:eastAsia="Calibri" w:hAnsi="Arial" w:cs="Arial"/>
          <w:b/>
        </w:rPr>
        <w:fldChar w:fldCharType="separate"/>
      </w:r>
      <w:bookmarkStart w:id="1" w:name="_ENREF_1"/>
      <w:r w:rsidR="00302BB3" w:rsidRPr="00302BB3">
        <w:t>1.</w:t>
      </w:r>
      <w:r w:rsidR="00302BB3" w:rsidRPr="00302BB3">
        <w:tab/>
        <w:t>Kempa S, Hummel J, Schwemmer T, Pietzke M, Strehmel N, Wienkoop S</w:t>
      </w:r>
      <w:r w:rsidR="00302BB3" w:rsidRPr="00302BB3">
        <w:rPr>
          <w:i/>
        </w:rPr>
        <w:t xml:space="preserve"> et al.</w:t>
      </w:r>
      <w:r w:rsidR="00302BB3" w:rsidRPr="00302BB3">
        <w:t xml:space="preserve"> An automated GCxGC-TOF-MS protocol for batch-wise extraction and alignment of mass isotopomer matrixes from differential 13C-labelling experiments: a case study for photoautotrophic-mixotrophic grown Chlamydomonas reinhardtii cells. </w:t>
      </w:r>
      <w:r w:rsidR="00302BB3" w:rsidRPr="00302BB3">
        <w:rPr>
          <w:i/>
        </w:rPr>
        <w:t>Journal of basic microbiology</w:t>
      </w:r>
      <w:r w:rsidR="00302BB3" w:rsidRPr="00302BB3">
        <w:t xml:space="preserve"> 2009; </w:t>
      </w:r>
      <w:r w:rsidR="00302BB3" w:rsidRPr="00302BB3">
        <w:rPr>
          <w:b/>
        </w:rPr>
        <w:t>49</w:t>
      </w:r>
      <w:r w:rsidR="00302BB3" w:rsidRPr="00302BB3">
        <w:t>(1): 82-91; e-pub ahead of print 2009/02/12; doi 10.1002/jobm.200800337.</w:t>
      </w:r>
      <w:bookmarkEnd w:id="1"/>
    </w:p>
    <w:p w:rsidR="00302BB3" w:rsidRPr="00302BB3" w:rsidRDefault="00302BB3" w:rsidP="00302BB3">
      <w:pPr>
        <w:pStyle w:val="EndNoteBibliography"/>
        <w:spacing w:after="0"/>
        <w:ind w:left="720" w:hanging="720"/>
      </w:pPr>
      <w:bookmarkStart w:id="2" w:name="_ENREF_2"/>
      <w:r w:rsidRPr="00302BB3">
        <w:t>2.</w:t>
      </w:r>
      <w:r w:rsidRPr="00302BB3">
        <w:tab/>
        <w:t xml:space="preserve">Pietzke M, Zasada C, Mudrich S, Kempa S. Decoding the dynamics of cellular metabolism and the action of 3-bromopyruvate and 2-deoxyglucose using pulsed stable isotope-resolved metabolomics. </w:t>
      </w:r>
      <w:r w:rsidRPr="00302BB3">
        <w:rPr>
          <w:i/>
        </w:rPr>
        <w:t>Cancer &amp; metabolism</w:t>
      </w:r>
      <w:r w:rsidRPr="00302BB3">
        <w:t xml:space="preserve"> 2014; </w:t>
      </w:r>
      <w:r w:rsidRPr="00302BB3">
        <w:rPr>
          <w:b/>
        </w:rPr>
        <w:t>2</w:t>
      </w:r>
      <w:r w:rsidRPr="00302BB3">
        <w:t>: 9; e-pub ahead of print 2014/07/19; doi 10.1186/2049-3002-2-9.</w:t>
      </w:r>
      <w:bookmarkEnd w:id="2"/>
    </w:p>
    <w:p w:rsidR="00302BB3" w:rsidRPr="00302BB3" w:rsidRDefault="00302BB3" w:rsidP="00302BB3">
      <w:pPr>
        <w:pStyle w:val="EndNoteBibliography"/>
        <w:ind w:left="720" w:hanging="720"/>
      </w:pPr>
      <w:bookmarkStart w:id="3" w:name="_ENREF_3"/>
      <w:r w:rsidRPr="00302BB3">
        <w:t>3.</w:t>
      </w:r>
      <w:r w:rsidRPr="00302BB3">
        <w:tab/>
        <w:t>Theilig F, Bostanjoglo M, Pavenstadt H, Grupp C, Holland G, Slosarek I</w:t>
      </w:r>
      <w:r w:rsidRPr="00302BB3">
        <w:rPr>
          <w:i/>
        </w:rPr>
        <w:t xml:space="preserve"> et al.</w:t>
      </w:r>
      <w:r w:rsidRPr="00302BB3">
        <w:t xml:space="preserve"> Cellular distribution and function of soluble guanylyl cyclase in rat kidney and liver. </w:t>
      </w:r>
      <w:r w:rsidRPr="00302BB3">
        <w:rPr>
          <w:i/>
        </w:rPr>
        <w:t>Journal of the American Society of Nephrology : JASN</w:t>
      </w:r>
      <w:r w:rsidRPr="00302BB3">
        <w:t xml:space="preserve"> 2001; </w:t>
      </w:r>
      <w:r w:rsidRPr="00302BB3">
        <w:rPr>
          <w:b/>
        </w:rPr>
        <w:t>12</w:t>
      </w:r>
      <w:r w:rsidRPr="00302BB3">
        <w:t>(11): 2209-2220; e-pub ahead of print 2001/10/25.</w:t>
      </w:r>
      <w:bookmarkEnd w:id="3"/>
    </w:p>
    <w:p w:rsidR="00706AC1" w:rsidRDefault="00CB65F9" w:rsidP="005D43A0">
      <w:pPr>
        <w:spacing w:after="0" w:line="480" w:lineRule="auto"/>
        <w:ind w:left="426" w:hanging="426"/>
        <w:jc w:val="both"/>
        <w:rPr>
          <w:rFonts w:ascii="Arial" w:eastAsia="Calibri" w:hAnsi="Arial" w:cs="Arial"/>
          <w:b/>
          <w:lang w:val="en-US"/>
        </w:rPr>
      </w:pPr>
      <w:r w:rsidRPr="00771B78">
        <w:rPr>
          <w:rFonts w:ascii="Arial" w:eastAsia="Calibri" w:hAnsi="Arial" w:cs="Arial"/>
          <w:b/>
          <w:lang w:val="en-US"/>
        </w:rPr>
        <w:fldChar w:fldCharType="end"/>
      </w:r>
    </w:p>
    <w:sectPr w:rsidR="00706AC1">
      <w:footerReference w:type="default" r:id="rId13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63350" w:rsidRDefault="00963350" w:rsidP="00963350">
      <w:pPr>
        <w:spacing w:after="0" w:line="240" w:lineRule="auto"/>
      </w:pPr>
      <w:r>
        <w:separator/>
      </w:r>
    </w:p>
  </w:endnote>
  <w:endnote w:type="continuationSeparator" w:id="0">
    <w:p w:rsidR="00963350" w:rsidRDefault="00963350" w:rsidP="009633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419724253"/>
      <w:docPartObj>
        <w:docPartGallery w:val="Page Numbers (Bottom of Page)"/>
        <w:docPartUnique/>
      </w:docPartObj>
    </w:sdtPr>
    <w:sdtEndPr/>
    <w:sdtContent>
      <w:p w:rsidR="006F2C62" w:rsidRDefault="006F2C62">
        <w:pPr>
          <w:pStyle w:val="Fuzeil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55BA4">
          <w:rPr>
            <w:noProof/>
          </w:rPr>
          <w:t>10</w:t>
        </w:r>
        <w:r>
          <w:fldChar w:fldCharType="end"/>
        </w:r>
      </w:p>
    </w:sdtContent>
  </w:sdt>
  <w:p w:rsidR="006F2C62" w:rsidRDefault="006F2C62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63350" w:rsidRDefault="00963350" w:rsidP="00963350">
      <w:pPr>
        <w:spacing w:after="0" w:line="240" w:lineRule="auto"/>
      </w:pPr>
      <w:r>
        <w:separator/>
      </w:r>
    </w:p>
  </w:footnote>
  <w:footnote w:type="continuationSeparator" w:id="0">
    <w:p w:rsidR="00963350" w:rsidRDefault="00963350" w:rsidP="0096335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7404D5"/>
    <w:multiLevelType w:val="hybridMultilevel"/>
    <w:tmpl w:val="F6EECFE4"/>
    <w:lvl w:ilvl="0" w:tplc="144AC1BA">
      <w:start w:val="1"/>
      <w:numFmt w:val="upperLetter"/>
      <w:lvlText w:val="(%1)"/>
      <w:lvlJc w:val="left"/>
      <w:pPr>
        <w:ind w:left="720" w:hanging="360"/>
      </w:pPr>
      <w:rPr>
        <w:rFonts w:ascii="Arial" w:eastAsia="Times New Roman" w:hAnsi="Arial" w:cs="Arial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5F714A39"/>
    <w:multiLevelType w:val="hybridMultilevel"/>
    <w:tmpl w:val="D09EC8C8"/>
    <w:lvl w:ilvl="0" w:tplc="3F621FB8">
      <w:start w:val="1"/>
      <w:numFmt w:val="upperLetter"/>
      <w:lvlText w:val="(%1)"/>
      <w:lvlJc w:val="left"/>
      <w:pPr>
        <w:ind w:left="720" w:hanging="360"/>
      </w:pPr>
      <w:rPr>
        <w:rFonts w:ascii="Arial" w:eastAsia="Times New Roman" w:hAnsi="Arial" w:cs="Arial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5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1&lt;/Suspended&gt;&lt;/ENInstantFormat&gt;"/>
    <w:docVar w:name="EN.Layout" w:val="&lt;ENLayout&gt;&lt;Style&gt;Brit J Cancer&lt;/Style&gt;&lt;LeftDelim&gt;{&lt;/LeftDelim&gt;&lt;RightDelim&gt;}&lt;/RightDelim&gt;&lt;FontName&gt;Calibri&lt;/FontName&gt;&lt;FontSize&gt;11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1&lt;/HyperlinksEnabled&gt;&lt;HyperlinksVisible&gt;0&lt;/HyperlinksVisible&gt;&lt;EnableBibliographyCategories&gt;0&lt;/EnableBibliographyCategories&gt;&lt;/ENLayout&gt;"/>
    <w:docVar w:name="EN.Libraries" w:val="&lt;Libraries&gt;&lt;item db-id=&quot;ae0wezxsmz5dvoexer4xaazrr2wtz59fafs5&quot;&gt;HepatomaSys manuscript EndNote Library&lt;record-ids&gt;&lt;item&gt;21&lt;/item&gt;&lt;item&gt;26&lt;/item&gt;&lt;item&gt;77&lt;/item&gt;&lt;/record-ids&gt;&lt;/item&gt;&lt;/Libraries&gt;"/>
  </w:docVars>
  <w:rsids>
    <w:rsidRoot w:val="003329DE"/>
    <w:rsid w:val="0000785F"/>
    <w:rsid w:val="00013EB7"/>
    <w:rsid w:val="0001658E"/>
    <w:rsid w:val="0003379A"/>
    <w:rsid w:val="0003585A"/>
    <w:rsid w:val="00046449"/>
    <w:rsid w:val="000629AD"/>
    <w:rsid w:val="00067DC1"/>
    <w:rsid w:val="000702A0"/>
    <w:rsid w:val="00076FA3"/>
    <w:rsid w:val="00083992"/>
    <w:rsid w:val="00084D98"/>
    <w:rsid w:val="000A47F4"/>
    <w:rsid w:val="000B4724"/>
    <w:rsid w:val="000C0B9D"/>
    <w:rsid w:val="000C4F1C"/>
    <w:rsid w:val="000D04EB"/>
    <w:rsid w:val="000D18B8"/>
    <w:rsid w:val="000D3717"/>
    <w:rsid w:val="000E00C3"/>
    <w:rsid w:val="000E0D7F"/>
    <w:rsid w:val="000E1FCB"/>
    <w:rsid w:val="000F7B7C"/>
    <w:rsid w:val="00103B54"/>
    <w:rsid w:val="0011162D"/>
    <w:rsid w:val="00113BE0"/>
    <w:rsid w:val="00121B78"/>
    <w:rsid w:val="00124ED8"/>
    <w:rsid w:val="00127CAC"/>
    <w:rsid w:val="001374EC"/>
    <w:rsid w:val="00137636"/>
    <w:rsid w:val="001674C2"/>
    <w:rsid w:val="001805C7"/>
    <w:rsid w:val="0018447C"/>
    <w:rsid w:val="001852C7"/>
    <w:rsid w:val="00196CF7"/>
    <w:rsid w:val="001B2F6F"/>
    <w:rsid w:val="001E3FFE"/>
    <w:rsid w:val="001F1A15"/>
    <w:rsid w:val="001F24B0"/>
    <w:rsid w:val="001F6E4D"/>
    <w:rsid w:val="001F7F2D"/>
    <w:rsid w:val="0021142B"/>
    <w:rsid w:val="00217D18"/>
    <w:rsid w:val="002210B9"/>
    <w:rsid w:val="00244FFF"/>
    <w:rsid w:val="00254459"/>
    <w:rsid w:val="002602CC"/>
    <w:rsid w:val="00280EF9"/>
    <w:rsid w:val="00282D5A"/>
    <w:rsid w:val="002A1348"/>
    <w:rsid w:val="002A3328"/>
    <w:rsid w:val="002A50C6"/>
    <w:rsid w:val="002C779C"/>
    <w:rsid w:val="002F6990"/>
    <w:rsid w:val="00302BB3"/>
    <w:rsid w:val="00310FCF"/>
    <w:rsid w:val="00315D0D"/>
    <w:rsid w:val="00316C86"/>
    <w:rsid w:val="003329DE"/>
    <w:rsid w:val="00335BDA"/>
    <w:rsid w:val="003802E7"/>
    <w:rsid w:val="003804D0"/>
    <w:rsid w:val="003821DD"/>
    <w:rsid w:val="00387747"/>
    <w:rsid w:val="003879CB"/>
    <w:rsid w:val="00391EB2"/>
    <w:rsid w:val="003A3E83"/>
    <w:rsid w:val="003A6766"/>
    <w:rsid w:val="003B7C75"/>
    <w:rsid w:val="003D1319"/>
    <w:rsid w:val="003E38D3"/>
    <w:rsid w:val="004125F7"/>
    <w:rsid w:val="00413387"/>
    <w:rsid w:val="0042127C"/>
    <w:rsid w:val="00421525"/>
    <w:rsid w:val="00446429"/>
    <w:rsid w:val="00462717"/>
    <w:rsid w:val="00481043"/>
    <w:rsid w:val="004947D6"/>
    <w:rsid w:val="004A2A63"/>
    <w:rsid w:val="004A2E45"/>
    <w:rsid w:val="004B0FBD"/>
    <w:rsid w:val="004B32EA"/>
    <w:rsid w:val="004C2F2E"/>
    <w:rsid w:val="004C64C4"/>
    <w:rsid w:val="004E3C51"/>
    <w:rsid w:val="005231C7"/>
    <w:rsid w:val="00525283"/>
    <w:rsid w:val="005312CA"/>
    <w:rsid w:val="00533DA2"/>
    <w:rsid w:val="00542ECC"/>
    <w:rsid w:val="00544EF5"/>
    <w:rsid w:val="00555231"/>
    <w:rsid w:val="00556521"/>
    <w:rsid w:val="00565122"/>
    <w:rsid w:val="005656F8"/>
    <w:rsid w:val="00584CD4"/>
    <w:rsid w:val="00594D40"/>
    <w:rsid w:val="00595412"/>
    <w:rsid w:val="005A08FC"/>
    <w:rsid w:val="005B6C7E"/>
    <w:rsid w:val="005D43A0"/>
    <w:rsid w:val="005E0637"/>
    <w:rsid w:val="0060256E"/>
    <w:rsid w:val="006171F6"/>
    <w:rsid w:val="00654D51"/>
    <w:rsid w:val="00683E2A"/>
    <w:rsid w:val="00696BFD"/>
    <w:rsid w:val="006A3250"/>
    <w:rsid w:val="006A3EA0"/>
    <w:rsid w:val="006A51EE"/>
    <w:rsid w:val="006B4B2D"/>
    <w:rsid w:val="006C21D2"/>
    <w:rsid w:val="006D031E"/>
    <w:rsid w:val="006D1C9D"/>
    <w:rsid w:val="006E1D65"/>
    <w:rsid w:val="006F2C62"/>
    <w:rsid w:val="0070090A"/>
    <w:rsid w:val="00705035"/>
    <w:rsid w:val="00706AC1"/>
    <w:rsid w:val="00725196"/>
    <w:rsid w:val="0076418D"/>
    <w:rsid w:val="00771B78"/>
    <w:rsid w:val="007757B6"/>
    <w:rsid w:val="0077738C"/>
    <w:rsid w:val="00781283"/>
    <w:rsid w:val="007E106B"/>
    <w:rsid w:val="007E353C"/>
    <w:rsid w:val="007E3EEC"/>
    <w:rsid w:val="007E7E1B"/>
    <w:rsid w:val="00820A56"/>
    <w:rsid w:val="0082709C"/>
    <w:rsid w:val="00863629"/>
    <w:rsid w:val="00877AB3"/>
    <w:rsid w:val="00882C67"/>
    <w:rsid w:val="00892762"/>
    <w:rsid w:val="00894174"/>
    <w:rsid w:val="008953AE"/>
    <w:rsid w:val="008A32C7"/>
    <w:rsid w:val="008B0145"/>
    <w:rsid w:val="008C4B0F"/>
    <w:rsid w:val="008E21A7"/>
    <w:rsid w:val="008E6DEF"/>
    <w:rsid w:val="008E7F5E"/>
    <w:rsid w:val="00911BAD"/>
    <w:rsid w:val="009153EB"/>
    <w:rsid w:val="0091777B"/>
    <w:rsid w:val="009348B9"/>
    <w:rsid w:val="00963350"/>
    <w:rsid w:val="00982F17"/>
    <w:rsid w:val="00983B19"/>
    <w:rsid w:val="00990DB2"/>
    <w:rsid w:val="0099363B"/>
    <w:rsid w:val="009956EA"/>
    <w:rsid w:val="009A0A22"/>
    <w:rsid w:val="009C1A62"/>
    <w:rsid w:val="009C5D30"/>
    <w:rsid w:val="009D4400"/>
    <w:rsid w:val="009D77E6"/>
    <w:rsid w:val="009E0B69"/>
    <w:rsid w:val="00A02762"/>
    <w:rsid w:val="00A13982"/>
    <w:rsid w:val="00A469FE"/>
    <w:rsid w:val="00A51480"/>
    <w:rsid w:val="00A74173"/>
    <w:rsid w:val="00A82A45"/>
    <w:rsid w:val="00A86D99"/>
    <w:rsid w:val="00A95554"/>
    <w:rsid w:val="00AA1A38"/>
    <w:rsid w:val="00AA6241"/>
    <w:rsid w:val="00AB3F5B"/>
    <w:rsid w:val="00AD1098"/>
    <w:rsid w:val="00AE014A"/>
    <w:rsid w:val="00AE6E01"/>
    <w:rsid w:val="00B062FF"/>
    <w:rsid w:val="00B32B33"/>
    <w:rsid w:val="00B368F0"/>
    <w:rsid w:val="00B43613"/>
    <w:rsid w:val="00B44C59"/>
    <w:rsid w:val="00B5257E"/>
    <w:rsid w:val="00B577C5"/>
    <w:rsid w:val="00B611AF"/>
    <w:rsid w:val="00B64703"/>
    <w:rsid w:val="00B66233"/>
    <w:rsid w:val="00B83988"/>
    <w:rsid w:val="00BD088E"/>
    <w:rsid w:val="00BE7D64"/>
    <w:rsid w:val="00BE7FA0"/>
    <w:rsid w:val="00BF2DBD"/>
    <w:rsid w:val="00C334DE"/>
    <w:rsid w:val="00C70355"/>
    <w:rsid w:val="00C85430"/>
    <w:rsid w:val="00CA439D"/>
    <w:rsid w:val="00CA541F"/>
    <w:rsid w:val="00CB65F9"/>
    <w:rsid w:val="00CC19A2"/>
    <w:rsid w:val="00CC21F3"/>
    <w:rsid w:val="00CC7FBA"/>
    <w:rsid w:val="00CD7929"/>
    <w:rsid w:val="00CE544F"/>
    <w:rsid w:val="00D046DD"/>
    <w:rsid w:val="00D11951"/>
    <w:rsid w:val="00D16E5C"/>
    <w:rsid w:val="00D26730"/>
    <w:rsid w:val="00D501CC"/>
    <w:rsid w:val="00D54373"/>
    <w:rsid w:val="00D8088C"/>
    <w:rsid w:val="00D80EAF"/>
    <w:rsid w:val="00D84DA8"/>
    <w:rsid w:val="00D92BF2"/>
    <w:rsid w:val="00DA5CA4"/>
    <w:rsid w:val="00DB0BFE"/>
    <w:rsid w:val="00DC1073"/>
    <w:rsid w:val="00DC2C73"/>
    <w:rsid w:val="00DC4D55"/>
    <w:rsid w:val="00DD214D"/>
    <w:rsid w:val="00DE31CB"/>
    <w:rsid w:val="00DE43AD"/>
    <w:rsid w:val="00DF284C"/>
    <w:rsid w:val="00DF7978"/>
    <w:rsid w:val="00E04702"/>
    <w:rsid w:val="00E25E2C"/>
    <w:rsid w:val="00E34097"/>
    <w:rsid w:val="00E471E9"/>
    <w:rsid w:val="00E751CD"/>
    <w:rsid w:val="00E75322"/>
    <w:rsid w:val="00E81B36"/>
    <w:rsid w:val="00E83048"/>
    <w:rsid w:val="00E96B2F"/>
    <w:rsid w:val="00E97353"/>
    <w:rsid w:val="00EA089D"/>
    <w:rsid w:val="00EC483F"/>
    <w:rsid w:val="00EF0360"/>
    <w:rsid w:val="00F01F36"/>
    <w:rsid w:val="00F06A9C"/>
    <w:rsid w:val="00F1382C"/>
    <w:rsid w:val="00F14846"/>
    <w:rsid w:val="00F1783E"/>
    <w:rsid w:val="00F32ACA"/>
    <w:rsid w:val="00F42629"/>
    <w:rsid w:val="00F442B4"/>
    <w:rsid w:val="00F4711E"/>
    <w:rsid w:val="00F55BA4"/>
    <w:rsid w:val="00F56E50"/>
    <w:rsid w:val="00F76B52"/>
    <w:rsid w:val="00F8222C"/>
    <w:rsid w:val="00F91950"/>
    <w:rsid w:val="00F96527"/>
    <w:rsid w:val="00FB54AC"/>
    <w:rsid w:val="00FC65BA"/>
    <w:rsid w:val="00FE01BE"/>
    <w:rsid w:val="00FF083E"/>
    <w:rsid w:val="00FF2B46"/>
    <w:rsid w:val="00FF4C62"/>
    <w:rsid w:val="00FF69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AF8202"/>
  <w15:docId w15:val="{73545566-7987-4DD9-9FF2-CAE116ACDF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einLeerraum">
    <w:name w:val="No Spacing"/>
    <w:uiPriority w:val="99"/>
    <w:qFormat/>
    <w:rsid w:val="003329DE"/>
    <w:pPr>
      <w:spacing w:after="0" w:line="240" w:lineRule="auto"/>
    </w:pPr>
    <w:rPr>
      <w:rFonts w:ascii="Calibri" w:eastAsia="Calibri" w:hAnsi="Calibri" w:cs="Times New Roman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BE7D6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BE7D64"/>
    <w:rPr>
      <w:rFonts w:ascii="Segoe UI" w:hAnsi="Segoe UI" w:cs="Segoe UI"/>
      <w:sz w:val="18"/>
      <w:szCs w:val="18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F1382C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F1382C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F1382C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F1382C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F1382C"/>
    <w:rPr>
      <w:b/>
      <w:bCs/>
      <w:sz w:val="20"/>
      <w:szCs w:val="20"/>
    </w:rPr>
  </w:style>
  <w:style w:type="table" w:styleId="Tabellenraster">
    <w:name w:val="Table Grid"/>
    <w:basedOn w:val="NormaleTabelle"/>
    <w:uiPriority w:val="59"/>
    <w:rsid w:val="00DE43A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stentabelle7farbigAkzent61">
    <w:name w:val="Listentabelle 7 farbig – Akzent 61"/>
    <w:basedOn w:val="NormaleTabelle"/>
    <w:uiPriority w:val="52"/>
    <w:rsid w:val="00DE43AD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F79646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F79646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F79646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F79646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FDE9D9" w:themeFill="accent6" w:themeFillTint="33"/>
      </w:tcPr>
    </w:tblStylePr>
    <w:tblStylePr w:type="band1Horz">
      <w:tblPr/>
      <w:tcPr>
        <w:shd w:val="clear" w:color="auto" w:fill="FDE9D9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Listentabelle7farbigAkzent51">
    <w:name w:val="Listentabelle 7 farbig – Akzent 51"/>
    <w:basedOn w:val="NormaleTabelle"/>
    <w:uiPriority w:val="52"/>
    <w:rsid w:val="00DE43AD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4BACC6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4BACC6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4BACC6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4BACC6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Gritternetztabelle6farbig1">
    <w:name w:val="Gritternetztabelle 6 farbig1"/>
    <w:basedOn w:val="NormaleTabelle"/>
    <w:uiPriority w:val="51"/>
    <w:rsid w:val="00DE43AD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EinfacheTabelle21">
    <w:name w:val="Einfache Tabelle 21"/>
    <w:basedOn w:val="NormaleTabelle"/>
    <w:uiPriority w:val="42"/>
    <w:rsid w:val="00CC21F3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EinfacheTabelle41">
    <w:name w:val="Einfache Tabelle 41"/>
    <w:basedOn w:val="NormaleTabelle"/>
    <w:uiPriority w:val="44"/>
    <w:rsid w:val="00CC21F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TabellemithellemGitternetz1">
    <w:name w:val="Tabelle mit hellem Gitternetz1"/>
    <w:basedOn w:val="NormaleTabelle"/>
    <w:uiPriority w:val="40"/>
    <w:rsid w:val="00CC21F3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EinfacheTabelle11">
    <w:name w:val="Einfache Tabelle 11"/>
    <w:basedOn w:val="NormaleTabelle"/>
    <w:uiPriority w:val="41"/>
    <w:rsid w:val="00CC21F3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Kopfzeile">
    <w:name w:val="header"/>
    <w:basedOn w:val="Standard"/>
    <w:link w:val="KopfzeileZchn"/>
    <w:unhideWhenUsed/>
    <w:rsid w:val="0096335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963350"/>
  </w:style>
  <w:style w:type="paragraph" w:styleId="Fuzeile">
    <w:name w:val="footer"/>
    <w:basedOn w:val="Standard"/>
    <w:link w:val="FuzeileZchn"/>
    <w:uiPriority w:val="99"/>
    <w:unhideWhenUsed/>
    <w:rsid w:val="0096335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963350"/>
  </w:style>
  <w:style w:type="paragraph" w:customStyle="1" w:styleId="EndNoteBibliographyTitle">
    <w:name w:val="EndNote Bibliography Title"/>
    <w:basedOn w:val="Standard"/>
    <w:link w:val="EndNoteBibliographyTitleZchn"/>
    <w:rsid w:val="00B577C5"/>
    <w:pPr>
      <w:spacing w:after="0"/>
      <w:jc w:val="center"/>
    </w:pPr>
    <w:rPr>
      <w:rFonts w:ascii="Calibri" w:hAnsi="Calibri"/>
      <w:noProof/>
      <w:lang w:val="en-US"/>
    </w:rPr>
  </w:style>
  <w:style w:type="character" w:customStyle="1" w:styleId="EndNoteBibliographyTitleZchn">
    <w:name w:val="EndNote Bibliography Title Zchn"/>
    <w:basedOn w:val="Absatz-Standardschriftart"/>
    <w:link w:val="EndNoteBibliographyTitle"/>
    <w:rsid w:val="00B577C5"/>
    <w:rPr>
      <w:rFonts w:ascii="Calibri" w:hAnsi="Calibri"/>
      <w:noProof/>
      <w:lang w:val="en-US"/>
    </w:rPr>
  </w:style>
  <w:style w:type="paragraph" w:customStyle="1" w:styleId="EndNoteBibliography">
    <w:name w:val="EndNote Bibliography"/>
    <w:basedOn w:val="Standard"/>
    <w:link w:val="EndNoteBibliographyZchn"/>
    <w:rsid w:val="00B577C5"/>
    <w:pPr>
      <w:spacing w:line="240" w:lineRule="auto"/>
    </w:pPr>
    <w:rPr>
      <w:rFonts w:ascii="Calibri" w:hAnsi="Calibri"/>
      <w:noProof/>
      <w:lang w:val="en-US"/>
    </w:rPr>
  </w:style>
  <w:style w:type="character" w:customStyle="1" w:styleId="EndNoteBibliographyZchn">
    <w:name w:val="EndNote Bibliography Zchn"/>
    <w:basedOn w:val="Absatz-Standardschriftart"/>
    <w:link w:val="EndNoteBibliography"/>
    <w:rsid w:val="00B577C5"/>
    <w:rPr>
      <w:rFonts w:ascii="Calibri" w:hAnsi="Calibri"/>
      <w:noProof/>
      <w:lang w:val="en-US"/>
    </w:rPr>
  </w:style>
  <w:style w:type="character" w:styleId="Hyperlink">
    <w:name w:val="Hyperlink"/>
    <w:basedOn w:val="Absatz-Standardschriftart"/>
    <w:uiPriority w:val="99"/>
    <w:unhideWhenUsed/>
    <w:rsid w:val="00B577C5"/>
    <w:rPr>
      <w:color w:val="0000FF" w:themeColor="hyperlink"/>
      <w:u w:val="single"/>
    </w:rPr>
  </w:style>
  <w:style w:type="paragraph" w:styleId="StandardWeb">
    <w:name w:val="Normal (Web)"/>
    <w:basedOn w:val="Standard"/>
    <w:uiPriority w:val="99"/>
    <w:rsid w:val="006F2C6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4233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82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2086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217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373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5113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0290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917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2233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5270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4780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0598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089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256265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80312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1336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5343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53120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144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tif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tiff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tiff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FC5BBE7-C05B-4216-9656-F1F7B798B2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1542</Words>
  <Characters>9717</Characters>
  <Application>Microsoft Office Word</Application>
  <DocSecurity>0</DocSecurity>
  <Lines>80</Lines>
  <Paragraphs>22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11237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Cramer, Thorsten</dc:creator>
  <cp:lastModifiedBy>Cramer, Thorsten</cp:lastModifiedBy>
  <cp:revision>4</cp:revision>
  <cp:lastPrinted>2017-12-09T16:22:00Z</cp:lastPrinted>
  <dcterms:created xsi:type="dcterms:W3CDTF">2019-11-05T15:37:00Z</dcterms:created>
  <dcterms:modified xsi:type="dcterms:W3CDTF">2019-11-05T15:50:00Z</dcterms:modified>
</cp:coreProperties>
</file>