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3F5C6" w14:textId="2476B257" w:rsidR="0005455B" w:rsidRDefault="0005455B" w:rsidP="0005455B">
      <w:pPr>
        <w:spacing w:line="480" w:lineRule="auto"/>
        <w:jc w:val="center"/>
        <w:rPr>
          <w:rFonts w:asciiTheme="majorBidi" w:eastAsia="Times New Roman" w:hAnsiTheme="majorBidi" w:cstheme="majorBidi"/>
          <w:b/>
          <w:bCs/>
          <w:sz w:val="28"/>
          <w:szCs w:val="28"/>
          <w:lang w:val="en-US" w:eastAsia="it-IT" w:bidi="ar-SA"/>
        </w:rPr>
      </w:pPr>
      <w:r>
        <w:rPr>
          <w:rFonts w:asciiTheme="majorBidi" w:eastAsia="Times New Roman" w:hAnsiTheme="majorBidi" w:cstheme="majorBidi"/>
          <w:b/>
          <w:bCs/>
          <w:sz w:val="28"/>
          <w:szCs w:val="28"/>
          <w:lang w:val="en-US" w:eastAsia="it-IT" w:bidi="ar-SA"/>
        </w:rPr>
        <w:t>Supplemental material</w:t>
      </w:r>
    </w:p>
    <w:p w14:paraId="78A47D55" w14:textId="77777777" w:rsidR="0005455B" w:rsidRPr="0005455B" w:rsidRDefault="0005455B" w:rsidP="0005455B">
      <w:pPr>
        <w:spacing w:line="480" w:lineRule="auto"/>
        <w:jc w:val="center"/>
        <w:rPr>
          <w:rFonts w:asciiTheme="majorBidi" w:eastAsia="Times New Roman" w:hAnsiTheme="majorBidi" w:cstheme="majorBidi"/>
          <w:b/>
          <w:bCs/>
          <w:sz w:val="28"/>
          <w:szCs w:val="28"/>
          <w:lang w:val="en-US" w:eastAsia="it-IT" w:bidi="ar-SA"/>
        </w:rPr>
      </w:pPr>
    </w:p>
    <w:p w14:paraId="3078BEDD" w14:textId="77777777" w:rsidR="0005455B" w:rsidRPr="004620EA" w:rsidRDefault="0005455B" w:rsidP="004D67B6">
      <w:pPr>
        <w:spacing w:line="480" w:lineRule="auto"/>
        <w:rPr>
          <w:rFonts w:asciiTheme="majorBidi" w:eastAsia="Times New Roman" w:hAnsiTheme="majorBidi" w:cstheme="majorBidi"/>
          <w:b/>
          <w:bCs/>
          <w:strike/>
          <w:lang w:val="en-US" w:eastAsia="it-IT" w:bidi="ar-SA"/>
        </w:rPr>
      </w:pPr>
    </w:p>
    <w:p w14:paraId="01234832" w14:textId="48063053" w:rsidR="004D67B6" w:rsidRPr="0005455B" w:rsidRDefault="004D67B6" w:rsidP="004D67B6">
      <w:pPr>
        <w:spacing w:line="480" w:lineRule="auto"/>
        <w:rPr>
          <w:rFonts w:asciiTheme="majorBidi" w:eastAsia="Times New Roman" w:hAnsiTheme="majorBidi" w:cstheme="majorBidi"/>
          <w:b/>
          <w:bCs/>
          <w:lang w:val="en-US" w:eastAsia="it-IT" w:bidi="ar-SA"/>
        </w:rPr>
      </w:pPr>
      <w:r w:rsidRPr="0005455B">
        <w:rPr>
          <w:rFonts w:asciiTheme="majorBidi" w:eastAsia="Times New Roman" w:hAnsiTheme="majorBidi" w:cstheme="majorBidi"/>
          <w:b/>
          <w:bCs/>
          <w:lang w:val="en-US" w:eastAsia="it-IT" w:bidi="ar-SA"/>
        </w:rPr>
        <w:t xml:space="preserve">Supplemental </w:t>
      </w:r>
      <w:r w:rsidR="0038717A" w:rsidRPr="0005455B">
        <w:rPr>
          <w:rFonts w:asciiTheme="majorBidi" w:eastAsia="Times New Roman" w:hAnsiTheme="majorBidi" w:cstheme="majorBidi"/>
          <w:b/>
          <w:bCs/>
          <w:lang w:val="en-US" w:eastAsia="it-IT" w:bidi="ar-SA"/>
        </w:rPr>
        <w:t>methods</w:t>
      </w:r>
    </w:p>
    <w:p w14:paraId="5EF937C2" w14:textId="452700D0" w:rsidR="0038717A" w:rsidRPr="0005455B" w:rsidRDefault="0038717A" w:rsidP="004D67B6">
      <w:pPr>
        <w:spacing w:line="480" w:lineRule="auto"/>
        <w:rPr>
          <w:rFonts w:asciiTheme="majorBidi" w:eastAsia="Times New Roman" w:hAnsiTheme="majorBidi" w:cstheme="majorBidi"/>
          <w:i/>
          <w:iCs/>
          <w:lang w:val="en-US" w:eastAsia="it-IT" w:bidi="ar-SA"/>
        </w:rPr>
      </w:pPr>
      <w:r w:rsidRPr="0005455B">
        <w:rPr>
          <w:rFonts w:asciiTheme="majorBidi" w:eastAsia="Times New Roman" w:hAnsiTheme="majorBidi" w:cstheme="majorBidi"/>
          <w:i/>
          <w:iCs/>
          <w:lang w:val="en-US" w:eastAsia="it-IT" w:bidi="ar-SA"/>
        </w:rPr>
        <w:t>Criteria for patient recruitment</w:t>
      </w:r>
    </w:p>
    <w:p w14:paraId="2D7DF983" w14:textId="52918B60" w:rsidR="0038717A" w:rsidRPr="0005455B" w:rsidRDefault="004D67B6" w:rsidP="004D67B6">
      <w:pPr>
        <w:spacing w:line="480" w:lineRule="auto"/>
        <w:rPr>
          <w:rFonts w:asciiTheme="majorBidi" w:eastAsia="Times New Roman" w:hAnsiTheme="majorBidi" w:cstheme="majorBidi"/>
          <w:lang w:val="en-US" w:eastAsia="it-IT" w:bidi="ar-SA"/>
        </w:rPr>
      </w:pPr>
      <w:r w:rsidRPr="0005455B">
        <w:rPr>
          <w:rFonts w:asciiTheme="majorBidi" w:eastAsia="Times New Roman" w:hAnsiTheme="majorBidi" w:cstheme="majorBidi"/>
          <w:lang w:val="en-US" w:eastAsia="it-IT" w:bidi="ar-SA"/>
        </w:rPr>
        <w:t>Inclusion criteria were</w:t>
      </w:r>
      <w:r w:rsidR="0038717A" w:rsidRPr="0005455B">
        <w:rPr>
          <w:rFonts w:asciiTheme="majorBidi" w:eastAsia="Times New Roman" w:hAnsiTheme="majorBidi" w:cstheme="majorBidi"/>
          <w:lang w:val="en-US" w:eastAsia="it-IT" w:bidi="ar-SA"/>
        </w:rPr>
        <w:t>:</w:t>
      </w:r>
      <w:r w:rsidRPr="0005455B">
        <w:rPr>
          <w:rFonts w:asciiTheme="majorBidi" w:eastAsia="Times New Roman" w:hAnsiTheme="majorBidi" w:cstheme="majorBidi"/>
          <w:lang w:val="en-US" w:eastAsia="it-IT" w:bidi="ar-SA"/>
        </w:rPr>
        <w:t xml:space="preserve"> age 18-80 years</w:t>
      </w:r>
      <w:r w:rsidR="0038717A" w:rsidRPr="0005455B">
        <w:rPr>
          <w:rFonts w:asciiTheme="majorBidi" w:eastAsia="Times New Roman" w:hAnsiTheme="majorBidi" w:cstheme="majorBidi"/>
          <w:lang w:val="en-US" w:eastAsia="it-IT" w:bidi="ar-SA"/>
        </w:rPr>
        <w:t>;</w:t>
      </w:r>
      <w:r w:rsidRPr="0005455B">
        <w:rPr>
          <w:rFonts w:asciiTheme="majorBidi" w:eastAsia="Times New Roman" w:hAnsiTheme="majorBidi" w:cstheme="majorBidi"/>
          <w:lang w:val="en-US" w:eastAsia="it-IT" w:bidi="ar-SA"/>
        </w:rPr>
        <w:t xml:space="preserve"> MS diagnosis according to the 2010 McDonald’s criteria</w:t>
      </w:r>
      <w:r w:rsidRPr="0005455B">
        <w:rPr>
          <w:rFonts w:asciiTheme="majorBidi" w:eastAsia="Times New Roman" w:hAnsiTheme="majorBidi" w:cstheme="majorBidi"/>
          <w:lang w:val="en-US" w:eastAsia="it-IT" w:bidi="ar-SA"/>
        </w:rPr>
        <w:fldChar w:fldCharType="begin"/>
      </w:r>
      <w:r w:rsidR="0038717A" w:rsidRPr="0005455B">
        <w:rPr>
          <w:rFonts w:asciiTheme="majorBidi" w:eastAsia="Times New Roman" w:hAnsiTheme="majorBidi" w:cstheme="majorBidi"/>
          <w:lang w:val="en-US" w:eastAsia="it-IT" w:bidi="ar-SA"/>
        </w:rPr>
        <w:instrText xml:space="preserve"> ADDIN EN.CITE &lt;EndNote&gt;&lt;Cite&gt;&lt;Author&gt;Polman&lt;/Author&gt;&lt;Year&gt;2011&lt;/Year&gt;&lt;RecNum&gt;2816&lt;/RecNum&gt;&lt;DisplayText&gt;[1]&lt;/DisplayText&gt;&lt;record&gt;&lt;rec-number&gt;2816&lt;/rec-number&gt;&lt;foreign-keys&gt;&lt;key app="EN" db-id="asfv2ze5spat0ce0xx1pzarc5f5t2ertra2v" timestamp="1566204164"&gt;2816&lt;/key&gt;&lt;/foreign-keys&gt;&lt;ref-type name="Journal Article"&gt;17&lt;/ref-type&gt;&lt;contributors&gt;&lt;authors&gt;&lt;author&gt;Polman, C. H.&lt;/author&gt;&lt;author&gt;Reingold, S. C.&lt;/author&gt;&lt;author&gt;Banwell, B.&lt;/author&gt;&lt;author&gt;Clanet, M.&lt;/author&gt;&lt;author&gt;Cohen, J. A.&lt;/author&gt;&lt;author&gt;Filippi, M.&lt;/author&gt;&lt;author&gt;Fujihara, K.&lt;/author&gt;&lt;author&gt;Havrdova, E.&lt;/author&gt;&lt;author&gt;Hutchinson, M.&lt;/author&gt;&lt;author&gt;Kappos, L.&lt;/author&gt;&lt;author&gt;Lublin, F. D.&lt;/author&gt;&lt;author&gt;Montalban, X.&lt;/author&gt;&lt;author&gt;O&amp;apos;Connor, P.&lt;/author&gt;&lt;author&gt;Sandberg-Wollheim, M.&lt;/author&gt;&lt;author&gt;Thompson, A. J.&lt;/author&gt;&lt;author&gt;Waubant, E.&lt;/author&gt;&lt;author&gt;Weinshenker, B.&lt;/author&gt;&lt;author&gt;Wolinsky, J. S.&lt;/author&gt;&lt;/authors&gt;&lt;/contributors&gt;&lt;auth-address&gt;Department of Neurology, Free University, Amsterdam, the Netherlands. ch.polman@vumc.nl&lt;/auth-address&gt;&lt;titles&gt;&lt;title&gt;Diagnostic criteria for multiple sclerosis: 2010 revisions to the McDonald criteria&lt;/title&gt;&lt;secondary-title&gt;Ann Neurol&lt;/secondary-title&gt;&lt;/titles&gt;&lt;periodical&gt;&lt;full-title&gt;Ann Neurol&lt;/full-title&gt;&lt;abbr-1&gt;Annals of neurology&lt;/abbr-1&gt;&lt;/periodical&gt;&lt;pages&gt;292-302&lt;/pages&gt;&lt;volume&gt;69&lt;/volume&gt;&lt;number&gt;2&lt;/number&gt;&lt;edition&gt;2011/03/10&lt;/edition&gt;&lt;keywords&gt;&lt;keyword&gt;Early Diagnosis&lt;/keyword&gt;&lt;keyword&gt;Humans&lt;/keyword&gt;&lt;keyword&gt;Magnetic Resonance Imaging&lt;/keyword&gt;&lt;keyword&gt;Multiple Sclerosis/*diagnosis&lt;/keyword&gt;&lt;keyword&gt;Sensitivity and Specificity&lt;/keyword&gt;&lt;/keywords&gt;&lt;dates&gt;&lt;year&gt;2011&lt;/year&gt;&lt;pub-dates&gt;&lt;date&gt;Feb&lt;/date&gt;&lt;/pub-dates&gt;&lt;/dates&gt;&lt;isbn&gt;1531-8249 (Electronic)&amp;#xD;0364-5134 (Linking)&lt;/isbn&gt;&lt;accession-num&gt;21387374&lt;/accession-num&gt;&lt;urls&gt;&lt;related-urls&gt;&lt;url&gt;https://www.ncbi.nlm.nih.gov/pubmed/21387374&lt;/url&gt;&lt;/related-urls&gt;&lt;/urls&gt;&lt;custom2&gt;PMC3084507&lt;/custom2&gt;&lt;electronic-resource-num&gt;10.1002/ana.22366&lt;/electronic-resource-num&gt;&lt;/record&gt;&lt;/Cite&gt;&lt;/EndNote&gt;</w:instrText>
      </w:r>
      <w:r w:rsidRPr="0005455B">
        <w:rPr>
          <w:rFonts w:asciiTheme="majorBidi" w:eastAsia="Times New Roman" w:hAnsiTheme="majorBidi" w:cstheme="majorBidi"/>
          <w:lang w:val="en-US" w:eastAsia="it-IT" w:bidi="ar-SA"/>
        </w:rPr>
        <w:fldChar w:fldCharType="separate"/>
      </w:r>
      <w:r w:rsidR="0038717A" w:rsidRPr="0005455B">
        <w:rPr>
          <w:rFonts w:asciiTheme="majorBidi" w:eastAsia="Times New Roman" w:hAnsiTheme="majorBidi" w:cstheme="majorBidi"/>
          <w:noProof/>
          <w:lang w:val="en-US" w:eastAsia="it-IT" w:bidi="ar-SA"/>
        </w:rPr>
        <w:t>[</w:t>
      </w:r>
      <w:r w:rsidR="00294010">
        <w:rPr>
          <w:rFonts w:asciiTheme="majorBidi" w:eastAsia="Times New Roman" w:hAnsiTheme="majorBidi" w:cstheme="majorBidi"/>
          <w:noProof/>
          <w:lang w:val="en-US" w:eastAsia="it-IT" w:bidi="ar-SA"/>
        </w:rPr>
        <w:t>e</w:t>
      </w:r>
      <w:r w:rsidR="0038717A" w:rsidRPr="0005455B">
        <w:rPr>
          <w:rFonts w:asciiTheme="majorBidi" w:eastAsia="Times New Roman" w:hAnsiTheme="majorBidi" w:cstheme="majorBidi"/>
          <w:noProof/>
          <w:lang w:val="en-US" w:eastAsia="it-IT" w:bidi="ar-SA"/>
        </w:rPr>
        <w:t>1]</w:t>
      </w:r>
      <w:r w:rsidRPr="0005455B">
        <w:rPr>
          <w:rFonts w:asciiTheme="majorBidi" w:eastAsia="Times New Roman" w:hAnsiTheme="majorBidi" w:cstheme="majorBidi"/>
          <w:lang w:val="en-US" w:eastAsia="it-IT" w:bidi="ar-SA"/>
        </w:rPr>
        <w:fldChar w:fldCharType="end"/>
      </w:r>
      <w:r w:rsidR="0038717A" w:rsidRPr="0005455B">
        <w:rPr>
          <w:rFonts w:asciiTheme="majorBidi" w:eastAsia="Times New Roman" w:hAnsiTheme="majorBidi" w:cstheme="majorBidi"/>
          <w:lang w:val="en-US" w:eastAsia="it-IT" w:bidi="ar-SA"/>
        </w:rPr>
        <w:t>;</w:t>
      </w:r>
      <w:r w:rsidRPr="0005455B">
        <w:rPr>
          <w:rFonts w:asciiTheme="majorBidi" w:eastAsia="Times New Roman" w:hAnsiTheme="majorBidi" w:cstheme="majorBidi"/>
          <w:lang w:val="en-US" w:eastAsia="it-IT" w:bidi="ar-SA"/>
        </w:rPr>
        <w:t xml:space="preserve"> relapsing-remitting or progressive course according to Lublin’s criteria</w:t>
      </w:r>
      <w:r w:rsidRPr="0005455B">
        <w:rPr>
          <w:rFonts w:asciiTheme="majorBidi" w:eastAsia="Times New Roman" w:hAnsiTheme="majorBidi" w:cstheme="majorBidi"/>
          <w:lang w:val="en-US" w:eastAsia="it-IT" w:bidi="ar-SA"/>
        </w:rPr>
        <w:fldChar w:fldCharType="begin">
          <w:fldData xml:space="preserve">PEVuZE5vdGU+PENpdGU+PEF1dGhvcj5MdWJsaW48L0F1dGhvcj48WWVhcj4yMDE0PC9ZZWFyPjxS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</w:fldData>
        </w:fldChar>
      </w:r>
      <w:r w:rsidR="0038717A" w:rsidRPr="0005455B">
        <w:rPr>
          <w:rFonts w:asciiTheme="majorBidi" w:eastAsia="Times New Roman" w:hAnsiTheme="majorBidi" w:cstheme="majorBidi"/>
          <w:lang w:val="en-US" w:eastAsia="it-IT" w:bidi="ar-SA"/>
        </w:rPr>
        <w:instrText xml:space="preserve"> ADDIN EN.CITE </w:instrText>
      </w:r>
      <w:r w:rsidR="0038717A" w:rsidRPr="0005455B">
        <w:rPr>
          <w:rFonts w:asciiTheme="majorBidi" w:eastAsia="Times New Roman" w:hAnsiTheme="majorBidi" w:cstheme="majorBidi"/>
          <w:lang w:val="en-US" w:eastAsia="it-IT" w:bidi="ar-SA"/>
        </w:rPr>
        <w:fldChar w:fldCharType="begin">
          <w:fldData xml:space="preserve">PEVuZE5vdGU+PENpdGU+PEF1dGhvcj5MdWJsaW48L0F1dGhvcj48WWVhcj4yMDE0PC9ZZWFyPjxS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</w:fldData>
        </w:fldChar>
      </w:r>
      <w:r w:rsidR="0038717A" w:rsidRPr="0005455B">
        <w:rPr>
          <w:rFonts w:asciiTheme="majorBidi" w:eastAsia="Times New Roman" w:hAnsiTheme="majorBidi" w:cstheme="majorBidi"/>
          <w:lang w:val="en-US" w:eastAsia="it-IT" w:bidi="ar-SA"/>
        </w:rPr>
        <w:instrText xml:space="preserve"> ADDIN EN.CITE.DATA </w:instrText>
      </w:r>
      <w:r w:rsidR="0038717A" w:rsidRPr="0005455B">
        <w:rPr>
          <w:rFonts w:asciiTheme="majorBidi" w:eastAsia="Times New Roman" w:hAnsiTheme="majorBidi" w:cstheme="majorBidi"/>
          <w:lang w:val="en-US" w:eastAsia="it-IT" w:bidi="ar-SA"/>
        </w:rPr>
      </w:r>
      <w:r w:rsidR="0038717A" w:rsidRPr="0005455B">
        <w:rPr>
          <w:rFonts w:asciiTheme="majorBidi" w:eastAsia="Times New Roman" w:hAnsiTheme="majorBidi" w:cstheme="majorBidi"/>
          <w:lang w:val="en-US" w:eastAsia="it-IT" w:bidi="ar-SA"/>
        </w:rPr>
        <w:fldChar w:fldCharType="end"/>
      </w:r>
      <w:r w:rsidRPr="0005455B">
        <w:rPr>
          <w:rFonts w:asciiTheme="majorBidi" w:eastAsia="Times New Roman" w:hAnsiTheme="majorBidi" w:cstheme="majorBidi"/>
          <w:lang w:val="en-US" w:eastAsia="it-IT" w:bidi="ar-SA"/>
        </w:rPr>
      </w:r>
      <w:r w:rsidRPr="0005455B">
        <w:rPr>
          <w:rFonts w:asciiTheme="majorBidi" w:eastAsia="Times New Roman" w:hAnsiTheme="majorBidi" w:cstheme="majorBidi"/>
          <w:lang w:val="en-US" w:eastAsia="it-IT" w:bidi="ar-SA"/>
        </w:rPr>
        <w:fldChar w:fldCharType="separate"/>
      </w:r>
      <w:r w:rsidR="0038717A" w:rsidRPr="0005455B">
        <w:rPr>
          <w:rFonts w:asciiTheme="majorBidi" w:eastAsia="Times New Roman" w:hAnsiTheme="majorBidi" w:cstheme="majorBidi"/>
          <w:noProof/>
          <w:lang w:val="en-US" w:eastAsia="it-IT" w:bidi="ar-SA"/>
        </w:rPr>
        <w:t>[</w:t>
      </w:r>
      <w:r w:rsidR="00294010">
        <w:rPr>
          <w:rFonts w:asciiTheme="majorBidi" w:eastAsia="Times New Roman" w:hAnsiTheme="majorBidi" w:cstheme="majorBidi"/>
          <w:noProof/>
          <w:lang w:val="en-US" w:eastAsia="it-IT" w:bidi="ar-SA"/>
        </w:rPr>
        <w:t>e</w:t>
      </w:r>
      <w:r w:rsidR="0038717A" w:rsidRPr="0005455B">
        <w:rPr>
          <w:rFonts w:asciiTheme="majorBidi" w:eastAsia="Times New Roman" w:hAnsiTheme="majorBidi" w:cstheme="majorBidi"/>
          <w:noProof/>
          <w:lang w:val="en-US" w:eastAsia="it-IT" w:bidi="ar-SA"/>
        </w:rPr>
        <w:t>2]</w:t>
      </w:r>
      <w:r w:rsidRPr="0005455B">
        <w:rPr>
          <w:rFonts w:asciiTheme="majorBidi" w:eastAsia="Times New Roman" w:hAnsiTheme="majorBidi" w:cstheme="majorBidi"/>
          <w:lang w:val="en-US" w:eastAsia="it-IT" w:bidi="ar-SA"/>
        </w:rPr>
        <w:fldChar w:fldCharType="end"/>
      </w:r>
      <w:r w:rsidR="0038717A" w:rsidRPr="0005455B">
        <w:rPr>
          <w:rFonts w:asciiTheme="majorBidi" w:eastAsia="Times New Roman" w:hAnsiTheme="majorBidi" w:cstheme="majorBidi"/>
          <w:lang w:val="en-US" w:eastAsia="it-IT" w:bidi="ar-SA"/>
        </w:rPr>
        <w:t>;</w:t>
      </w:r>
      <w:r w:rsidRPr="0005455B">
        <w:rPr>
          <w:rFonts w:asciiTheme="majorBidi" w:eastAsia="Times New Roman" w:hAnsiTheme="majorBidi" w:cstheme="majorBidi"/>
          <w:lang w:val="en-US" w:eastAsia="it-IT" w:bidi="ar-SA"/>
        </w:rPr>
        <w:t xml:space="preserve"> disease duration ≤15 years for RRMS patients (no restriction with respect to disease duration for the PMS group). Exclusion criteria were</w:t>
      </w:r>
      <w:r w:rsidR="0038717A" w:rsidRPr="0005455B">
        <w:rPr>
          <w:rFonts w:asciiTheme="majorBidi" w:eastAsia="Times New Roman" w:hAnsiTheme="majorBidi" w:cstheme="majorBidi"/>
          <w:lang w:val="en-US" w:eastAsia="it-IT" w:bidi="ar-SA"/>
        </w:rPr>
        <w:t>:</w:t>
      </w:r>
      <w:r w:rsidRPr="0005455B">
        <w:rPr>
          <w:rFonts w:asciiTheme="majorBidi" w:eastAsia="Times New Roman" w:hAnsiTheme="majorBidi" w:cstheme="majorBidi"/>
          <w:lang w:val="en-US" w:eastAsia="it-IT" w:bidi="ar-SA"/>
        </w:rPr>
        <w:t xml:space="preserve"> use of corticosteroids in the last 30 days, a relapse in the month prior to inclusion, impossibility to perform blood draw, chronic diseases other than MS, pregnancy during the course of the study. Use of DMTs was allowed. For untreated patients who had been treated previously, a washout of at least 3 months was required (6 months for ocrelizumab/rituximab; 1 year following alemtuzumab). Patients needed to be stable in their DMT for at least 1 year when treated with interferon (IFN)-beta or glatiramer acetate (GA) or least 6 months for other treatments.</w:t>
      </w:r>
    </w:p>
    <w:p w14:paraId="7E4F2AFC" w14:textId="1CF8357B" w:rsidR="00507E2F" w:rsidRPr="0005455B" w:rsidRDefault="00507E2F" w:rsidP="00507E2F">
      <w:pPr>
        <w:spacing w:line="480" w:lineRule="auto"/>
        <w:rPr>
          <w:rFonts w:asciiTheme="majorBidi" w:eastAsia="Times New Roman" w:hAnsiTheme="majorBidi" w:cstheme="majorBidi"/>
          <w:i/>
          <w:iCs/>
          <w:lang w:val="en-US" w:eastAsia="it-IT" w:bidi="ar-SA"/>
        </w:rPr>
      </w:pPr>
      <w:r w:rsidRPr="0005455B">
        <w:rPr>
          <w:rFonts w:asciiTheme="majorBidi" w:eastAsia="Times New Roman" w:hAnsiTheme="majorBidi" w:cstheme="majorBidi"/>
          <w:i/>
          <w:iCs/>
          <w:lang w:val="en-US" w:eastAsia="it-IT" w:bidi="ar-SA"/>
        </w:rPr>
        <w:t>Standardization of the flow cytometry data acquisition and analysis</w:t>
      </w:r>
    </w:p>
    <w:p w14:paraId="52574A82" w14:textId="77777777" w:rsidR="00507E2F" w:rsidRPr="0005455B" w:rsidRDefault="00507E2F" w:rsidP="00507E2F">
      <w:pPr>
        <w:pStyle w:val="NormalWeb"/>
        <w:spacing w:before="0" w:beforeAutospacing="0" w:after="0" w:afterAutospacing="0" w:line="480" w:lineRule="auto"/>
        <w:jc w:val="both"/>
        <w:rPr>
          <w:rFonts w:asciiTheme="majorBidi" w:hAnsiTheme="majorBidi" w:cstheme="majorBidi"/>
          <w:bCs/>
          <w:iCs/>
          <w:lang w:val="en-US"/>
        </w:rPr>
      </w:pPr>
      <w:r w:rsidRPr="0005455B">
        <w:rPr>
          <w:rFonts w:asciiTheme="majorBidi" w:hAnsiTheme="majorBidi" w:cstheme="majorBidi"/>
          <w:b/>
          <w:bCs/>
          <w:lang w:val="en-US"/>
        </w:rPr>
        <w:t xml:space="preserve">- </w:t>
      </w:r>
      <w:r w:rsidRPr="0005455B">
        <w:rPr>
          <w:rFonts w:asciiTheme="majorBidi" w:hAnsiTheme="majorBidi" w:cstheme="majorBidi"/>
          <w:b/>
          <w:bCs/>
          <w:i/>
          <w:iCs/>
          <w:lang w:val="en-US"/>
        </w:rPr>
        <w:t>Isolation of peripheral blood mononuclear cells (PBMC) from blood</w:t>
      </w:r>
      <w:r w:rsidRPr="0005455B">
        <w:rPr>
          <w:rFonts w:asciiTheme="majorBidi" w:hAnsiTheme="majorBidi" w:cstheme="majorBidi"/>
          <w:bCs/>
          <w:i/>
          <w:iCs/>
          <w:lang w:val="en-US"/>
        </w:rPr>
        <w:t>.</w:t>
      </w:r>
      <w:r w:rsidRPr="0005455B">
        <w:rPr>
          <w:rFonts w:asciiTheme="majorBidi" w:hAnsiTheme="majorBidi" w:cstheme="majorBidi"/>
          <w:bCs/>
          <w:iCs/>
          <w:lang w:val="en-US"/>
        </w:rPr>
        <w:t xml:space="preserve"> Mononuclear cells were isolated from 20 ml peripheral blood by </w:t>
      </w:r>
      <w:proofErr w:type="spellStart"/>
      <w:r w:rsidRPr="0005455B">
        <w:rPr>
          <w:rFonts w:asciiTheme="majorBidi" w:hAnsiTheme="majorBidi" w:cstheme="majorBidi"/>
          <w:bCs/>
          <w:iCs/>
          <w:lang w:val="en-US"/>
        </w:rPr>
        <w:t>Ficoll</w:t>
      </w:r>
      <w:proofErr w:type="spellEnd"/>
      <w:r w:rsidRPr="0005455B">
        <w:rPr>
          <w:rFonts w:asciiTheme="majorBidi" w:hAnsiTheme="majorBidi" w:cstheme="majorBidi"/>
          <w:bCs/>
          <w:iCs/>
          <w:lang w:val="en-US"/>
        </w:rPr>
        <w:t>-gradient centrifugation (</w:t>
      </w:r>
      <w:proofErr w:type="spellStart"/>
      <w:r w:rsidRPr="0005455B">
        <w:rPr>
          <w:rFonts w:asciiTheme="majorBidi" w:hAnsiTheme="majorBidi" w:cstheme="majorBidi"/>
          <w:bCs/>
          <w:iCs/>
          <w:lang w:val="en-US"/>
        </w:rPr>
        <w:t>Lympholyte</w:t>
      </w:r>
      <w:proofErr w:type="spellEnd"/>
      <w:r w:rsidRPr="0005455B">
        <w:rPr>
          <w:rFonts w:asciiTheme="majorBidi" w:hAnsiTheme="majorBidi" w:cstheme="majorBidi"/>
          <w:bCs/>
          <w:iCs/>
          <w:lang w:val="en-US"/>
        </w:rPr>
        <w:t xml:space="preserve">-H, </w:t>
      </w:r>
      <w:proofErr w:type="spellStart"/>
      <w:r w:rsidRPr="0005455B">
        <w:rPr>
          <w:rFonts w:asciiTheme="majorBidi" w:hAnsiTheme="majorBidi" w:cstheme="majorBidi"/>
          <w:bCs/>
          <w:iCs/>
          <w:lang w:val="en-US"/>
        </w:rPr>
        <w:t>Cedarlane</w:t>
      </w:r>
      <w:proofErr w:type="spellEnd"/>
      <w:r w:rsidRPr="0005455B">
        <w:rPr>
          <w:rFonts w:asciiTheme="majorBidi" w:hAnsiTheme="majorBidi" w:cstheme="majorBidi"/>
          <w:bCs/>
          <w:iCs/>
          <w:lang w:val="en-US"/>
        </w:rPr>
        <w:t>), as per the SOP followed by all centers. Briefly, the undiluted blood was laid over 20 ml density gradient medium in a 50 ml Falcon tube which was centrifuged for 20 mins at 800x</w:t>
      </w:r>
      <w:r w:rsidRPr="0005455B">
        <w:rPr>
          <w:rFonts w:asciiTheme="majorBidi" w:hAnsiTheme="majorBidi" w:cstheme="majorBidi"/>
          <w:bCs/>
          <w:i/>
          <w:iCs/>
          <w:lang w:val="en-US"/>
        </w:rPr>
        <w:t>g</w:t>
      </w:r>
      <w:r w:rsidRPr="0005455B">
        <w:rPr>
          <w:rFonts w:asciiTheme="majorBidi" w:hAnsiTheme="majorBidi" w:cstheme="majorBidi"/>
          <w:bCs/>
          <w:iCs/>
          <w:lang w:val="en-US"/>
        </w:rPr>
        <w:t xml:space="preserve"> with brakes off. The PBMC were collected from the plasma/</w:t>
      </w:r>
      <w:proofErr w:type="spellStart"/>
      <w:r w:rsidRPr="0005455B">
        <w:rPr>
          <w:rFonts w:asciiTheme="majorBidi" w:hAnsiTheme="majorBidi" w:cstheme="majorBidi"/>
          <w:bCs/>
          <w:iCs/>
          <w:lang w:val="en-US"/>
        </w:rPr>
        <w:t>Ficoll</w:t>
      </w:r>
      <w:proofErr w:type="spellEnd"/>
      <w:r w:rsidRPr="0005455B">
        <w:rPr>
          <w:rFonts w:asciiTheme="majorBidi" w:hAnsiTheme="majorBidi" w:cstheme="majorBidi"/>
          <w:bCs/>
          <w:iCs/>
          <w:lang w:val="en-US"/>
        </w:rPr>
        <w:t xml:space="preserve"> interface, transferred to 40 ml Ca2+- and Mg2+-free PBS, and pelleted at 420x</w:t>
      </w:r>
      <w:r w:rsidRPr="0005455B">
        <w:rPr>
          <w:rFonts w:asciiTheme="majorBidi" w:hAnsiTheme="majorBidi" w:cstheme="majorBidi"/>
          <w:bCs/>
          <w:i/>
          <w:iCs/>
          <w:lang w:val="en-US"/>
        </w:rPr>
        <w:t>g</w:t>
      </w:r>
      <w:r w:rsidRPr="0005455B">
        <w:rPr>
          <w:rFonts w:asciiTheme="majorBidi" w:hAnsiTheme="majorBidi" w:cstheme="majorBidi"/>
          <w:bCs/>
          <w:iCs/>
          <w:lang w:val="en-US"/>
        </w:rPr>
        <w:t xml:space="preserve"> for 10 mins with centrifuge brakes on. This wash was repeated twice and the cells resuspended at a concentration of 1 x 10</w:t>
      </w:r>
      <w:r w:rsidRPr="0005455B">
        <w:rPr>
          <w:rFonts w:asciiTheme="majorBidi" w:hAnsiTheme="majorBidi" w:cstheme="majorBidi"/>
          <w:bCs/>
          <w:iCs/>
          <w:vertAlign w:val="superscript"/>
          <w:lang w:val="en-US"/>
        </w:rPr>
        <w:t>7</w:t>
      </w:r>
      <w:r w:rsidRPr="0005455B">
        <w:rPr>
          <w:rFonts w:asciiTheme="majorBidi" w:hAnsiTheme="majorBidi" w:cstheme="majorBidi"/>
          <w:bCs/>
          <w:iCs/>
          <w:lang w:val="en-US"/>
        </w:rPr>
        <w:t xml:space="preserve"> cells/ml.</w:t>
      </w:r>
    </w:p>
    <w:p w14:paraId="79D231F8" w14:textId="7F7FBDC7" w:rsidR="00507E2F" w:rsidRPr="0005455B" w:rsidRDefault="00507E2F" w:rsidP="00507E2F">
      <w:pPr>
        <w:pStyle w:val="NormalWeb"/>
        <w:spacing w:before="0" w:beforeAutospacing="0" w:after="0" w:afterAutospacing="0" w:line="480" w:lineRule="auto"/>
        <w:jc w:val="both"/>
        <w:rPr>
          <w:rFonts w:asciiTheme="majorBidi" w:hAnsiTheme="majorBidi" w:cstheme="majorBidi"/>
          <w:bCs/>
          <w:iCs/>
          <w:lang w:val="en-US"/>
        </w:rPr>
      </w:pPr>
      <w:r w:rsidRPr="0005455B">
        <w:rPr>
          <w:rFonts w:asciiTheme="majorBidi" w:hAnsiTheme="majorBidi" w:cstheme="majorBidi"/>
          <w:b/>
          <w:bCs/>
          <w:i/>
          <w:iCs/>
          <w:lang w:val="en-US"/>
        </w:rPr>
        <w:t xml:space="preserve">- </w:t>
      </w:r>
      <w:proofErr w:type="spellStart"/>
      <w:r w:rsidR="00A24E4E" w:rsidRPr="0005455B">
        <w:rPr>
          <w:rFonts w:asciiTheme="majorBidi" w:hAnsiTheme="majorBidi" w:cstheme="majorBidi"/>
          <w:b/>
          <w:bCs/>
          <w:i/>
          <w:iCs/>
          <w:lang w:val="en-US"/>
        </w:rPr>
        <w:t>Lyotubes</w:t>
      </w:r>
      <w:r w:rsidR="00A24E4E" w:rsidRPr="0005455B">
        <w:rPr>
          <w:rFonts w:asciiTheme="majorBidi" w:hAnsiTheme="majorBidi" w:cstheme="majorBidi"/>
          <w:b/>
          <w:bCs/>
          <w:i/>
          <w:iCs/>
          <w:vertAlign w:val="superscript"/>
          <w:lang w:val="en-US"/>
        </w:rPr>
        <w:t>TM</w:t>
      </w:r>
      <w:proofErr w:type="spellEnd"/>
      <w:r w:rsidRPr="0005455B">
        <w:rPr>
          <w:rFonts w:asciiTheme="majorBidi" w:hAnsiTheme="majorBidi" w:cstheme="majorBidi"/>
          <w:b/>
          <w:bCs/>
          <w:i/>
          <w:iCs/>
          <w:lang w:val="en-US"/>
        </w:rPr>
        <w:t xml:space="preserve"> and flow cytometry acquisition.</w:t>
      </w:r>
      <w:r w:rsidRPr="0005455B">
        <w:rPr>
          <w:rFonts w:asciiTheme="majorBidi" w:hAnsiTheme="majorBidi" w:cstheme="majorBidi"/>
          <w:b/>
          <w:bCs/>
          <w:lang w:val="en-US"/>
        </w:rPr>
        <w:t xml:space="preserve"> </w:t>
      </w:r>
      <w:r w:rsidRPr="0005455B">
        <w:rPr>
          <w:rFonts w:asciiTheme="majorBidi" w:hAnsiTheme="majorBidi" w:cstheme="majorBidi"/>
          <w:bCs/>
          <w:iCs/>
          <w:lang w:val="en-US"/>
        </w:rPr>
        <w:t>The flow cytometry analysis was conducted on freshly isolated PBMCs (1 x 10</w:t>
      </w:r>
      <w:r w:rsidRPr="0005455B">
        <w:rPr>
          <w:rFonts w:asciiTheme="majorBidi" w:hAnsiTheme="majorBidi" w:cstheme="majorBidi"/>
          <w:bCs/>
          <w:iCs/>
          <w:vertAlign w:val="superscript"/>
          <w:lang w:val="en-US"/>
        </w:rPr>
        <w:t>6</w:t>
      </w:r>
      <w:r w:rsidRPr="0005455B">
        <w:rPr>
          <w:rFonts w:asciiTheme="majorBidi" w:hAnsiTheme="majorBidi" w:cstheme="majorBidi"/>
          <w:bCs/>
          <w:iCs/>
          <w:lang w:val="en-US"/>
        </w:rPr>
        <w:t xml:space="preserve"> cells/tube) using </w:t>
      </w:r>
      <w:proofErr w:type="spellStart"/>
      <w:r w:rsidR="00A24E4E" w:rsidRPr="0005455B">
        <w:rPr>
          <w:rFonts w:asciiTheme="majorBidi" w:hAnsiTheme="majorBidi" w:cstheme="majorBidi"/>
          <w:bCs/>
          <w:iCs/>
          <w:lang w:val="en-US"/>
        </w:rPr>
        <w:t>Lyotubes</w:t>
      </w:r>
      <w:r w:rsidR="00A24E4E" w:rsidRPr="0005455B">
        <w:rPr>
          <w:rFonts w:asciiTheme="majorBidi" w:hAnsiTheme="majorBidi" w:cstheme="majorBidi"/>
          <w:bCs/>
          <w:iCs/>
          <w:vertAlign w:val="superscript"/>
          <w:lang w:val="en-US"/>
        </w:rPr>
        <w:t>TM</w:t>
      </w:r>
      <w:proofErr w:type="spellEnd"/>
      <w:r w:rsidRPr="0005455B">
        <w:rPr>
          <w:rFonts w:asciiTheme="majorBidi" w:hAnsiTheme="majorBidi" w:cstheme="majorBidi"/>
          <w:bCs/>
          <w:iCs/>
          <w:lang w:val="en-US"/>
        </w:rPr>
        <w:t xml:space="preserve"> prepared by Becton Dickinson (</w:t>
      </w:r>
      <w:r w:rsidR="00A24E4E" w:rsidRPr="0005455B">
        <w:rPr>
          <w:rFonts w:asciiTheme="majorBidi" w:hAnsiTheme="majorBidi" w:cstheme="majorBidi"/>
          <w:bCs/>
          <w:iCs/>
          <w:lang w:val="en-US"/>
        </w:rPr>
        <w:t>BD, La Jolla CA, USA</w:t>
      </w:r>
      <w:r w:rsidRPr="0005455B">
        <w:rPr>
          <w:rFonts w:asciiTheme="majorBidi" w:hAnsiTheme="majorBidi" w:cstheme="majorBidi"/>
          <w:bCs/>
          <w:iCs/>
          <w:lang w:val="en-US"/>
        </w:rPr>
        <w:t xml:space="preserve">) specifically for this study. Ready-made tubes containing a cocktail of the relevant selected </w:t>
      </w:r>
      <w:r w:rsidRPr="0005455B">
        <w:rPr>
          <w:rFonts w:asciiTheme="majorBidi" w:hAnsiTheme="majorBidi" w:cstheme="majorBidi"/>
          <w:bCs/>
          <w:iCs/>
          <w:lang w:val="en-US"/>
        </w:rPr>
        <w:lastRenderedPageBreak/>
        <w:t xml:space="preserve">antibodies were designed by BD to enable </w:t>
      </w:r>
      <w:proofErr w:type="spellStart"/>
      <w:r w:rsidRPr="0005455B">
        <w:rPr>
          <w:rFonts w:asciiTheme="majorBidi" w:hAnsiTheme="majorBidi" w:cstheme="majorBidi"/>
          <w:bCs/>
          <w:iCs/>
          <w:lang w:val="en-US"/>
        </w:rPr>
        <w:t>lyophilisation</w:t>
      </w:r>
      <w:proofErr w:type="spellEnd"/>
      <w:r w:rsidRPr="0005455B">
        <w:rPr>
          <w:rFonts w:asciiTheme="majorBidi" w:hAnsiTheme="majorBidi" w:cstheme="majorBidi"/>
          <w:bCs/>
          <w:iCs/>
          <w:lang w:val="en-US"/>
        </w:rPr>
        <w:t xml:space="preserve"> so that the </w:t>
      </w:r>
      <w:r w:rsidR="00A24E4E" w:rsidRPr="0005455B">
        <w:rPr>
          <w:rFonts w:asciiTheme="majorBidi" w:hAnsiTheme="majorBidi" w:cstheme="majorBidi"/>
          <w:bCs/>
          <w:iCs/>
          <w:lang w:val="en-US"/>
        </w:rPr>
        <w:t>cocktails</w:t>
      </w:r>
      <w:r w:rsidRPr="0005455B">
        <w:rPr>
          <w:rFonts w:asciiTheme="majorBidi" w:hAnsiTheme="majorBidi" w:cstheme="majorBidi"/>
          <w:bCs/>
          <w:iCs/>
          <w:lang w:val="en-US"/>
        </w:rPr>
        <w:t xml:space="preserve"> could be stored at room temperature where they have a shelf-life of </w:t>
      </w:r>
      <w:r w:rsidR="00A24E4E" w:rsidRPr="0005455B">
        <w:rPr>
          <w:rFonts w:asciiTheme="majorBidi" w:hAnsiTheme="majorBidi" w:cstheme="majorBidi"/>
          <w:bCs/>
          <w:iCs/>
          <w:lang w:val="en-US"/>
        </w:rPr>
        <w:t>18</w:t>
      </w:r>
      <w:r w:rsidRPr="0005455B">
        <w:rPr>
          <w:rFonts w:asciiTheme="majorBidi" w:hAnsiTheme="majorBidi" w:cstheme="majorBidi"/>
          <w:bCs/>
          <w:iCs/>
          <w:lang w:val="en-US"/>
        </w:rPr>
        <w:t xml:space="preserve"> months. These </w:t>
      </w:r>
      <w:proofErr w:type="spellStart"/>
      <w:r w:rsidR="00A24E4E" w:rsidRPr="0005455B">
        <w:rPr>
          <w:rFonts w:asciiTheme="majorBidi" w:hAnsiTheme="majorBidi" w:cstheme="majorBidi"/>
          <w:bCs/>
          <w:iCs/>
          <w:lang w:val="en-US"/>
        </w:rPr>
        <w:t>Lyotubes</w:t>
      </w:r>
      <w:r w:rsidR="00A24E4E" w:rsidRPr="0005455B">
        <w:rPr>
          <w:rFonts w:asciiTheme="majorBidi" w:hAnsiTheme="majorBidi" w:cstheme="majorBidi"/>
          <w:bCs/>
          <w:iCs/>
          <w:vertAlign w:val="superscript"/>
          <w:lang w:val="en-US"/>
        </w:rPr>
        <w:t>TM</w:t>
      </w:r>
      <w:proofErr w:type="spellEnd"/>
      <w:r w:rsidRPr="0005455B">
        <w:rPr>
          <w:rFonts w:asciiTheme="majorBidi" w:hAnsiTheme="majorBidi" w:cstheme="majorBidi"/>
          <w:bCs/>
          <w:iCs/>
          <w:lang w:val="en-US"/>
        </w:rPr>
        <w:t xml:space="preserve"> were “custom made” for the Sys4MS study by BD according to the selected antibody panels, with the appropriate choice of fluorophores to optimize the detection of even rare populations, allowing the identification and quantification of several populations in 3 tubes, effector T cells (T-eff), regulatory T cells (T-</w:t>
      </w:r>
      <w:proofErr w:type="spellStart"/>
      <w:r w:rsidRPr="0005455B">
        <w:rPr>
          <w:rFonts w:asciiTheme="majorBidi" w:hAnsiTheme="majorBidi" w:cstheme="majorBidi"/>
          <w:bCs/>
          <w:iCs/>
          <w:lang w:val="en-US"/>
        </w:rPr>
        <w:t>reg</w:t>
      </w:r>
      <w:proofErr w:type="spellEnd"/>
      <w:r w:rsidRPr="0005455B">
        <w:rPr>
          <w:rFonts w:asciiTheme="majorBidi" w:hAnsiTheme="majorBidi" w:cstheme="majorBidi"/>
          <w:bCs/>
          <w:iCs/>
          <w:lang w:val="en-US"/>
        </w:rPr>
        <w:t xml:space="preserve">), and  effector and regulatory B cells and NK cells (B/NK) tubes (see below and Fig. S1). The right combinations for the tubes were tested and optimized by BD. The </w:t>
      </w:r>
      <w:proofErr w:type="spellStart"/>
      <w:r w:rsidR="00A24E4E" w:rsidRPr="0005455B">
        <w:rPr>
          <w:rFonts w:asciiTheme="majorBidi" w:hAnsiTheme="majorBidi" w:cstheme="majorBidi"/>
          <w:bCs/>
          <w:iCs/>
          <w:lang w:val="en-US"/>
        </w:rPr>
        <w:t>Lyotubes</w:t>
      </w:r>
      <w:r w:rsidR="00A24E4E" w:rsidRPr="0005455B">
        <w:rPr>
          <w:rFonts w:asciiTheme="majorBidi" w:hAnsiTheme="majorBidi" w:cstheme="majorBidi"/>
          <w:bCs/>
          <w:iCs/>
          <w:vertAlign w:val="superscript"/>
          <w:lang w:val="en-US"/>
        </w:rPr>
        <w:t>TM</w:t>
      </w:r>
      <w:proofErr w:type="spellEnd"/>
      <w:r w:rsidRPr="0005455B">
        <w:rPr>
          <w:rFonts w:asciiTheme="majorBidi" w:hAnsiTheme="majorBidi" w:cstheme="majorBidi"/>
          <w:bCs/>
          <w:iCs/>
          <w:lang w:val="en-US"/>
        </w:rPr>
        <w:t xml:space="preserve"> provided a single test, ready-to-use format that essentially only needed the addition of the cells, overcoming the unavoidable inconsistencies resulting from dispensing each antibody singly. The </w:t>
      </w:r>
      <w:proofErr w:type="spellStart"/>
      <w:r w:rsidR="00A24E4E" w:rsidRPr="0005455B">
        <w:rPr>
          <w:rFonts w:asciiTheme="majorBidi" w:hAnsiTheme="majorBidi" w:cstheme="majorBidi"/>
          <w:bCs/>
          <w:iCs/>
          <w:lang w:val="en-US"/>
        </w:rPr>
        <w:t>Lyotubes</w:t>
      </w:r>
      <w:r w:rsidR="00A24E4E" w:rsidRPr="0005455B">
        <w:rPr>
          <w:rFonts w:asciiTheme="majorBidi" w:hAnsiTheme="majorBidi" w:cstheme="majorBidi"/>
          <w:bCs/>
          <w:iCs/>
          <w:vertAlign w:val="superscript"/>
          <w:lang w:val="en-US"/>
        </w:rPr>
        <w:t>TM</w:t>
      </w:r>
      <w:proofErr w:type="spellEnd"/>
      <w:r w:rsidRPr="0005455B">
        <w:rPr>
          <w:rFonts w:asciiTheme="majorBidi" w:hAnsiTheme="majorBidi" w:cstheme="majorBidi"/>
          <w:bCs/>
          <w:iCs/>
          <w:lang w:val="en-US"/>
        </w:rPr>
        <w:t xml:space="preserve"> w</w:t>
      </w:r>
      <w:r w:rsidR="00A24E4E" w:rsidRPr="0005455B">
        <w:rPr>
          <w:rFonts w:asciiTheme="majorBidi" w:hAnsiTheme="majorBidi" w:cstheme="majorBidi"/>
          <w:bCs/>
          <w:iCs/>
          <w:lang w:val="en-US"/>
        </w:rPr>
        <w:t>ere</w:t>
      </w:r>
      <w:r w:rsidRPr="0005455B">
        <w:rPr>
          <w:rFonts w:asciiTheme="majorBidi" w:hAnsiTheme="majorBidi" w:cstheme="majorBidi"/>
          <w:bCs/>
          <w:iCs/>
          <w:lang w:val="en-US"/>
        </w:rPr>
        <w:t xml:space="preserve"> prepared at the beginning of the study by BD in quantities sufficient for the study (one single batch for all partners), thereby removing any possible risk of variation between centers due to type and quantity of the antibodies used. The three types of tubes (see Fig. S1) prepared to assess each PBMC sample were as follows:</w:t>
      </w:r>
    </w:p>
    <w:p w14:paraId="0FD3E1A5" w14:textId="77777777" w:rsidR="00507E2F" w:rsidRPr="0005455B" w:rsidRDefault="00507E2F" w:rsidP="00507E2F">
      <w:pPr>
        <w:pStyle w:val="NormalWeb"/>
        <w:spacing w:before="0" w:beforeAutospacing="0" w:after="0" w:afterAutospacing="0" w:line="480" w:lineRule="auto"/>
        <w:jc w:val="both"/>
        <w:rPr>
          <w:rFonts w:asciiTheme="majorBidi" w:hAnsiTheme="majorBidi" w:cstheme="majorBidi"/>
          <w:bCs/>
          <w:iCs/>
          <w:lang w:val="en-US"/>
        </w:rPr>
      </w:pPr>
      <w:proofErr w:type="spellStart"/>
      <w:r w:rsidRPr="0005455B">
        <w:rPr>
          <w:rFonts w:asciiTheme="majorBidi" w:hAnsiTheme="majorBidi" w:cstheme="majorBidi"/>
          <w:bCs/>
          <w:iCs/>
          <w:lang w:val="en-US"/>
        </w:rPr>
        <w:t>i</w:t>
      </w:r>
      <w:proofErr w:type="spellEnd"/>
      <w:r w:rsidRPr="0005455B">
        <w:rPr>
          <w:rFonts w:asciiTheme="majorBidi" w:hAnsiTheme="majorBidi" w:cstheme="majorBidi"/>
          <w:bCs/>
          <w:iCs/>
          <w:lang w:val="en-US"/>
        </w:rPr>
        <w:t>) T-eff tube to detect CD4+ and CD8+ effector T cells and broad CD4+ effector T-cell subpopulations as per the following markers: CD3+CD4+ CCR6+CXCR3</w:t>
      </w:r>
      <w:r w:rsidRPr="0005455B">
        <w:rPr>
          <w:rFonts w:asciiTheme="majorBidi" w:hAnsiTheme="majorBidi" w:cstheme="majorBidi"/>
          <w:bCs/>
          <w:iCs/>
          <w:vertAlign w:val="superscript"/>
          <w:lang w:val="en-US"/>
        </w:rPr>
        <w:t>hi</w:t>
      </w:r>
      <w:r w:rsidRPr="0005455B">
        <w:rPr>
          <w:rFonts w:asciiTheme="majorBidi" w:hAnsiTheme="majorBidi" w:cstheme="majorBidi"/>
          <w:bCs/>
          <w:iCs/>
          <w:lang w:val="en-US"/>
        </w:rPr>
        <w:t>CCR4l</w:t>
      </w:r>
      <w:r w:rsidRPr="0005455B">
        <w:rPr>
          <w:rFonts w:asciiTheme="majorBidi" w:hAnsiTheme="majorBidi" w:cstheme="majorBidi"/>
          <w:bCs/>
          <w:iCs/>
          <w:vertAlign w:val="superscript"/>
          <w:lang w:val="en-US"/>
        </w:rPr>
        <w:t>ow</w:t>
      </w:r>
      <w:r w:rsidRPr="0005455B">
        <w:rPr>
          <w:rFonts w:asciiTheme="majorBidi" w:hAnsiTheme="majorBidi" w:cstheme="majorBidi"/>
          <w:bCs/>
          <w:iCs/>
          <w:lang w:val="en-US"/>
        </w:rPr>
        <w:t>CD161</w:t>
      </w:r>
      <w:r w:rsidRPr="0005455B">
        <w:rPr>
          <w:rFonts w:asciiTheme="majorBidi" w:hAnsiTheme="majorBidi" w:cstheme="majorBidi"/>
          <w:bCs/>
          <w:iCs/>
          <w:vertAlign w:val="superscript"/>
          <w:lang w:val="en-US"/>
        </w:rPr>
        <w:t>+</w:t>
      </w:r>
      <w:r w:rsidRPr="0005455B">
        <w:rPr>
          <w:rFonts w:asciiTheme="majorBidi" w:hAnsiTheme="majorBidi" w:cstheme="majorBidi"/>
          <w:bCs/>
          <w:iCs/>
          <w:lang w:val="en-US"/>
        </w:rPr>
        <w:t xml:space="preserve"> (Th17.1 cells); CD3+CD4+CCR6-CD161-CXCR3+ (classic Th1 cells); CD3+CD4+CCR6-CD161+CXCR3+ (non-classic Th1 cells); and CD3+CD4+CCR6+CD161+CCR4+ (Th17 cells)</w:t>
      </w:r>
    </w:p>
    <w:p w14:paraId="4E8435CE" w14:textId="77777777" w:rsidR="00507E2F" w:rsidRPr="0005455B" w:rsidRDefault="00507E2F" w:rsidP="00507E2F">
      <w:pPr>
        <w:pStyle w:val="NormalWeb"/>
        <w:spacing w:before="0" w:beforeAutospacing="0" w:after="0" w:afterAutospacing="0" w:line="480" w:lineRule="auto"/>
        <w:jc w:val="both"/>
        <w:rPr>
          <w:rFonts w:asciiTheme="majorBidi" w:hAnsiTheme="majorBidi" w:cstheme="majorBidi"/>
          <w:bCs/>
          <w:iCs/>
          <w:lang w:val="en-US"/>
        </w:rPr>
      </w:pPr>
      <w:r w:rsidRPr="0005455B">
        <w:rPr>
          <w:rFonts w:asciiTheme="majorBidi" w:hAnsiTheme="majorBidi" w:cstheme="majorBidi"/>
          <w:bCs/>
          <w:iCs/>
          <w:lang w:val="en-US"/>
        </w:rPr>
        <w:t>ii) T-</w:t>
      </w:r>
      <w:proofErr w:type="spellStart"/>
      <w:r w:rsidRPr="0005455B">
        <w:rPr>
          <w:rFonts w:asciiTheme="majorBidi" w:hAnsiTheme="majorBidi" w:cstheme="majorBidi"/>
          <w:bCs/>
          <w:iCs/>
          <w:lang w:val="en-US"/>
        </w:rPr>
        <w:t>reg</w:t>
      </w:r>
      <w:proofErr w:type="spellEnd"/>
      <w:r w:rsidRPr="0005455B">
        <w:rPr>
          <w:rFonts w:asciiTheme="majorBidi" w:hAnsiTheme="majorBidi" w:cstheme="majorBidi"/>
          <w:bCs/>
          <w:iCs/>
          <w:lang w:val="en-US"/>
        </w:rPr>
        <w:t xml:space="preserve"> tube to detect CD4+ and CD8+ regulatory T cells: CD3+CD4+CD25highCD127- cells and CD45RA as marker to follow </w:t>
      </w:r>
      <w:proofErr w:type="spellStart"/>
      <w:r w:rsidRPr="0005455B">
        <w:rPr>
          <w:rFonts w:asciiTheme="majorBidi" w:hAnsiTheme="majorBidi" w:cstheme="majorBidi"/>
          <w:bCs/>
          <w:iCs/>
          <w:lang w:val="en-US"/>
        </w:rPr>
        <w:t>Treg</w:t>
      </w:r>
      <w:proofErr w:type="spellEnd"/>
      <w:r w:rsidRPr="0005455B">
        <w:rPr>
          <w:rFonts w:asciiTheme="majorBidi" w:hAnsiTheme="majorBidi" w:cstheme="majorBidi"/>
          <w:bCs/>
          <w:iCs/>
          <w:lang w:val="en-US"/>
        </w:rPr>
        <w:t xml:space="preserve"> activation; and CD3+CD8+CD28- CD127- cells</w:t>
      </w:r>
    </w:p>
    <w:p w14:paraId="411108E3" w14:textId="74A29992" w:rsidR="00507E2F" w:rsidRPr="0005455B" w:rsidRDefault="00507E2F" w:rsidP="00507E2F">
      <w:pPr>
        <w:pStyle w:val="NormalWeb"/>
        <w:spacing w:before="0" w:beforeAutospacing="0" w:after="0" w:afterAutospacing="0" w:line="480" w:lineRule="auto"/>
        <w:jc w:val="both"/>
        <w:rPr>
          <w:rFonts w:asciiTheme="majorBidi" w:hAnsiTheme="majorBidi" w:cstheme="majorBidi"/>
          <w:bCs/>
          <w:iCs/>
          <w:lang w:val="en-US"/>
        </w:rPr>
      </w:pPr>
      <w:r w:rsidRPr="0005455B">
        <w:rPr>
          <w:rFonts w:asciiTheme="majorBidi" w:hAnsiTheme="majorBidi" w:cstheme="majorBidi"/>
          <w:bCs/>
          <w:iCs/>
          <w:lang w:val="en-US"/>
        </w:rPr>
        <w:t xml:space="preserve">iii) NK/B tube to detect effector and regulatory NK and B cells: CD3-CD16+CD56dim (effector NK cells); CD3-CD16+CD56bright (regulatory NK cells); CD3-CD19+CD38int,CD24int (mature B cells); CD3-CD19+CD38negCD24hi (memory B cells); CD3-CD19+CD38hiCD24hi (regulatory B cells). The panels of fluorochrome-conjugated antibodies is shown in Fig. S1. </w:t>
      </w:r>
    </w:p>
    <w:p w14:paraId="67B33245" w14:textId="63672DE6" w:rsidR="00BA3DC7" w:rsidRPr="0005455B" w:rsidRDefault="00BA3DC7" w:rsidP="00BA3DC7">
      <w:pPr>
        <w:pStyle w:val="NormalWeb"/>
        <w:spacing w:after="0" w:line="480" w:lineRule="auto"/>
        <w:jc w:val="both"/>
        <w:rPr>
          <w:rFonts w:asciiTheme="majorBidi" w:hAnsiTheme="majorBidi" w:cstheme="majorBidi"/>
          <w:bCs/>
          <w:iCs/>
          <w:lang w:val="en-US"/>
        </w:rPr>
      </w:pPr>
      <w:r w:rsidRPr="0005455B">
        <w:rPr>
          <w:rFonts w:asciiTheme="majorBidi" w:hAnsiTheme="majorBidi" w:cstheme="majorBidi"/>
          <w:bCs/>
          <w:iCs/>
          <w:lang w:val="en-US"/>
        </w:rPr>
        <w:t xml:space="preserve">All centers used a </w:t>
      </w:r>
      <w:proofErr w:type="spellStart"/>
      <w:r w:rsidRPr="0005455B">
        <w:rPr>
          <w:rFonts w:asciiTheme="majorBidi" w:hAnsiTheme="majorBidi" w:cstheme="majorBidi"/>
          <w:lang w:val="en-US"/>
        </w:rPr>
        <w:t>FACSCanto</w:t>
      </w:r>
      <w:proofErr w:type="spellEnd"/>
      <w:r w:rsidRPr="0005455B">
        <w:rPr>
          <w:rFonts w:asciiTheme="majorBidi" w:hAnsiTheme="majorBidi" w:cstheme="majorBidi"/>
          <w:lang w:val="en-US"/>
        </w:rPr>
        <w:t xml:space="preserve"> II </w:t>
      </w:r>
      <w:r w:rsidR="00A24E4E" w:rsidRPr="0005455B">
        <w:rPr>
          <w:rFonts w:asciiTheme="majorBidi" w:hAnsiTheme="majorBidi" w:cstheme="majorBidi"/>
          <w:lang w:val="en-US"/>
        </w:rPr>
        <w:t>platform</w:t>
      </w:r>
      <w:r w:rsidRPr="0005455B">
        <w:rPr>
          <w:rFonts w:asciiTheme="majorBidi" w:hAnsiTheme="majorBidi" w:cstheme="majorBidi"/>
          <w:lang w:val="en-US"/>
        </w:rPr>
        <w:t xml:space="preserve"> (BD) working with Diva version 6.1.3 or higher</w:t>
      </w:r>
      <w:r w:rsidRPr="0005455B">
        <w:rPr>
          <w:rFonts w:asciiTheme="majorBidi" w:hAnsiTheme="majorBidi" w:cstheme="majorBidi"/>
          <w:bCs/>
          <w:iCs/>
          <w:lang w:val="en-US"/>
        </w:rPr>
        <w:t xml:space="preserve"> </w:t>
      </w:r>
      <w:r w:rsidRPr="0005455B">
        <w:rPr>
          <w:rFonts w:asciiTheme="majorBidi" w:hAnsiTheme="majorBidi" w:cstheme="majorBidi"/>
          <w:lang w:val="en-US"/>
        </w:rPr>
        <w:t xml:space="preserve">to ensure a consistent standardized procedure for acquisition of flow cytometry data from PBMC of MS </w:t>
      </w:r>
      <w:r w:rsidRPr="0005455B">
        <w:rPr>
          <w:rFonts w:asciiTheme="majorBidi" w:hAnsiTheme="majorBidi" w:cstheme="majorBidi"/>
          <w:lang w:val="en-US"/>
        </w:rPr>
        <w:lastRenderedPageBreak/>
        <w:t xml:space="preserve">patients and control individuals that will minimize possible differences in the different laboratories. </w:t>
      </w:r>
      <w:r w:rsidR="00A24E4E" w:rsidRPr="0005455B">
        <w:rPr>
          <w:rFonts w:asciiTheme="majorBidi" w:hAnsiTheme="majorBidi" w:cstheme="majorBidi"/>
          <w:lang w:val="en-US"/>
        </w:rPr>
        <w:t xml:space="preserve">The instruments were standardized, and standardization was maintained over time taking advantage of BD </w:t>
      </w:r>
      <w:proofErr w:type="spellStart"/>
      <w:r w:rsidR="00A24E4E" w:rsidRPr="0005455B">
        <w:rPr>
          <w:rFonts w:asciiTheme="majorBidi" w:hAnsiTheme="majorBidi" w:cstheme="majorBidi"/>
          <w:lang w:val="en-US"/>
        </w:rPr>
        <w:t>OneFlow</w:t>
      </w:r>
      <w:proofErr w:type="spellEnd"/>
      <w:r w:rsidR="00A24E4E" w:rsidRPr="0005455B">
        <w:rPr>
          <w:rFonts w:asciiTheme="majorBidi" w:hAnsiTheme="majorBidi" w:cstheme="majorBidi"/>
          <w:lang w:val="en-US"/>
        </w:rPr>
        <w:t xml:space="preserve"> Setup Beads, according to manufacturer’s procedures. </w:t>
      </w:r>
      <w:r w:rsidRPr="0005455B">
        <w:rPr>
          <w:rFonts w:asciiTheme="majorBidi" w:hAnsiTheme="majorBidi" w:cstheme="majorBidi"/>
          <w:bCs/>
          <w:iCs/>
          <w:lang w:val="en-US"/>
        </w:rPr>
        <w:t xml:space="preserve">the acquisition of the data was done in each center, the consistency of the study was further increased by centralizing the data analysis which was performed at the Genoa center, on acquired </w:t>
      </w:r>
      <w:r w:rsidR="00A24E4E" w:rsidRPr="0005455B">
        <w:rPr>
          <w:rFonts w:asciiTheme="majorBidi" w:hAnsiTheme="majorBidi" w:cstheme="majorBidi"/>
          <w:bCs/>
          <w:iCs/>
          <w:lang w:val="en-US"/>
        </w:rPr>
        <w:t xml:space="preserve">raw </w:t>
      </w:r>
      <w:r w:rsidRPr="0005455B">
        <w:rPr>
          <w:rFonts w:asciiTheme="majorBidi" w:hAnsiTheme="majorBidi" w:cstheme="majorBidi"/>
          <w:bCs/>
          <w:iCs/>
          <w:lang w:val="en-US"/>
        </w:rPr>
        <w:t>data sent by the other centers through appropriate channels to ensure privacy of the individual. The analyses were performed real-time, to understand if any drift was occurring in any of the centers with regard to the standardization of the machine and, therefore, to correct this in good time.</w:t>
      </w:r>
    </w:p>
    <w:p w14:paraId="1CEA6862" w14:textId="7675248B" w:rsidR="00BA3DC7" w:rsidRPr="00B9042F" w:rsidRDefault="00593C41" w:rsidP="00507E2F">
      <w:pPr>
        <w:pStyle w:val="NormalWeb"/>
        <w:spacing w:before="0" w:beforeAutospacing="0" w:after="0" w:afterAutospacing="0" w:line="480" w:lineRule="auto"/>
        <w:jc w:val="both"/>
        <w:rPr>
          <w:rFonts w:asciiTheme="majorBidi" w:hAnsiTheme="majorBidi" w:cstheme="majorBidi"/>
          <w:b/>
          <w:iCs/>
          <w:color w:val="000000" w:themeColor="text1"/>
          <w:lang w:val="en-US"/>
        </w:rPr>
      </w:pPr>
      <w:r w:rsidRPr="00B9042F">
        <w:rPr>
          <w:rFonts w:asciiTheme="majorBidi" w:hAnsiTheme="majorBidi" w:cstheme="majorBidi"/>
          <w:b/>
          <w:iCs/>
          <w:color w:val="000000" w:themeColor="text1"/>
          <w:lang w:val="en-US"/>
        </w:rPr>
        <w:t>Supplemental information related to Fig. 1</w:t>
      </w:r>
    </w:p>
    <w:p w14:paraId="0707F07F" w14:textId="56B2A4A9" w:rsidR="00593C41" w:rsidRPr="00B9042F" w:rsidRDefault="00593C41" w:rsidP="00507E2F">
      <w:pPr>
        <w:pStyle w:val="NormalWeb"/>
        <w:spacing w:before="0" w:beforeAutospacing="0" w:after="0" w:afterAutospacing="0" w:line="480" w:lineRule="auto"/>
        <w:jc w:val="both"/>
        <w:rPr>
          <w:rFonts w:asciiTheme="majorBidi" w:hAnsiTheme="majorBidi" w:cstheme="majorBidi"/>
          <w:bCs/>
          <w:iCs/>
          <w:color w:val="000000" w:themeColor="text1"/>
          <w:lang w:val="en-US"/>
        </w:rPr>
      </w:pPr>
      <w:r w:rsidRPr="00B9042F">
        <w:rPr>
          <w:rFonts w:asciiTheme="majorBidi" w:hAnsiTheme="majorBidi" w:cstheme="majorBidi"/>
          <w:bCs/>
          <w:iCs/>
          <w:color w:val="000000" w:themeColor="text1"/>
          <w:lang w:val="en-US"/>
        </w:rPr>
        <w:t>Table</w:t>
      </w:r>
      <w:r w:rsidR="00E75264" w:rsidRPr="00B9042F">
        <w:rPr>
          <w:rFonts w:asciiTheme="majorBidi" w:hAnsiTheme="majorBidi" w:cstheme="majorBidi"/>
          <w:bCs/>
          <w:iCs/>
          <w:color w:val="000000" w:themeColor="text1"/>
          <w:lang w:val="en-US"/>
        </w:rPr>
        <w:t>:</w:t>
      </w:r>
      <w:r w:rsidRPr="00B9042F">
        <w:rPr>
          <w:rFonts w:asciiTheme="majorBidi" w:hAnsiTheme="majorBidi" w:cstheme="majorBidi"/>
          <w:bCs/>
          <w:iCs/>
          <w:color w:val="000000" w:themeColor="text1"/>
          <w:lang w:val="en-US"/>
        </w:rPr>
        <w:t xml:space="preserve"> </w:t>
      </w:r>
      <w:r w:rsidR="00E75264" w:rsidRPr="00B9042F">
        <w:rPr>
          <w:rFonts w:asciiTheme="majorBidi" w:hAnsiTheme="majorBidi" w:cstheme="majorBidi"/>
          <w:bCs/>
          <w:iCs/>
          <w:color w:val="000000" w:themeColor="text1"/>
          <w:lang w:val="en-US"/>
        </w:rPr>
        <w:t>W</w:t>
      </w:r>
      <w:r w:rsidRPr="00B9042F">
        <w:rPr>
          <w:rFonts w:asciiTheme="majorBidi" w:hAnsiTheme="majorBidi" w:cstheme="majorBidi"/>
          <w:bCs/>
          <w:iCs/>
          <w:color w:val="000000" w:themeColor="text1"/>
          <w:lang w:val="en-US"/>
        </w:rPr>
        <w:t>eight</w:t>
      </w:r>
      <w:r w:rsidR="00E75264" w:rsidRPr="00B9042F">
        <w:rPr>
          <w:rFonts w:asciiTheme="majorBidi" w:hAnsiTheme="majorBidi" w:cstheme="majorBidi"/>
          <w:bCs/>
          <w:iCs/>
          <w:color w:val="000000" w:themeColor="text1"/>
          <w:lang w:val="en-US"/>
        </w:rPr>
        <w:t>s</w:t>
      </w:r>
      <w:r w:rsidRPr="00B9042F">
        <w:rPr>
          <w:rFonts w:asciiTheme="majorBidi" w:hAnsiTheme="majorBidi" w:cstheme="majorBidi"/>
          <w:bCs/>
          <w:iCs/>
          <w:color w:val="000000" w:themeColor="text1"/>
          <w:lang w:val="en-US"/>
        </w:rPr>
        <w:t xml:space="preserve"> of PC1 and PC2 in the PCA analyses</w:t>
      </w:r>
    </w:p>
    <w:tbl>
      <w:tblPr>
        <w:tblW w:w="8280" w:type="dxa"/>
        <w:tblLook w:val="04A0" w:firstRow="1" w:lastRow="0" w:firstColumn="1" w:lastColumn="0" w:noHBand="0" w:noVBand="1"/>
      </w:tblPr>
      <w:tblGrid>
        <w:gridCol w:w="5680"/>
        <w:gridCol w:w="1300"/>
        <w:gridCol w:w="1300"/>
      </w:tblGrid>
      <w:tr w:rsidR="004620EA" w:rsidRPr="00B9042F" w14:paraId="1A1C1694" w14:textId="77777777" w:rsidTr="00E75264">
        <w:trPr>
          <w:trHeight w:val="320"/>
        </w:trPr>
        <w:tc>
          <w:tcPr>
            <w:tcW w:w="5680" w:type="dxa"/>
            <w:tcBorders>
              <w:top w:val="nil"/>
              <w:left w:val="nil"/>
              <w:bottom w:val="nil"/>
              <w:right w:val="nil"/>
            </w:tcBorders>
            <w:shd w:val="clear" w:color="auto" w:fill="auto"/>
            <w:noWrap/>
            <w:vAlign w:val="bottom"/>
            <w:hideMark/>
          </w:tcPr>
          <w:p w14:paraId="43B854C9"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 xml:space="preserve">   </w:t>
            </w:r>
          </w:p>
        </w:tc>
        <w:tc>
          <w:tcPr>
            <w:tcW w:w="1300" w:type="dxa"/>
            <w:tcBorders>
              <w:top w:val="nil"/>
              <w:left w:val="nil"/>
              <w:bottom w:val="nil"/>
              <w:right w:val="nil"/>
            </w:tcBorders>
            <w:shd w:val="clear" w:color="auto" w:fill="auto"/>
            <w:noWrap/>
            <w:vAlign w:val="bottom"/>
            <w:hideMark/>
          </w:tcPr>
          <w:p w14:paraId="119976B8"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PC1</w:t>
            </w:r>
          </w:p>
        </w:tc>
        <w:tc>
          <w:tcPr>
            <w:tcW w:w="1300" w:type="dxa"/>
            <w:tcBorders>
              <w:top w:val="nil"/>
              <w:left w:val="nil"/>
              <w:bottom w:val="nil"/>
              <w:right w:val="nil"/>
            </w:tcBorders>
            <w:shd w:val="clear" w:color="auto" w:fill="auto"/>
            <w:noWrap/>
            <w:vAlign w:val="bottom"/>
            <w:hideMark/>
          </w:tcPr>
          <w:p w14:paraId="476C2033"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PC2</w:t>
            </w:r>
          </w:p>
        </w:tc>
      </w:tr>
      <w:tr w:rsidR="004620EA" w:rsidRPr="00B9042F" w14:paraId="5AE96D10" w14:textId="77777777" w:rsidTr="00E75264">
        <w:trPr>
          <w:trHeight w:val="320"/>
        </w:trPr>
        <w:tc>
          <w:tcPr>
            <w:tcW w:w="5680" w:type="dxa"/>
            <w:tcBorders>
              <w:top w:val="nil"/>
              <w:left w:val="nil"/>
              <w:bottom w:val="nil"/>
              <w:right w:val="nil"/>
            </w:tcBorders>
            <w:shd w:val="clear" w:color="auto" w:fill="auto"/>
            <w:noWrap/>
            <w:vAlign w:val="bottom"/>
            <w:hideMark/>
          </w:tcPr>
          <w:p w14:paraId="429ADB45"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Total CD3+</w:t>
            </w:r>
          </w:p>
        </w:tc>
        <w:tc>
          <w:tcPr>
            <w:tcW w:w="1300" w:type="dxa"/>
            <w:tcBorders>
              <w:top w:val="nil"/>
              <w:left w:val="nil"/>
              <w:bottom w:val="nil"/>
              <w:right w:val="nil"/>
            </w:tcBorders>
            <w:shd w:val="clear" w:color="auto" w:fill="auto"/>
            <w:noWrap/>
            <w:vAlign w:val="bottom"/>
            <w:hideMark/>
          </w:tcPr>
          <w:p w14:paraId="49DAC60D"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-0.4519</w:t>
            </w:r>
          </w:p>
        </w:tc>
        <w:tc>
          <w:tcPr>
            <w:tcW w:w="1300" w:type="dxa"/>
            <w:tcBorders>
              <w:top w:val="nil"/>
              <w:left w:val="nil"/>
              <w:bottom w:val="nil"/>
              <w:right w:val="nil"/>
            </w:tcBorders>
            <w:shd w:val="clear" w:color="auto" w:fill="auto"/>
            <w:noWrap/>
            <w:vAlign w:val="bottom"/>
            <w:hideMark/>
          </w:tcPr>
          <w:p w14:paraId="68ECAE59"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0.1959</w:t>
            </w:r>
          </w:p>
        </w:tc>
      </w:tr>
      <w:tr w:rsidR="004620EA" w:rsidRPr="00B9042F" w14:paraId="1E49D292" w14:textId="77777777" w:rsidTr="00E75264">
        <w:trPr>
          <w:trHeight w:val="320"/>
        </w:trPr>
        <w:tc>
          <w:tcPr>
            <w:tcW w:w="5680" w:type="dxa"/>
            <w:tcBorders>
              <w:top w:val="nil"/>
              <w:left w:val="nil"/>
              <w:bottom w:val="nil"/>
              <w:right w:val="nil"/>
            </w:tcBorders>
            <w:shd w:val="clear" w:color="auto" w:fill="auto"/>
            <w:noWrap/>
            <w:vAlign w:val="bottom"/>
            <w:hideMark/>
          </w:tcPr>
          <w:p w14:paraId="4809EBC2"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CD3+CD4+</w:t>
            </w:r>
          </w:p>
        </w:tc>
        <w:tc>
          <w:tcPr>
            <w:tcW w:w="1300" w:type="dxa"/>
            <w:tcBorders>
              <w:top w:val="nil"/>
              <w:left w:val="nil"/>
              <w:bottom w:val="nil"/>
              <w:right w:val="nil"/>
            </w:tcBorders>
            <w:shd w:val="clear" w:color="auto" w:fill="auto"/>
            <w:noWrap/>
            <w:vAlign w:val="bottom"/>
            <w:hideMark/>
          </w:tcPr>
          <w:p w14:paraId="3FA64F5D"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-0.501</w:t>
            </w:r>
          </w:p>
        </w:tc>
        <w:tc>
          <w:tcPr>
            <w:tcW w:w="1300" w:type="dxa"/>
            <w:tcBorders>
              <w:top w:val="nil"/>
              <w:left w:val="nil"/>
              <w:bottom w:val="nil"/>
              <w:right w:val="nil"/>
            </w:tcBorders>
            <w:shd w:val="clear" w:color="auto" w:fill="auto"/>
            <w:noWrap/>
            <w:vAlign w:val="bottom"/>
            <w:hideMark/>
          </w:tcPr>
          <w:p w14:paraId="6A3F6D1D"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0.1076</w:t>
            </w:r>
          </w:p>
        </w:tc>
      </w:tr>
      <w:tr w:rsidR="004620EA" w:rsidRPr="00B9042F" w14:paraId="23B7BB80" w14:textId="77777777" w:rsidTr="00E75264">
        <w:trPr>
          <w:trHeight w:val="320"/>
        </w:trPr>
        <w:tc>
          <w:tcPr>
            <w:tcW w:w="5680" w:type="dxa"/>
            <w:tcBorders>
              <w:top w:val="nil"/>
              <w:left w:val="nil"/>
              <w:bottom w:val="nil"/>
              <w:right w:val="nil"/>
            </w:tcBorders>
            <w:shd w:val="clear" w:color="auto" w:fill="auto"/>
            <w:noWrap/>
            <w:vAlign w:val="bottom"/>
            <w:hideMark/>
          </w:tcPr>
          <w:p w14:paraId="111FE722"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CD3+CD8+</w:t>
            </w:r>
          </w:p>
        </w:tc>
        <w:tc>
          <w:tcPr>
            <w:tcW w:w="1300" w:type="dxa"/>
            <w:tcBorders>
              <w:top w:val="nil"/>
              <w:left w:val="nil"/>
              <w:bottom w:val="nil"/>
              <w:right w:val="nil"/>
            </w:tcBorders>
            <w:shd w:val="clear" w:color="auto" w:fill="auto"/>
            <w:noWrap/>
            <w:vAlign w:val="bottom"/>
            <w:hideMark/>
          </w:tcPr>
          <w:p w14:paraId="0FF2D0C1"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0.0142</w:t>
            </w:r>
          </w:p>
        </w:tc>
        <w:tc>
          <w:tcPr>
            <w:tcW w:w="1300" w:type="dxa"/>
            <w:tcBorders>
              <w:top w:val="nil"/>
              <w:left w:val="nil"/>
              <w:bottom w:val="nil"/>
              <w:right w:val="nil"/>
            </w:tcBorders>
            <w:shd w:val="clear" w:color="auto" w:fill="auto"/>
            <w:noWrap/>
            <w:vAlign w:val="bottom"/>
            <w:hideMark/>
          </w:tcPr>
          <w:p w14:paraId="713F47F0"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0.0762</w:t>
            </w:r>
          </w:p>
        </w:tc>
      </w:tr>
      <w:tr w:rsidR="004620EA" w:rsidRPr="00B9042F" w14:paraId="388F2898" w14:textId="77777777" w:rsidTr="00E75264">
        <w:trPr>
          <w:trHeight w:val="320"/>
        </w:trPr>
        <w:tc>
          <w:tcPr>
            <w:tcW w:w="5680" w:type="dxa"/>
            <w:tcBorders>
              <w:top w:val="nil"/>
              <w:left w:val="nil"/>
              <w:bottom w:val="nil"/>
              <w:right w:val="nil"/>
            </w:tcBorders>
            <w:shd w:val="clear" w:color="auto" w:fill="auto"/>
            <w:noWrap/>
            <w:vAlign w:val="bottom"/>
            <w:hideMark/>
          </w:tcPr>
          <w:p w14:paraId="5AA0D3F9"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CD4+CD25+CD127-(CD4+T-reg)</w:t>
            </w:r>
          </w:p>
        </w:tc>
        <w:tc>
          <w:tcPr>
            <w:tcW w:w="1300" w:type="dxa"/>
            <w:tcBorders>
              <w:top w:val="nil"/>
              <w:left w:val="nil"/>
              <w:bottom w:val="nil"/>
              <w:right w:val="nil"/>
            </w:tcBorders>
            <w:shd w:val="clear" w:color="auto" w:fill="auto"/>
            <w:noWrap/>
            <w:vAlign w:val="bottom"/>
            <w:hideMark/>
          </w:tcPr>
          <w:p w14:paraId="66F0D351"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0.0545</w:t>
            </w:r>
          </w:p>
        </w:tc>
        <w:tc>
          <w:tcPr>
            <w:tcW w:w="1300" w:type="dxa"/>
            <w:tcBorders>
              <w:top w:val="nil"/>
              <w:left w:val="nil"/>
              <w:bottom w:val="nil"/>
              <w:right w:val="nil"/>
            </w:tcBorders>
            <w:shd w:val="clear" w:color="auto" w:fill="auto"/>
            <w:noWrap/>
            <w:vAlign w:val="bottom"/>
            <w:hideMark/>
          </w:tcPr>
          <w:p w14:paraId="3FE7BECA"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-0.0172</w:t>
            </w:r>
          </w:p>
        </w:tc>
      </w:tr>
      <w:tr w:rsidR="004620EA" w:rsidRPr="00B9042F" w14:paraId="2B117CD7" w14:textId="77777777" w:rsidTr="00E75264">
        <w:trPr>
          <w:trHeight w:val="320"/>
        </w:trPr>
        <w:tc>
          <w:tcPr>
            <w:tcW w:w="5680" w:type="dxa"/>
            <w:tcBorders>
              <w:top w:val="nil"/>
              <w:left w:val="nil"/>
              <w:bottom w:val="nil"/>
              <w:right w:val="nil"/>
            </w:tcBorders>
            <w:shd w:val="clear" w:color="auto" w:fill="auto"/>
            <w:noWrap/>
            <w:vAlign w:val="bottom"/>
            <w:hideMark/>
          </w:tcPr>
          <w:p w14:paraId="6715278F"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CD3+CD8+CD28-CD127-(CD8+T-reg)</w:t>
            </w:r>
          </w:p>
        </w:tc>
        <w:tc>
          <w:tcPr>
            <w:tcW w:w="1300" w:type="dxa"/>
            <w:tcBorders>
              <w:top w:val="nil"/>
              <w:left w:val="nil"/>
              <w:bottom w:val="nil"/>
              <w:right w:val="nil"/>
            </w:tcBorders>
            <w:shd w:val="clear" w:color="auto" w:fill="auto"/>
            <w:noWrap/>
            <w:vAlign w:val="bottom"/>
            <w:hideMark/>
          </w:tcPr>
          <w:p w14:paraId="319B78B5"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0.6336</w:t>
            </w:r>
          </w:p>
        </w:tc>
        <w:tc>
          <w:tcPr>
            <w:tcW w:w="1300" w:type="dxa"/>
            <w:tcBorders>
              <w:top w:val="nil"/>
              <w:left w:val="nil"/>
              <w:bottom w:val="nil"/>
              <w:right w:val="nil"/>
            </w:tcBorders>
            <w:shd w:val="clear" w:color="auto" w:fill="auto"/>
            <w:noWrap/>
            <w:vAlign w:val="bottom"/>
            <w:hideMark/>
          </w:tcPr>
          <w:p w14:paraId="347296D7"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-0.0706</w:t>
            </w:r>
          </w:p>
        </w:tc>
      </w:tr>
      <w:tr w:rsidR="004620EA" w:rsidRPr="00B9042F" w14:paraId="679EAA2C" w14:textId="77777777" w:rsidTr="00E75264">
        <w:trPr>
          <w:trHeight w:val="320"/>
        </w:trPr>
        <w:tc>
          <w:tcPr>
            <w:tcW w:w="5680" w:type="dxa"/>
            <w:tcBorders>
              <w:top w:val="nil"/>
              <w:left w:val="nil"/>
              <w:bottom w:val="nil"/>
              <w:right w:val="nil"/>
            </w:tcBorders>
            <w:shd w:val="clear" w:color="auto" w:fill="auto"/>
            <w:noWrap/>
            <w:vAlign w:val="bottom"/>
            <w:hideMark/>
          </w:tcPr>
          <w:p w14:paraId="58EF0990"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Total CD19+</w:t>
            </w:r>
          </w:p>
        </w:tc>
        <w:tc>
          <w:tcPr>
            <w:tcW w:w="1300" w:type="dxa"/>
            <w:tcBorders>
              <w:top w:val="nil"/>
              <w:left w:val="nil"/>
              <w:bottom w:val="nil"/>
              <w:right w:val="nil"/>
            </w:tcBorders>
            <w:shd w:val="clear" w:color="auto" w:fill="auto"/>
            <w:noWrap/>
            <w:vAlign w:val="bottom"/>
            <w:hideMark/>
          </w:tcPr>
          <w:p w14:paraId="654EC1C3"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-0.0362</w:t>
            </w:r>
          </w:p>
        </w:tc>
        <w:tc>
          <w:tcPr>
            <w:tcW w:w="1300" w:type="dxa"/>
            <w:tcBorders>
              <w:top w:val="nil"/>
              <w:left w:val="nil"/>
              <w:bottom w:val="nil"/>
              <w:right w:val="nil"/>
            </w:tcBorders>
            <w:shd w:val="clear" w:color="auto" w:fill="auto"/>
            <w:noWrap/>
            <w:vAlign w:val="bottom"/>
            <w:hideMark/>
          </w:tcPr>
          <w:p w14:paraId="196C37A0"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-0.0867</w:t>
            </w:r>
          </w:p>
        </w:tc>
      </w:tr>
      <w:tr w:rsidR="004620EA" w:rsidRPr="00B9042F" w14:paraId="6A23952C" w14:textId="77777777" w:rsidTr="00E75264">
        <w:trPr>
          <w:trHeight w:val="320"/>
        </w:trPr>
        <w:tc>
          <w:tcPr>
            <w:tcW w:w="5680" w:type="dxa"/>
            <w:tcBorders>
              <w:top w:val="nil"/>
              <w:left w:val="nil"/>
              <w:bottom w:val="nil"/>
              <w:right w:val="nil"/>
            </w:tcBorders>
            <w:shd w:val="clear" w:color="auto" w:fill="auto"/>
            <w:noWrap/>
            <w:vAlign w:val="bottom"/>
            <w:hideMark/>
          </w:tcPr>
          <w:p w14:paraId="4CF34AE7"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CD19+CD24highCD38low (B-</w:t>
            </w:r>
            <w:proofErr w:type="spellStart"/>
            <w:r w:rsidRPr="00B9042F">
              <w:rPr>
                <w:rFonts w:ascii="Calibri" w:eastAsia="Times New Roman" w:hAnsi="Calibri" w:cs="Calibri"/>
                <w:color w:val="000000" w:themeColor="text1"/>
              </w:rPr>
              <w:t>memory</w:t>
            </w:r>
            <w:proofErr w:type="spellEnd"/>
            <w:r w:rsidRPr="00B9042F">
              <w:rPr>
                <w:rFonts w:ascii="Calibri" w:eastAsia="Times New Roman" w:hAnsi="Calibri" w:cs="Calibri"/>
                <w:color w:val="000000" w:themeColor="text1"/>
              </w:rPr>
              <w:t>)</w:t>
            </w:r>
          </w:p>
        </w:tc>
        <w:tc>
          <w:tcPr>
            <w:tcW w:w="1300" w:type="dxa"/>
            <w:tcBorders>
              <w:top w:val="nil"/>
              <w:left w:val="nil"/>
              <w:bottom w:val="nil"/>
              <w:right w:val="nil"/>
            </w:tcBorders>
            <w:shd w:val="clear" w:color="auto" w:fill="auto"/>
            <w:noWrap/>
            <w:vAlign w:val="bottom"/>
            <w:hideMark/>
          </w:tcPr>
          <w:p w14:paraId="2C8D4F7E"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-0.1046</w:t>
            </w:r>
          </w:p>
        </w:tc>
        <w:tc>
          <w:tcPr>
            <w:tcW w:w="1300" w:type="dxa"/>
            <w:tcBorders>
              <w:top w:val="nil"/>
              <w:left w:val="nil"/>
              <w:bottom w:val="nil"/>
              <w:right w:val="nil"/>
            </w:tcBorders>
            <w:shd w:val="clear" w:color="auto" w:fill="auto"/>
            <w:noWrap/>
            <w:vAlign w:val="bottom"/>
            <w:hideMark/>
          </w:tcPr>
          <w:p w14:paraId="442F6ADE"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0.3132</w:t>
            </w:r>
          </w:p>
        </w:tc>
      </w:tr>
      <w:tr w:rsidR="004620EA" w:rsidRPr="00B9042F" w14:paraId="3A4356C6" w14:textId="77777777" w:rsidTr="00E75264">
        <w:trPr>
          <w:trHeight w:val="320"/>
        </w:trPr>
        <w:tc>
          <w:tcPr>
            <w:tcW w:w="5680" w:type="dxa"/>
            <w:tcBorders>
              <w:top w:val="nil"/>
              <w:left w:val="nil"/>
              <w:bottom w:val="nil"/>
              <w:right w:val="nil"/>
            </w:tcBorders>
            <w:shd w:val="clear" w:color="auto" w:fill="auto"/>
            <w:noWrap/>
            <w:vAlign w:val="bottom"/>
            <w:hideMark/>
          </w:tcPr>
          <w:p w14:paraId="721EA09C"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CD19+CD24lowCD38low (B-mature)</w:t>
            </w:r>
          </w:p>
        </w:tc>
        <w:tc>
          <w:tcPr>
            <w:tcW w:w="1300" w:type="dxa"/>
            <w:tcBorders>
              <w:top w:val="nil"/>
              <w:left w:val="nil"/>
              <w:bottom w:val="nil"/>
              <w:right w:val="nil"/>
            </w:tcBorders>
            <w:shd w:val="clear" w:color="auto" w:fill="auto"/>
            <w:noWrap/>
            <w:vAlign w:val="bottom"/>
            <w:hideMark/>
          </w:tcPr>
          <w:p w14:paraId="1C046288"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-0.1755</w:t>
            </w:r>
          </w:p>
        </w:tc>
        <w:tc>
          <w:tcPr>
            <w:tcW w:w="1300" w:type="dxa"/>
            <w:tcBorders>
              <w:top w:val="nil"/>
              <w:left w:val="nil"/>
              <w:bottom w:val="nil"/>
              <w:right w:val="nil"/>
            </w:tcBorders>
            <w:shd w:val="clear" w:color="auto" w:fill="auto"/>
            <w:noWrap/>
            <w:vAlign w:val="bottom"/>
            <w:hideMark/>
          </w:tcPr>
          <w:p w14:paraId="6F44B792"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-0.692</w:t>
            </w:r>
          </w:p>
        </w:tc>
      </w:tr>
      <w:tr w:rsidR="004620EA" w:rsidRPr="00B9042F" w14:paraId="64EAC5C8" w14:textId="77777777" w:rsidTr="00E75264">
        <w:trPr>
          <w:trHeight w:val="320"/>
        </w:trPr>
        <w:tc>
          <w:tcPr>
            <w:tcW w:w="5680" w:type="dxa"/>
            <w:tcBorders>
              <w:top w:val="nil"/>
              <w:left w:val="nil"/>
              <w:bottom w:val="nil"/>
              <w:right w:val="nil"/>
            </w:tcBorders>
            <w:shd w:val="clear" w:color="auto" w:fill="auto"/>
            <w:noWrap/>
            <w:vAlign w:val="bottom"/>
            <w:hideMark/>
          </w:tcPr>
          <w:p w14:paraId="4464B1C9" w14:textId="77777777" w:rsidR="00E75264" w:rsidRPr="00B9042F" w:rsidRDefault="00E75264" w:rsidP="00E75264">
            <w:pPr>
              <w:rPr>
                <w:rFonts w:ascii="Calibri" w:eastAsia="Times New Roman" w:hAnsi="Calibri" w:cs="Calibri"/>
                <w:color w:val="000000" w:themeColor="text1"/>
              </w:rPr>
            </w:pPr>
            <w:r w:rsidRPr="00B9042F">
              <w:rPr>
                <w:rFonts w:ascii="Calibri" w:eastAsia="Times New Roman" w:hAnsi="Calibri" w:cs="Calibri"/>
                <w:color w:val="000000" w:themeColor="text1"/>
              </w:rPr>
              <w:t>CD19+CD24highCD38high (B-reg)</w:t>
            </w:r>
          </w:p>
        </w:tc>
        <w:tc>
          <w:tcPr>
            <w:tcW w:w="1300" w:type="dxa"/>
            <w:tcBorders>
              <w:top w:val="nil"/>
              <w:left w:val="nil"/>
              <w:bottom w:val="nil"/>
              <w:right w:val="nil"/>
            </w:tcBorders>
            <w:shd w:val="clear" w:color="auto" w:fill="auto"/>
            <w:noWrap/>
            <w:vAlign w:val="bottom"/>
            <w:hideMark/>
          </w:tcPr>
          <w:p w14:paraId="66054D46"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0.2146</w:t>
            </w:r>
          </w:p>
        </w:tc>
        <w:tc>
          <w:tcPr>
            <w:tcW w:w="1300" w:type="dxa"/>
            <w:tcBorders>
              <w:top w:val="nil"/>
              <w:left w:val="nil"/>
              <w:bottom w:val="nil"/>
              <w:right w:val="nil"/>
            </w:tcBorders>
            <w:shd w:val="clear" w:color="auto" w:fill="auto"/>
            <w:noWrap/>
            <w:vAlign w:val="bottom"/>
            <w:hideMark/>
          </w:tcPr>
          <w:p w14:paraId="74726DCA"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-0.0615</w:t>
            </w:r>
          </w:p>
        </w:tc>
      </w:tr>
      <w:tr w:rsidR="004620EA" w:rsidRPr="00B9042F" w14:paraId="1F6BEA06" w14:textId="77777777" w:rsidTr="00E75264">
        <w:trPr>
          <w:trHeight w:val="320"/>
        </w:trPr>
        <w:tc>
          <w:tcPr>
            <w:tcW w:w="5680" w:type="dxa"/>
            <w:tcBorders>
              <w:top w:val="nil"/>
              <w:left w:val="nil"/>
              <w:bottom w:val="nil"/>
              <w:right w:val="nil"/>
            </w:tcBorders>
            <w:shd w:val="clear" w:color="auto" w:fill="auto"/>
            <w:noWrap/>
            <w:vAlign w:val="bottom"/>
            <w:hideMark/>
          </w:tcPr>
          <w:p w14:paraId="1DB27CF9"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CD19+CD24-CD38high ( B-plasma)</w:t>
            </w:r>
          </w:p>
        </w:tc>
        <w:tc>
          <w:tcPr>
            <w:tcW w:w="1300" w:type="dxa"/>
            <w:tcBorders>
              <w:top w:val="nil"/>
              <w:left w:val="nil"/>
              <w:bottom w:val="nil"/>
              <w:right w:val="nil"/>
            </w:tcBorders>
            <w:shd w:val="clear" w:color="auto" w:fill="auto"/>
            <w:noWrap/>
            <w:vAlign w:val="bottom"/>
            <w:hideMark/>
          </w:tcPr>
          <w:p w14:paraId="637124D6"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0.0491</w:t>
            </w:r>
          </w:p>
        </w:tc>
        <w:tc>
          <w:tcPr>
            <w:tcW w:w="1300" w:type="dxa"/>
            <w:tcBorders>
              <w:top w:val="nil"/>
              <w:left w:val="nil"/>
              <w:bottom w:val="nil"/>
              <w:right w:val="nil"/>
            </w:tcBorders>
            <w:shd w:val="clear" w:color="auto" w:fill="auto"/>
            <w:noWrap/>
            <w:vAlign w:val="bottom"/>
            <w:hideMark/>
          </w:tcPr>
          <w:p w14:paraId="069F116B"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0.065</w:t>
            </w:r>
          </w:p>
        </w:tc>
      </w:tr>
      <w:tr w:rsidR="004620EA" w:rsidRPr="00B9042F" w14:paraId="1D9831AE" w14:textId="77777777" w:rsidTr="00E75264">
        <w:trPr>
          <w:trHeight w:val="320"/>
        </w:trPr>
        <w:tc>
          <w:tcPr>
            <w:tcW w:w="5680" w:type="dxa"/>
            <w:tcBorders>
              <w:top w:val="nil"/>
              <w:left w:val="nil"/>
              <w:bottom w:val="nil"/>
              <w:right w:val="nil"/>
            </w:tcBorders>
            <w:shd w:val="clear" w:color="auto" w:fill="auto"/>
            <w:noWrap/>
            <w:vAlign w:val="bottom"/>
            <w:hideMark/>
          </w:tcPr>
          <w:p w14:paraId="09FDABD8"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CD19+CD24highCD38-34 (B-memory-atypical)</w:t>
            </w:r>
          </w:p>
        </w:tc>
        <w:tc>
          <w:tcPr>
            <w:tcW w:w="1300" w:type="dxa"/>
            <w:tcBorders>
              <w:top w:val="nil"/>
              <w:left w:val="nil"/>
              <w:bottom w:val="nil"/>
              <w:right w:val="nil"/>
            </w:tcBorders>
            <w:shd w:val="clear" w:color="auto" w:fill="auto"/>
            <w:noWrap/>
            <w:vAlign w:val="bottom"/>
            <w:hideMark/>
          </w:tcPr>
          <w:p w14:paraId="63B631C4"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-0.0259</w:t>
            </w:r>
          </w:p>
        </w:tc>
        <w:tc>
          <w:tcPr>
            <w:tcW w:w="1300" w:type="dxa"/>
            <w:tcBorders>
              <w:top w:val="nil"/>
              <w:left w:val="nil"/>
              <w:bottom w:val="nil"/>
              <w:right w:val="nil"/>
            </w:tcBorders>
            <w:shd w:val="clear" w:color="auto" w:fill="auto"/>
            <w:noWrap/>
            <w:vAlign w:val="bottom"/>
            <w:hideMark/>
          </w:tcPr>
          <w:p w14:paraId="5FA02429"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0.2712</w:t>
            </w:r>
          </w:p>
        </w:tc>
      </w:tr>
      <w:tr w:rsidR="004620EA" w:rsidRPr="00B9042F" w14:paraId="00067153" w14:textId="77777777" w:rsidTr="00E75264">
        <w:trPr>
          <w:trHeight w:val="320"/>
        </w:trPr>
        <w:tc>
          <w:tcPr>
            <w:tcW w:w="5680" w:type="dxa"/>
            <w:tcBorders>
              <w:top w:val="nil"/>
              <w:left w:val="nil"/>
              <w:bottom w:val="nil"/>
              <w:right w:val="nil"/>
            </w:tcBorders>
            <w:shd w:val="clear" w:color="auto" w:fill="auto"/>
            <w:noWrap/>
            <w:vAlign w:val="bottom"/>
            <w:hideMark/>
          </w:tcPr>
          <w:p w14:paraId="72B6B28E"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CD56+ CD16 low (CD56 dim)</w:t>
            </w:r>
          </w:p>
        </w:tc>
        <w:tc>
          <w:tcPr>
            <w:tcW w:w="1300" w:type="dxa"/>
            <w:tcBorders>
              <w:top w:val="nil"/>
              <w:left w:val="nil"/>
              <w:bottom w:val="nil"/>
              <w:right w:val="nil"/>
            </w:tcBorders>
            <w:shd w:val="clear" w:color="auto" w:fill="auto"/>
            <w:noWrap/>
            <w:vAlign w:val="bottom"/>
            <w:hideMark/>
          </w:tcPr>
          <w:p w14:paraId="65ECE353"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0.2139</w:t>
            </w:r>
          </w:p>
        </w:tc>
        <w:tc>
          <w:tcPr>
            <w:tcW w:w="1300" w:type="dxa"/>
            <w:tcBorders>
              <w:top w:val="nil"/>
              <w:left w:val="nil"/>
              <w:bottom w:val="nil"/>
              <w:right w:val="nil"/>
            </w:tcBorders>
            <w:shd w:val="clear" w:color="auto" w:fill="auto"/>
            <w:noWrap/>
            <w:vAlign w:val="bottom"/>
            <w:hideMark/>
          </w:tcPr>
          <w:p w14:paraId="4BD9DD2A"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0.522</w:t>
            </w:r>
          </w:p>
        </w:tc>
      </w:tr>
      <w:tr w:rsidR="004620EA" w:rsidRPr="00B9042F" w14:paraId="02904D64" w14:textId="77777777" w:rsidTr="00E75264">
        <w:trPr>
          <w:trHeight w:val="320"/>
        </w:trPr>
        <w:tc>
          <w:tcPr>
            <w:tcW w:w="5680" w:type="dxa"/>
            <w:tcBorders>
              <w:top w:val="nil"/>
              <w:left w:val="nil"/>
              <w:bottom w:val="nil"/>
              <w:right w:val="nil"/>
            </w:tcBorders>
            <w:shd w:val="clear" w:color="auto" w:fill="auto"/>
            <w:noWrap/>
            <w:vAlign w:val="bottom"/>
            <w:hideMark/>
          </w:tcPr>
          <w:p w14:paraId="12362132"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CD56+ CD16 high  (CD 56 bright)</w:t>
            </w:r>
          </w:p>
        </w:tc>
        <w:tc>
          <w:tcPr>
            <w:tcW w:w="1300" w:type="dxa"/>
            <w:tcBorders>
              <w:top w:val="nil"/>
              <w:left w:val="nil"/>
              <w:bottom w:val="nil"/>
              <w:right w:val="nil"/>
            </w:tcBorders>
            <w:shd w:val="clear" w:color="auto" w:fill="auto"/>
            <w:noWrap/>
            <w:vAlign w:val="bottom"/>
            <w:hideMark/>
          </w:tcPr>
          <w:p w14:paraId="41A43CCE"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-0.0305</w:t>
            </w:r>
          </w:p>
        </w:tc>
        <w:tc>
          <w:tcPr>
            <w:tcW w:w="1300" w:type="dxa"/>
            <w:tcBorders>
              <w:top w:val="nil"/>
              <w:left w:val="nil"/>
              <w:bottom w:val="nil"/>
              <w:right w:val="nil"/>
            </w:tcBorders>
            <w:shd w:val="clear" w:color="auto" w:fill="auto"/>
            <w:noWrap/>
            <w:vAlign w:val="bottom"/>
            <w:hideMark/>
          </w:tcPr>
          <w:p w14:paraId="54BD7076"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-0.0211</w:t>
            </w:r>
          </w:p>
        </w:tc>
      </w:tr>
      <w:tr w:rsidR="004620EA" w:rsidRPr="00B9042F" w14:paraId="50DE179B" w14:textId="77777777" w:rsidTr="00E75264">
        <w:trPr>
          <w:trHeight w:val="320"/>
        </w:trPr>
        <w:tc>
          <w:tcPr>
            <w:tcW w:w="5680" w:type="dxa"/>
            <w:tcBorders>
              <w:top w:val="nil"/>
              <w:left w:val="nil"/>
              <w:bottom w:val="nil"/>
              <w:right w:val="nil"/>
            </w:tcBorders>
            <w:shd w:val="clear" w:color="auto" w:fill="auto"/>
            <w:noWrap/>
            <w:vAlign w:val="bottom"/>
            <w:hideMark/>
          </w:tcPr>
          <w:p w14:paraId="74F5A5BB"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CD3+CD4+CCR6-CD161-CXCR3+ (Th1)</w:t>
            </w:r>
          </w:p>
        </w:tc>
        <w:tc>
          <w:tcPr>
            <w:tcW w:w="1300" w:type="dxa"/>
            <w:tcBorders>
              <w:top w:val="nil"/>
              <w:left w:val="nil"/>
              <w:bottom w:val="nil"/>
              <w:right w:val="nil"/>
            </w:tcBorders>
            <w:shd w:val="clear" w:color="auto" w:fill="auto"/>
            <w:noWrap/>
            <w:vAlign w:val="bottom"/>
            <w:hideMark/>
          </w:tcPr>
          <w:p w14:paraId="0EE3DDD1"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0.0344</w:t>
            </w:r>
          </w:p>
        </w:tc>
        <w:tc>
          <w:tcPr>
            <w:tcW w:w="1300" w:type="dxa"/>
            <w:tcBorders>
              <w:top w:val="nil"/>
              <w:left w:val="nil"/>
              <w:bottom w:val="nil"/>
              <w:right w:val="nil"/>
            </w:tcBorders>
            <w:shd w:val="clear" w:color="auto" w:fill="auto"/>
            <w:noWrap/>
            <w:vAlign w:val="bottom"/>
            <w:hideMark/>
          </w:tcPr>
          <w:p w14:paraId="56C14E1A"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-2.00E-04</w:t>
            </w:r>
          </w:p>
        </w:tc>
      </w:tr>
      <w:tr w:rsidR="004620EA" w:rsidRPr="00B9042F" w14:paraId="734E22CE" w14:textId="77777777" w:rsidTr="00E75264">
        <w:trPr>
          <w:trHeight w:val="320"/>
        </w:trPr>
        <w:tc>
          <w:tcPr>
            <w:tcW w:w="5680" w:type="dxa"/>
            <w:tcBorders>
              <w:top w:val="nil"/>
              <w:left w:val="nil"/>
              <w:bottom w:val="nil"/>
              <w:right w:val="nil"/>
            </w:tcBorders>
            <w:shd w:val="clear" w:color="auto" w:fill="auto"/>
            <w:noWrap/>
            <w:vAlign w:val="bottom"/>
            <w:hideMark/>
          </w:tcPr>
          <w:p w14:paraId="733C7F2E"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CD3+CD4+CCR6+CD161+CXCR3-CCR4+ (Th17)</w:t>
            </w:r>
          </w:p>
        </w:tc>
        <w:tc>
          <w:tcPr>
            <w:tcW w:w="1300" w:type="dxa"/>
            <w:tcBorders>
              <w:top w:val="nil"/>
              <w:left w:val="nil"/>
              <w:bottom w:val="nil"/>
              <w:right w:val="nil"/>
            </w:tcBorders>
            <w:shd w:val="clear" w:color="auto" w:fill="auto"/>
            <w:noWrap/>
            <w:vAlign w:val="bottom"/>
            <w:hideMark/>
          </w:tcPr>
          <w:p w14:paraId="72E7FACC"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0.0066</w:t>
            </w:r>
          </w:p>
        </w:tc>
        <w:tc>
          <w:tcPr>
            <w:tcW w:w="1300" w:type="dxa"/>
            <w:tcBorders>
              <w:top w:val="nil"/>
              <w:left w:val="nil"/>
              <w:bottom w:val="nil"/>
              <w:right w:val="nil"/>
            </w:tcBorders>
            <w:shd w:val="clear" w:color="auto" w:fill="auto"/>
            <w:noWrap/>
            <w:vAlign w:val="bottom"/>
            <w:hideMark/>
          </w:tcPr>
          <w:p w14:paraId="488D6450"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0.0017</w:t>
            </w:r>
          </w:p>
        </w:tc>
      </w:tr>
      <w:tr w:rsidR="008A245B" w:rsidRPr="004620EA" w14:paraId="3F7A3E38" w14:textId="77777777" w:rsidTr="00E75264">
        <w:trPr>
          <w:trHeight w:val="320"/>
        </w:trPr>
        <w:tc>
          <w:tcPr>
            <w:tcW w:w="5680" w:type="dxa"/>
            <w:tcBorders>
              <w:top w:val="nil"/>
              <w:left w:val="nil"/>
              <w:bottom w:val="nil"/>
              <w:right w:val="nil"/>
            </w:tcBorders>
            <w:shd w:val="clear" w:color="auto" w:fill="auto"/>
            <w:noWrap/>
            <w:vAlign w:val="bottom"/>
            <w:hideMark/>
          </w:tcPr>
          <w:p w14:paraId="179A3F8F" w14:textId="77777777" w:rsidR="00E75264" w:rsidRPr="00B9042F" w:rsidRDefault="00E75264" w:rsidP="00E75264">
            <w:pPr>
              <w:rPr>
                <w:rFonts w:ascii="Calibri" w:eastAsia="Times New Roman" w:hAnsi="Calibri" w:cs="Calibri"/>
                <w:color w:val="000000" w:themeColor="text1"/>
                <w:lang w:val="en-US"/>
              </w:rPr>
            </w:pPr>
            <w:r w:rsidRPr="00B9042F">
              <w:rPr>
                <w:rFonts w:ascii="Calibri" w:eastAsia="Times New Roman" w:hAnsi="Calibri" w:cs="Calibri"/>
                <w:color w:val="000000" w:themeColor="text1"/>
                <w:lang w:val="en-US"/>
              </w:rPr>
              <w:t>CD3+CD4+CCR6+CD161+CxCR3highCCR4low (Th1/Th17)</w:t>
            </w:r>
          </w:p>
        </w:tc>
        <w:tc>
          <w:tcPr>
            <w:tcW w:w="1300" w:type="dxa"/>
            <w:tcBorders>
              <w:top w:val="nil"/>
              <w:left w:val="nil"/>
              <w:bottom w:val="nil"/>
              <w:right w:val="nil"/>
            </w:tcBorders>
            <w:shd w:val="clear" w:color="auto" w:fill="auto"/>
            <w:noWrap/>
            <w:vAlign w:val="bottom"/>
            <w:hideMark/>
          </w:tcPr>
          <w:p w14:paraId="13851B35" w14:textId="77777777" w:rsidR="00E75264" w:rsidRPr="00B9042F"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-0.0024</w:t>
            </w:r>
          </w:p>
        </w:tc>
        <w:tc>
          <w:tcPr>
            <w:tcW w:w="1300" w:type="dxa"/>
            <w:tcBorders>
              <w:top w:val="nil"/>
              <w:left w:val="nil"/>
              <w:bottom w:val="nil"/>
              <w:right w:val="nil"/>
            </w:tcBorders>
            <w:shd w:val="clear" w:color="auto" w:fill="auto"/>
            <w:noWrap/>
            <w:vAlign w:val="bottom"/>
            <w:hideMark/>
          </w:tcPr>
          <w:p w14:paraId="747173F4" w14:textId="77777777" w:rsidR="00E75264" w:rsidRPr="004620EA" w:rsidRDefault="00E75264" w:rsidP="00E75264">
            <w:pPr>
              <w:jc w:val="right"/>
              <w:rPr>
                <w:rFonts w:ascii="Calibri" w:eastAsia="Times New Roman" w:hAnsi="Calibri" w:cs="Calibri"/>
                <w:color w:val="000000" w:themeColor="text1"/>
              </w:rPr>
            </w:pPr>
            <w:r w:rsidRPr="00B9042F">
              <w:rPr>
                <w:rFonts w:ascii="Calibri" w:eastAsia="Times New Roman" w:hAnsi="Calibri" w:cs="Calibri"/>
                <w:color w:val="000000" w:themeColor="text1"/>
              </w:rPr>
              <w:t>0.0081</w:t>
            </w:r>
            <w:bookmarkStart w:id="0" w:name="_GoBack"/>
            <w:bookmarkEnd w:id="0"/>
          </w:p>
        </w:tc>
      </w:tr>
    </w:tbl>
    <w:p w14:paraId="609457E3" w14:textId="77777777" w:rsidR="00593C41" w:rsidRPr="004620EA" w:rsidRDefault="00593C41" w:rsidP="00507E2F">
      <w:pPr>
        <w:pStyle w:val="NormalWeb"/>
        <w:spacing w:before="0" w:beforeAutospacing="0" w:after="0" w:afterAutospacing="0" w:line="480" w:lineRule="auto"/>
        <w:jc w:val="both"/>
        <w:rPr>
          <w:rFonts w:asciiTheme="majorBidi" w:hAnsiTheme="majorBidi" w:cstheme="majorBidi"/>
          <w:b/>
          <w:iCs/>
          <w:color w:val="000000" w:themeColor="text1"/>
          <w:lang w:val="en-US"/>
        </w:rPr>
      </w:pPr>
    </w:p>
    <w:p w14:paraId="4642F0A5" w14:textId="6638A1E0" w:rsidR="0038717A" w:rsidRPr="0005455B" w:rsidRDefault="00AD34B9" w:rsidP="004D67B6">
      <w:pPr>
        <w:spacing w:line="480" w:lineRule="auto"/>
        <w:rPr>
          <w:rFonts w:asciiTheme="majorBidi" w:eastAsia="Times New Roman" w:hAnsiTheme="majorBidi" w:cstheme="majorBidi"/>
          <w:b/>
          <w:bCs/>
          <w:lang w:val="en-US" w:eastAsia="it-IT" w:bidi="ar-SA"/>
        </w:rPr>
      </w:pPr>
      <w:r w:rsidRPr="0005455B">
        <w:rPr>
          <w:rFonts w:asciiTheme="majorBidi" w:eastAsia="Times New Roman" w:hAnsiTheme="majorBidi" w:cstheme="majorBidi"/>
          <w:b/>
          <w:bCs/>
          <w:lang w:val="en-US" w:eastAsia="it-IT" w:bidi="ar-SA"/>
        </w:rPr>
        <w:t>Supplemental references</w:t>
      </w:r>
    </w:p>
    <w:p w14:paraId="79846828" w14:textId="48D56FFF" w:rsidR="0038717A" w:rsidRPr="0005455B" w:rsidRDefault="0038717A" w:rsidP="0038717A">
      <w:pPr>
        <w:pStyle w:val="EndNoteBibliography"/>
        <w:ind w:left="720" w:hanging="720"/>
        <w:rPr>
          <w:rFonts w:asciiTheme="majorBidi" w:hAnsiTheme="majorBidi" w:cstheme="majorBidi"/>
          <w:noProof/>
        </w:rPr>
      </w:pPr>
      <w:r w:rsidRPr="0005455B">
        <w:rPr>
          <w:rFonts w:asciiTheme="majorBidi" w:hAnsiTheme="majorBidi" w:cstheme="majorBidi"/>
        </w:rPr>
        <w:fldChar w:fldCharType="begin"/>
      </w:r>
      <w:r w:rsidRPr="0005455B">
        <w:rPr>
          <w:rFonts w:asciiTheme="majorBidi" w:hAnsiTheme="majorBidi" w:cstheme="majorBidi"/>
        </w:rPr>
        <w:instrText xml:space="preserve"> ADDIN EN.REFLIST </w:instrText>
      </w:r>
      <w:r w:rsidRPr="0005455B">
        <w:rPr>
          <w:rFonts w:asciiTheme="majorBidi" w:hAnsiTheme="majorBidi" w:cstheme="majorBidi"/>
        </w:rPr>
        <w:fldChar w:fldCharType="separate"/>
      </w:r>
      <w:r w:rsidR="00386F9B">
        <w:rPr>
          <w:rFonts w:asciiTheme="majorBidi" w:hAnsiTheme="majorBidi" w:cstheme="majorBidi"/>
          <w:noProof/>
        </w:rPr>
        <w:t>e1</w:t>
      </w:r>
      <w:r w:rsidRPr="0005455B">
        <w:rPr>
          <w:rFonts w:asciiTheme="majorBidi" w:hAnsiTheme="majorBidi" w:cstheme="majorBidi"/>
          <w:noProof/>
        </w:rPr>
        <w:t>.</w:t>
      </w:r>
      <w:r w:rsidRPr="0005455B">
        <w:rPr>
          <w:rFonts w:asciiTheme="majorBidi" w:hAnsiTheme="majorBidi" w:cstheme="majorBidi"/>
          <w:noProof/>
        </w:rPr>
        <w:tab/>
        <w:t xml:space="preserve">Polman, C.H., et al., </w:t>
      </w:r>
      <w:r w:rsidRPr="0005455B">
        <w:rPr>
          <w:rFonts w:asciiTheme="majorBidi" w:hAnsiTheme="majorBidi" w:cstheme="majorBidi"/>
          <w:i/>
          <w:noProof/>
        </w:rPr>
        <w:t>Diagnostic criteria for multiple sclerosis: 2010 revisions to the McDonald criteria.</w:t>
      </w:r>
      <w:r w:rsidRPr="0005455B">
        <w:rPr>
          <w:rFonts w:asciiTheme="majorBidi" w:hAnsiTheme="majorBidi" w:cstheme="majorBidi"/>
          <w:noProof/>
        </w:rPr>
        <w:t xml:space="preserve"> Ann Neurol, 2011. </w:t>
      </w:r>
      <w:r w:rsidRPr="0005455B">
        <w:rPr>
          <w:rFonts w:asciiTheme="majorBidi" w:hAnsiTheme="majorBidi" w:cstheme="majorBidi"/>
          <w:b/>
          <w:noProof/>
        </w:rPr>
        <w:t>69</w:t>
      </w:r>
      <w:r w:rsidRPr="0005455B">
        <w:rPr>
          <w:rFonts w:asciiTheme="majorBidi" w:hAnsiTheme="majorBidi" w:cstheme="majorBidi"/>
          <w:noProof/>
        </w:rPr>
        <w:t>(2): p. 292-302.</w:t>
      </w:r>
    </w:p>
    <w:p w14:paraId="2426CFA5" w14:textId="4855F748" w:rsidR="0038717A" w:rsidRPr="0005455B" w:rsidRDefault="00386F9B" w:rsidP="0038717A">
      <w:pPr>
        <w:pStyle w:val="EndNoteBibliography"/>
        <w:ind w:left="720" w:hanging="720"/>
        <w:rPr>
          <w:rFonts w:asciiTheme="majorBidi" w:hAnsiTheme="majorBidi" w:cstheme="majorBidi"/>
          <w:noProof/>
        </w:rPr>
      </w:pPr>
      <w:r>
        <w:rPr>
          <w:rFonts w:asciiTheme="majorBidi" w:hAnsiTheme="majorBidi" w:cstheme="majorBidi"/>
          <w:noProof/>
        </w:rPr>
        <w:t>e2</w:t>
      </w:r>
      <w:r w:rsidR="0038717A" w:rsidRPr="0005455B">
        <w:rPr>
          <w:rFonts w:asciiTheme="majorBidi" w:hAnsiTheme="majorBidi" w:cstheme="majorBidi"/>
          <w:noProof/>
        </w:rPr>
        <w:t>.</w:t>
      </w:r>
      <w:r w:rsidR="0038717A" w:rsidRPr="0005455B">
        <w:rPr>
          <w:rFonts w:asciiTheme="majorBidi" w:hAnsiTheme="majorBidi" w:cstheme="majorBidi"/>
          <w:noProof/>
        </w:rPr>
        <w:tab/>
        <w:t xml:space="preserve">Lublin, F.D., et al., </w:t>
      </w:r>
      <w:r w:rsidR="0038717A" w:rsidRPr="0005455B">
        <w:rPr>
          <w:rFonts w:asciiTheme="majorBidi" w:hAnsiTheme="majorBidi" w:cstheme="majorBidi"/>
          <w:i/>
          <w:noProof/>
        </w:rPr>
        <w:t>Defining the clinical course of multiple sclerosis: the 2013 revisions.</w:t>
      </w:r>
      <w:r w:rsidR="0038717A" w:rsidRPr="0005455B">
        <w:rPr>
          <w:rFonts w:asciiTheme="majorBidi" w:hAnsiTheme="majorBidi" w:cstheme="majorBidi"/>
          <w:noProof/>
        </w:rPr>
        <w:t xml:space="preserve"> Neurology, 2014. </w:t>
      </w:r>
      <w:r w:rsidR="0038717A" w:rsidRPr="0005455B">
        <w:rPr>
          <w:rFonts w:asciiTheme="majorBidi" w:hAnsiTheme="majorBidi" w:cstheme="majorBidi"/>
          <w:b/>
          <w:noProof/>
        </w:rPr>
        <w:t>83</w:t>
      </w:r>
      <w:r w:rsidR="0038717A" w:rsidRPr="0005455B">
        <w:rPr>
          <w:rFonts w:asciiTheme="majorBidi" w:hAnsiTheme="majorBidi" w:cstheme="majorBidi"/>
          <w:noProof/>
        </w:rPr>
        <w:t>(3): p. 278-86.</w:t>
      </w:r>
    </w:p>
    <w:p w14:paraId="0DE9BB64" w14:textId="02EB9E5C" w:rsidR="00F40796" w:rsidRPr="0005455B" w:rsidRDefault="0038717A" w:rsidP="0038717A">
      <w:pPr>
        <w:spacing w:line="480" w:lineRule="auto"/>
        <w:rPr>
          <w:rFonts w:asciiTheme="majorBidi" w:hAnsiTheme="majorBidi" w:cstheme="majorBidi"/>
          <w:lang w:val="en-US"/>
        </w:rPr>
      </w:pPr>
      <w:r w:rsidRPr="0005455B">
        <w:rPr>
          <w:rFonts w:asciiTheme="majorBidi" w:hAnsiTheme="majorBidi" w:cstheme="majorBidi"/>
          <w:lang w:val="en-US"/>
        </w:rPr>
        <w:fldChar w:fldCharType="end"/>
      </w:r>
    </w:p>
    <w:sectPr w:rsidR="00F40796" w:rsidRPr="0005455B" w:rsidSect="00DF185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fv2ze5spat0ce0xx1pzarc5f5t2ertra2v&quot;&gt;NKdeR overall endnote library&lt;record-ids&gt;&lt;item&gt;2804&lt;/item&gt;&lt;item&gt;2816&lt;/item&gt;&lt;/record-ids&gt;&lt;/item&gt;&lt;/Libraries&gt;"/>
  </w:docVars>
  <w:rsids>
    <w:rsidRoot w:val="004D67B6"/>
    <w:rsid w:val="00000F93"/>
    <w:rsid w:val="000543F4"/>
    <w:rsid w:val="0005455B"/>
    <w:rsid w:val="00080F2C"/>
    <w:rsid w:val="00092926"/>
    <w:rsid w:val="00103EEE"/>
    <w:rsid w:val="00136375"/>
    <w:rsid w:val="00187D2D"/>
    <w:rsid w:val="001B5A8A"/>
    <w:rsid w:val="001D1B94"/>
    <w:rsid w:val="00216770"/>
    <w:rsid w:val="002647A7"/>
    <w:rsid w:val="00276401"/>
    <w:rsid w:val="00287DA4"/>
    <w:rsid w:val="002908F7"/>
    <w:rsid w:val="00294010"/>
    <w:rsid w:val="002A23BE"/>
    <w:rsid w:val="002A7614"/>
    <w:rsid w:val="002B2621"/>
    <w:rsid w:val="002E1844"/>
    <w:rsid w:val="00321D01"/>
    <w:rsid w:val="00325344"/>
    <w:rsid w:val="00333FC0"/>
    <w:rsid w:val="00365F01"/>
    <w:rsid w:val="003853DD"/>
    <w:rsid w:val="00386F9B"/>
    <w:rsid w:val="0038717A"/>
    <w:rsid w:val="003A7288"/>
    <w:rsid w:val="003C0953"/>
    <w:rsid w:val="003E4943"/>
    <w:rsid w:val="00400B32"/>
    <w:rsid w:val="004265F8"/>
    <w:rsid w:val="004620EA"/>
    <w:rsid w:val="00481F39"/>
    <w:rsid w:val="0048495B"/>
    <w:rsid w:val="004C7A00"/>
    <w:rsid w:val="004D67B6"/>
    <w:rsid w:val="004D7CEF"/>
    <w:rsid w:val="004E22C4"/>
    <w:rsid w:val="004E72A8"/>
    <w:rsid w:val="004F642A"/>
    <w:rsid w:val="004F7FB6"/>
    <w:rsid w:val="00507E2F"/>
    <w:rsid w:val="00514AFF"/>
    <w:rsid w:val="00545C4E"/>
    <w:rsid w:val="00593C41"/>
    <w:rsid w:val="005955FF"/>
    <w:rsid w:val="005A588C"/>
    <w:rsid w:val="005B0425"/>
    <w:rsid w:val="005F34E3"/>
    <w:rsid w:val="00607480"/>
    <w:rsid w:val="00646007"/>
    <w:rsid w:val="0067008C"/>
    <w:rsid w:val="006B0331"/>
    <w:rsid w:val="006C0509"/>
    <w:rsid w:val="0071420F"/>
    <w:rsid w:val="00731641"/>
    <w:rsid w:val="007336C7"/>
    <w:rsid w:val="00740F12"/>
    <w:rsid w:val="0075417C"/>
    <w:rsid w:val="007A30B7"/>
    <w:rsid w:val="007B6F7B"/>
    <w:rsid w:val="007D66E4"/>
    <w:rsid w:val="007E3ABD"/>
    <w:rsid w:val="007F7E5D"/>
    <w:rsid w:val="00800034"/>
    <w:rsid w:val="00832B41"/>
    <w:rsid w:val="00834FCD"/>
    <w:rsid w:val="008452F8"/>
    <w:rsid w:val="00854AD4"/>
    <w:rsid w:val="00857018"/>
    <w:rsid w:val="008601A0"/>
    <w:rsid w:val="00874594"/>
    <w:rsid w:val="0089092C"/>
    <w:rsid w:val="00892F73"/>
    <w:rsid w:val="00897447"/>
    <w:rsid w:val="008A245B"/>
    <w:rsid w:val="008C75FD"/>
    <w:rsid w:val="008D4827"/>
    <w:rsid w:val="008D649C"/>
    <w:rsid w:val="009076CA"/>
    <w:rsid w:val="009249D5"/>
    <w:rsid w:val="009515A4"/>
    <w:rsid w:val="00956279"/>
    <w:rsid w:val="0096463D"/>
    <w:rsid w:val="009B3FAA"/>
    <w:rsid w:val="009B65BE"/>
    <w:rsid w:val="009C1C1C"/>
    <w:rsid w:val="009F14FC"/>
    <w:rsid w:val="00A06D59"/>
    <w:rsid w:val="00A24E4E"/>
    <w:rsid w:val="00A25369"/>
    <w:rsid w:val="00A4529E"/>
    <w:rsid w:val="00A5567E"/>
    <w:rsid w:val="00A759FC"/>
    <w:rsid w:val="00A760A8"/>
    <w:rsid w:val="00A93C68"/>
    <w:rsid w:val="00AA739B"/>
    <w:rsid w:val="00AC5788"/>
    <w:rsid w:val="00AD34B9"/>
    <w:rsid w:val="00B0619D"/>
    <w:rsid w:val="00B0664D"/>
    <w:rsid w:val="00B114E0"/>
    <w:rsid w:val="00B3301B"/>
    <w:rsid w:val="00B42D9A"/>
    <w:rsid w:val="00B51F43"/>
    <w:rsid w:val="00B672D5"/>
    <w:rsid w:val="00B846A7"/>
    <w:rsid w:val="00B9042F"/>
    <w:rsid w:val="00B9556C"/>
    <w:rsid w:val="00BA1A23"/>
    <w:rsid w:val="00BA3DC7"/>
    <w:rsid w:val="00BB00CC"/>
    <w:rsid w:val="00BC07AE"/>
    <w:rsid w:val="00BC4040"/>
    <w:rsid w:val="00BC622E"/>
    <w:rsid w:val="00BD5F57"/>
    <w:rsid w:val="00C03E0A"/>
    <w:rsid w:val="00C045AD"/>
    <w:rsid w:val="00C07FF5"/>
    <w:rsid w:val="00C2266A"/>
    <w:rsid w:val="00C41A79"/>
    <w:rsid w:val="00C62270"/>
    <w:rsid w:val="00C7303D"/>
    <w:rsid w:val="00CB7AF9"/>
    <w:rsid w:val="00CD346A"/>
    <w:rsid w:val="00CE3F76"/>
    <w:rsid w:val="00CF0B43"/>
    <w:rsid w:val="00CF5DAC"/>
    <w:rsid w:val="00D0261C"/>
    <w:rsid w:val="00D15EB9"/>
    <w:rsid w:val="00D374B5"/>
    <w:rsid w:val="00D519B0"/>
    <w:rsid w:val="00D57E6C"/>
    <w:rsid w:val="00D75A5A"/>
    <w:rsid w:val="00DD69BF"/>
    <w:rsid w:val="00DE02B6"/>
    <w:rsid w:val="00DF185A"/>
    <w:rsid w:val="00E124BE"/>
    <w:rsid w:val="00E27DC9"/>
    <w:rsid w:val="00E322B3"/>
    <w:rsid w:val="00E40467"/>
    <w:rsid w:val="00E54E80"/>
    <w:rsid w:val="00E56669"/>
    <w:rsid w:val="00E75264"/>
    <w:rsid w:val="00EA40CD"/>
    <w:rsid w:val="00EB6016"/>
    <w:rsid w:val="00EB7F41"/>
    <w:rsid w:val="00EC5A4E"/>
    <w:rsid w:val="00ED19C7"/>
    <w:rsid w:val="00EF7173"/>
    <w:rsid w:val="00F7580C"/>
    <w:rsid w:val="00F76EC2"/>
    <w:rsid w:val="00F96E4E"/>
    <w:rsid w:val="00FA3A6F"/>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8036"/>
  <w15:chartTrackingRefBased/>
  <w15:docId w15:val="{9DC43BD9-1DE8-F34A-8F14-5AA899AE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6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66E4"/>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38717A"/>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8717A"/>
    <w:rPr>
      <w:rFonts w:ascii="Calibri" w:hAnsi="Calibri" w:cs="Calibri"/>
      <w:lang w:val="en-US"/>
    </w:rPr>
  </w:style>
  <w:style w:type="paragraph" w:customStyle="1" w:styleId="EndNoteBibliography">
    <w:name w:val="EndNote Bibliography"/>
    <w:basedOn w:val="Normal"/>
    <w:link w:val="EndNoteBibliographyChar"/>
    <w:rsid w:val="0038717A"/>
    <w:rPr>
      <w:rFonts w:ascii="Calibri" w:hAnsi="Calibri" w:cs="Calibri"/>
      <w:lang w:val="en-US"/>
    </w:rPr>
  </w:style>
  <w:style w:type="character" w:customStyle="1" w:styleId="EndNoteBibliographyChar">
    <w:name w:val="EndNote Bibliography Char"/>
    <w:basedOn w:val="DefaultParagraphFont"/>
    <w:link w:val="EndNoteBibliography"/>
    <w:rsid w:val="0038717A"/>
    <w:rPr>
      <w:rFonts w:ascii="Calibri" w:hAnsi="Calibri" w:cs="Calibri"/>
      <w:lang w:val="en-US"/>
    </w:rPr>
  </w:style>
  <w:style w:type="paragraph" w:styleId="NormalWeb">
    <w:name w:val="Normal (Web)"/>
    <w:basedOn w:val="Normal"/>
    <w:uiPriority w:val="99"/>
    <w:unhideWhenUsed/>
    <w:rsid w:val="00507E2F"/>
    <w:pPr>
      <w:spacing w:before="100" w:beforeAutospacing="1" w:after="100" w:afterAutospacing="1"/>
    </w:pPr>
    <w:rPr>
      <w:rFonts w:ascii="Times New Roman" w:eastAsia="Times New Roman" w:hAnsi="Times New Roman" w:cs="Times New Roman"/>
      <w:lang w:eastAsia="it-IT" w:bidi="ar-SA"/>
    </w:rPr>
  </w:style>
  <w:style w:type="character" w:styleId="CommentReference">
    <w:name w:val="annotation reference"/>
    <w:basedOn w:val="DefaultParagraphFont"/>
    <w:uiPriority w:val="99"/>
    <w:semiHidden/>
    <w:unhideWhenUsed/>
    <w:rsid w:val="00507E2F"/>
    <w:rPr>
      <w:sz w:val="16"/>
      <w:szCs w:val="16"/>
    </w:rPr>
  </w:style>
  <w:style w:type="paragraph" w:styleId="CommentText">
    <w:name w:val="annotation text"/>
    <w:basedOn w:val="Normal"/>
    <w:link w:val="CommentTextChar"/>
    <w:uiPriority w:val="99"/>
    <w:semiHidden/>
    <w:unhideWhenUsed/>
    <w:rsid w:val="00507E2F"/>
    <w:pPr>
      <w:spacing w:after="200"/>
    </w:pPr>
    <w:rPr>
      <w:sz w:val="20"/>
      <w:szCs w:val="20"/>
      <w:lang w:bidi="ar-SA"/>
    </w:rPr>
  </w:style>
  <w:style w:type="character" w:customStyle="1" w:styleId="CommentTextChar">
    <w:name w:val="Comment Text Char"/>
    <w:basedOn w:val="DefaultParagraphFont"/>
    <w:link w:val="CommentText"/>
    <w:uiPriority w:val="99"/>
    <w:semiHidden/>
    <w:rsid w:val="00507E2F"/>
    <w:rPr>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20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Kerlero de Rosbo</dc:creator>
  <cp:keywords/>
  <dc:description/>
  <cp:lastModifiedBy>Nicole Kerlero de Rosbo</cp:lastModifiedBy>
  <cp:revision>2</cp:revision>
  <dcterms:created xsi:type="dcterms:W3CDTF">2019-12-18T15:52:00Z</dcterms:created>
  <dcterms:modified xsi:type="dcterms:W3CDTF">2019-12-18T15:52:00Z</dcterms:modified>
</cp:coreProperties>
</file>