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EEBD1" w14:textId="03C9F75C" w:rsidR="004B1EE1" w:rsidRPr="00B401E2" w:rsidRDefault="004B1EE1" w:rsidP="00D84728">
      <w:pPr>
        <w:spacing w:before="100" w:beforeAutospacing="1" w:after="0" w:line="480" w:lineRule="auto"/>
        <w:ind w:left="360"/>
        <w:rPr>
          <w:rFonts w:asciiTheme="majorHAnsi" w:hAnsiTheme="majorHAnsi"/>
          <w:b/>
          <w:bCs/>
          <w:kern w:val="2"/>
          <w:sz w:val="24"/>
          <w:szCs w:val="24"/>
          <w:lang w:val="en-GB"/>
        </w:rPr>
      </w:pPr>
      <w:r w:rsidRPr="00D84728">
        <w:rPr>
          <w:rFonts w:asciiTheme="majorHAnsi" w:hAnsiTheme="majorHAnsi"/>
          <w:b/>
          <w:bCs/>
          <w:kern w:val="2"/>
          <w:sz w:val="24"/>
          <w:szCs w:val="24"/>
          <w:lang w:val="en-GB"/>
        </w:rPr>
        <w:t>Control of neutrophil influx during peritonitis by transcriptional cross-regulation of chemokine CXCL1 by IL-17 and IFN-γ</w:t>
      </w:r>
      <w:r w:rsidR="00B401E2">
        <w:rPr>
          <w:rFonts w:asciiTheme="majorHAnsi" w:hAnsiTheme="majorHAnsi"/>
          <w:b/>
          <w:bCs/>
          <w:kern w:val="2"/>
          <w:sz w:val="24"/>
          <w:szCs w:val="24"/>
          <w:lang w:val="en-GB"/>
        </w:rPr>
        <w:br/>
      </w:r>
      <w:proofErr w:type="spellStart"/>
      <w:r w:rsidRPr="00D84728">
        <w:rPr>
          <w:rFonts w:asciiTheme="majorHAnsi" w:hAnsiTheme="majorHAnsi"/>
          <w:kern w:val="2"/>
          <w:sz w:val="24"/>
          <w:szCs w:val="24"/>
          <w:lang w:val="en-GB"/>
        </w:rPr>
        <w:t>Catar</w:t>
      </w:r>
      <w:proofErr w:type="spellEnd"/>
      <w:r w:rsidRPr="00D84728">
        <w:rPr>
          <w:rFonts w:asciiTheme="majorHAnsi" w:hAnsiTheme="majorHAnsi"/>
          <w:kern w:val="2"/>
          <w:sz w:val="24"/>
          <w:szCs w:val="24"/>
          <w:lang w:val="en-GB"/>
        </w:rPr>
        <w:t xml:space="preserve"> </w:t>
      </w:r>
      <w:r w:rsidRPr="00D84728">
        <w:rPr>
          <w:rFonts w:asciiTheme="majorHAnsi" w:hAnsiTheme="majorHAnsi"/>
          <w:i/>
          <w:iCs/>
          <w:kern w:val="2"/>
          <w:sz w:val="24"/>
          <w:szCs w:val="24"/>
          <w:lang w:val="en-GB"/>
        </w:rPr>
        <w:t>et al. J Pathol</w:t>
      </w:r>
      <w:r w:rsidR="000924FD">
        <w:rPr>
          <w:rFonts w:asciiTheme="majorHAnsi" w:hAnsiTheme="majorHAnsi"/>
          <w:kern w:val="2"/>
          <w:sz w:val="24"/>
          <w:szCs w:val="24"/>
          <w:lang w:val="en-GB"/>
        </w:rPr>
        <w:t xml:space="preserve"> DOI: 10.1002/path.5438</w:t>
      </w:r>
      <w:bookmarkStart w:id="0" w:name="_GoBack"/>
      <w:bookmarkEnd w:id="0"/>
    </w:p>
    <w:p w14:paraId="6B09769B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/>
          <w:b/>
          <w:kern w:val="2"/>
          <w:sz w:val="24"/>
          <w:szCs w:val="24"/>
          <w:lang w:val="en-GB"/>
        </w:rPr>
      </w:pPr>
    </w:p>
    <w:p w14:paraId="651815A9" w14:textId="77777777" w:rsidR="004B1EE1" w:rsidRPr="00636091" w:rsidRDefault="004B1EE1" w:rsidP="000E1A6D">
      <w:pPr>
        <w:spacing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Supplementary materials and methods</w:t>
      </w:r>
    </w:p>
    <w:p w14:paraId="6803F040" w14:textId="77777777" w:rsidR="004B1EE1" w:rsidRPr="00636091" w:rsidRDefault="004B1EE1" w:rsidP="000E1A6D">
      <w:pPr>
        <w:spacing w:after="0" w:line="480" w:lineRule="auto"/>
        <w:ind w:left="360"/>
        <w:rPr>
          <w:rFonts w:asciiTheme="majorHAnsi" w:hAnsiTheme="majorHAnsi" w:cs="Calibri"/>
          <w:kern w:val="2"/>
          <w:sz w:val="24"/>
          <w:szCs w:val="24"/>
          <w:lang w:val="en-GB"/>
        </w:rPr>
      </w:pPr>
      <w:bookmarkStart w:id="1" w:name="OLE_LINK1"/>
      <w:r w:rsidRPr="00636091">
        <w:rPr>
          <w:rFonts w:asciiTheme="majorHAnsi" w:hAnsiTheme="majorHAnsi" w:cs="Calibri"/>
          <w:kern w:val="2"/>
          <w:sz w:val="24"/>
          <w:szCs w:val="24"/>
          <w:lang w:val="en-GB"/>
        </w:rPr>
        <w:t>Reference numbers refer to the main text list</w:t>
      </w:r>
    </w:p>
    <w:p w14:paraId="7C295EE6" w14:textId="226537B9" w:rsidR="004B1EE1" w:rsidRPr="00636091" w:rsidRDefault="004B1EE1" w:rsidP="000E1A6D">
      <w:pPr>
        <w:spacing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</w:p>
    <w:p w14:paraId="5A2AA327" w14:textId="77777777" w:rsidR="004B1EE1" w:rsidRPr="00AE575E" w:rsidRDefault="004B1EE1" w:rsidP="000E1A6D">
      <w:pPr>
        <w:spacing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AE575E">
        <w:rPr>
          <w:rFonts w:asciiTheme="majorHAnsi" w:eastAsia="Times New Roman" w:hAnsiTheme="majorHAnsi" w:cs="Times New Roman"/>
          <w:b/>
          <w:bCs/>
          <w:sz w:val="24"/>
          <w:szCs w:val="24"/>
          <w:lang w:val="en-GB" w:eastAsia="pl-PL"/>
        </w:rPr>
        <w:t>Cellular analysis of patient samples</w:t>
      </w:r>
    </w:p>
    <w:p w14:paraId="30C1E3EA" w14:textId="43CBB7A0" w:rsidR="004B1EE1" w:rsidRPr="00B401E2" w:rsidRDefault="004B1EE1" w:rsidP="00E73B34">
      <w:pPr>
        <w:spacing w:after="12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AE575E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Cells from clou</w:t>
      </w:r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dy peritoneal effluents were </w:t>
      </w:r>
      <w:r w:rsidR="007F551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analysed as</w:t>
      </w:r>
      <w:r w:rsidR="00B401E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described</w:t>
      </w:r>
      <w:r w:rsidR="007F551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previously </w:t>
      </w:r>
      <w:r w:rsidR="007F5512" w:rsidRPr="00B401E2">
        <w:rPr>
          <w:rFonts w:asciiTheme="majorHAnsi" w:hAnsiTheme="majorHAnsi" w:cs="Officina Sans ITC TT"/>
          <w:noProof/>
          <w:kern w:val="2"/>
          <w:sz w:val="24"/>
          <w:szCs w:val="24"/>
          <w:lang w:val="en-GB"/>
        </w:rPr>
        <w:t>[</w:t>
      </w:r>
      <w:r w:rsidR="007F5512" w:rsidRPr="00B401E2">
        <w:rPr>
          <w:rFonts w:asciiTheme="majorHAnsi" w:hAnsiTheme="majorHAnsi" w:cs="Courier New CE"/>
          <w:noProof/>
          <w:kern w:val="2"/>
          <w:sz w:val="24"/>
          <w:szCs w:val="24"/>
          <w:lang w:val="en-GB"/>
        </w:rPr>
        <w:t>28</w:t>
      </w:r>
      <w:r w:rsidR="007F5512" w:rsidRPr="00B401E2">
        <w:rPr>
          <w:rFonts w:asciiTheme="majorHAnsi" w:hAnsiTheme="majorHAnsi" w:cs="Officina Sans ITC TT"/>
          <w:noProof/>
          <w:kern w:val="2"/>
          <w:sz w:val="24"/>
          <w:szCs w:val="24"/>
          <w:lang w:val="en-GB"/>
        </w:rPr>
        <w:t>]</w:t>
      </w:r>
      <w:r w:rsidR="007F551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. Cells were </w:t>
      </w:r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acquired on an eight-</w:t>
      </w:r>
      <w:proofErr w:type="spellStart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color</w:t>
      </w:r>
      <w:proofErr w:type="spellEnd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 </w:t>
      </w:r>
      <w:proofErr w:type="spellStart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FACSCanto</w:t>
      </w:r>
      <w:proofErr w:type="spellEnd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 II (BD Biosciences, San Diego, CA, USA) and analysed using </w:t>
      </w:r>
      <w:proofErr w:type="spellStart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FlowJo</w:t>
      </w:r>
      <w:proofErr w:type="spellEnd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 10.1 (</w:t>
      </w:r>
      <w:proofErr w:type="spellStart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TreeStar</w:t>
      </w:r>
      <w:proofErr w:type="spellEnd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, Ashland, OR, USA), using monoclonal antibodies against CD3 (SK7) and CD15 (HI98 or HIM1) from BD Biosciences; and anti-CD14 (61D3) from </w:t>
      </w:r>
      <w:proofErr w:type="spellStart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>eBioscience</w:t>
      </w:r>
      <w:proofErr w:type="spellEnd"/>
      <w:r w:rsidRPr="00B401E2">
        <w:rPr>
          <w:rFonts w:asciiTheme="majorHAnsi" w:eastAsia="Times New Roman" w:hAnsiTheme="majorHAnsi" w:cs="Times New Roman"/>
          <w:sz w:val="24"/>
          <w:szCs w:val="24"/>
          <w:lang w:val="en-GB" w:eastAsia="pl-PL"/>
        </w:rPr>
        <w:t xml:space="preserve"> (San Diego, CA, USA); together with appropriate isotype controls. Neutrophils were identified based on their appearance in side scatter and forward scatter area/height and exclusion of live/dead staining (Fixable Aqua; Invitrogen, Carlsbad, CA, USA), as well as positive staining for CD15 and absence of staining for CD3 and CD14.</w:t>
      </w:r>
    </w:p>
    <w:p w14:paraId="19514C32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Officina Sans ITC TT"/>
          <w:b/>
          <w:kern w:val="2"/>
          <w:sz w:val="24"/>
          <w:szCs w:val="24"/>
          <w:lang w:val="en-GB"/>
        </w:rPr>
        <w:t>Measurement of soluble biomarkers in peritoneal effluent</w:t>
      </w:r>
      <w:bookmarkEnd w:id="1"/>
    </w:p>
    <w:p w14:paraId="5EE4D8E1" w14:textId="37127FE7" w:rsidR="004B1EE1" w:rsidRPr="00636091" w:rsidRDefault="004B1EE1" w:rsidP="009F732A">
      <w:pPr>
        <w:spacing w:after="100" w:afterAutospacing="1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Times New Roman"/>
          <w:sz w:val="24"/>
          <w:szCs w:val="24"/>
          <w:lang w:val="en-GB"/>
        </w:rPr>
        <w:t>Cell-free peritoneal effluents were analy</w:t>
      </w:r>
      <w:r w:rsidR="001103EA" w:rsidRPr="00B401E2">
        <w:rPr>
          <w:rFonts w:asciiTheme="majorHAnsi" w:hAnsiTheme="majorHAnsi" w:cs="Times New Roman"/>
          <w:sz w:val="24"/>
          <w:szCs w:val="24"/>
          <w:lang w:val="en-GB"/>
        </w:rPr>
        <w:t>s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ed </w:t>
      </w:r>
      <w:r w:rsidR="001103EA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as </w:t>
      </w:r>
      <w:r w:rsidR="00B401E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described </w:t>
      </w:r>
      <w:r w:rsidR="001103EA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previously </w:t>
      </w:r>
      <w:r w:rsidR="001103EA" w:rsidRPr="00B401E2">
        <w:rPr>
          <w:rFonts w:asciiTheme="majorHAnsi" w:hAnsiTheme="majorHAnsi" w:cs="Officina Sans ITC TT"/>
          <w:noProof/>
          <w:kern w:val="2"/>
          <w:sz w:val="24"/>
          <w:szCs w:val="24"/>
          <w:lang w:val="en-GB"/>
        </w:rPr>
        <w:t>[</w:t>
      </w:r>
      <w:r w:rsidR="001103EA" w:rsidRPr="00B401E2">
        <w:rPr>
          <w:rFonts w:asciiTheme="majorHAnsi" w:hAnsiTheme="majorHAnsi" w:cs="Courier New CE"/>
          <w:noProof/>
          <w:kern w:val="2"/>
          <w:sz w:val="24"/>
          <w:szCs w:val="24"/>
          <w:lang w:val="en-GB"/>
        </w:rPr>
        <w:t>28</w:t>
      </w:r>
      <w:r w:rsidR="001103EA" w:rsidRPr="00B401E2">
        <w:rPr>
          <w:rFonts w:asciiTheme="majorHAnsi" w:hAnsiTheme="majorHAnsi" w:cs="Officina Sans ITC TT"/>
          <w:noProof/>
          <w:kern w:val="2"/>
          <w:sz w:val="24"/>
          <w:szCs w:val="24"/>
          <w:lang w:val="en-GB"/>
        </w:rPr>
        <w:t xml:space="preserve">] using 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a SECTOR Imager 6000 (Meso Scale Discovery, Rockville, MD, USA) </w:t>
      </w:r>
      <w:r w:rsidR="001103EA"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and 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>the</w:t>
      </w:r>
      <w:r w:rsidRPr="00636091">
        <w:rPr>
          <w:rFonts w:asciiTheme="majorHAnsi" w:hAnsiTheme="majorHAnsi" w:cs="Times New Roman"/>
          <w:sz w:val="24"/>
          <w:szCs w:val="24"/>
          <w:lang w:val="en-GB"/>
        </w:rPr>
        <w:t xml:space="preserve"> V-PLEX Human Cytokine 30-Plex Kit to measure levels of IL-1α, IL-1β, IL-2, IL-4, IL-5, IL-6, IL-7, IL-10, IL-12p40, IL-12p70, IL-13, IL-15, IL-16, IL-17A, IFN-γ, TNF-α, TNF-β, GM-CSF and VEGF</w:t>
      </w:r>
      <w:bookmarkStart w:id="2" w:name="_Hlk534795337"/>
      <w:r w:rsidRPr="00636091">
        <w:rPr>
          <w:rFonts w:asciiTheme="majorHAnsi" w:hAnsiTheme="majorHAnsi" w:cs="Times New Roman"/>
          <w:sz w:val="24"/>
          <w:szCs w:val="24"/>
          <w:lang w:val="en-GB"/>
        </w:rPr>
        <w:t xml:space="preserve">, CCL2, CCL3, CCL4, CCL11, CCL13, CCL17, CCL22, CCL26, CXCL8 and CXCL10; ultrasensitive single-plex assays for soluble IL-6 receptor (sIL-6R) and IL-18 </w:t>
      </w:r>
      <w:r w:rsidRPr="00636091">
        <w:rPr>
          <w:rFonts w:asciiTheme="majorHAnsi" w:hAnsiTheme="majorHAnsi" w:cs="Times New Roman"/>
          <w:sz w:val="24"/>
          <w:szCs w:val="24"/>
          <w:lang w:val="en-GB"/>
        </w:rPr>
        <w:lastRenderedPageBreak/>
        <w:t>(Meso Scale Discovery); and a customer-made single-plex assay for IL-22 using capture (MAB7822) and biotinylated detection antibodies (BAM7821) and recombinant human IL-22 from R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&amp;D Systems (Wiesbaden, Germany). Conventional ELISA kits were used to measure TGF-β, total MMP-8, total MMP-9 and surfactant protein D (SPD) (R&amp;D Systems); 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calprotectin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 (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Hycult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>,</w:t>
      </w:r>
      <w:r w:rsidRPr="00B401E2">
        <w:rPr>
          <w:lang w:val="en-US"/>
        </w:rPr>
        <w:t xml:space="preserve"> 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>Plymouth Meeting, PA, USA); and CCL2 (BD Biosciences). Human neutrophil elastase (HNE) was measured using a B.I.T.S. ELISA kit (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Mologic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, Bedford, UK). Active HNE was measured using the 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fluorogenic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 substrate 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MeOSuc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>-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Ala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>-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Ala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>-Pro-Val-AMC (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Bachem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, </w:t>
      </w:r>
      <w:proofErr w:type="spellStart"/>
      <w:r w:rsidRPr="00B401E2">
        <w:rPr>
          <w:rFonts w:asciiTheme="majorHAnsi" w:hAnsiTheme="majorHAnsi" w:cs="Times New Roman"/>
          <w:sz w:val="24"/>
          <w:szCs w:val="24"/>
          <w:lang w:val="en-GB"/>
        </w:rPr>
        <w:t>Bubendorf</w:t>
      </w:r>
      <w:proofErr w:type="spellEnd"/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, Switzerland); </w:t>
      </w:r>
      <w:bookmarkEnd w:id="2"/>
      <w:r w:rsidRPr="00B401E2">
        <w:rPr>
          <w:rFonts w:asciiTheme="majorHAnsi" w:hAnsiTheme="majorHAnsi" w:cs="Times New Roman"/>
          <w:sz w:val="24"/>
          <w:szCs w:val="24"/>
          <w:lang w:val="en-GB"/>
        </w:rPr>
        <w:t>active MMP was measured using the fluorogenic substrate Mca-Lys-Pro-Leu-Gly-Leu-Dpa-Ala-Arg-NH</w:t>
      </w:r>
      <w:r w:rsidRPr="00B401E2">
        <w:rPr>
          <w:rFonts w:asciiTheme="majorHAnsi" w:hAnsiTheme="majorHAnsi" w:cs="Times New Roman"/>
          <w:sz w:val="24"/>
          <w:szCs w:val="24"/>
          <w:vertAlign w:val="subscript"/>
          <w:lang w:val="en-GB"/>
        </w:rPr>
        <w:t>2</w:t>
      </w:r>
      <w:r w:rsidRPr="00B401E2">
        <w:rPr>
          <w:rFonts w:asciiTheme="majorHAnsi" w:hAnsiTheme="majorHAnsi" w:cs="Times New Roman"/>
          <w:sz w:val="24"/>
          <w:szCs w:val="24"/>
          <w:lang w:val="en-GB"/>
        </w:rPr>
        <w:t xml:space="preserve"> (Enzo Life Sciences, Farmingdale, NY, USA). Total protein was measured using the Pierce BCA Protein Assay Kit (Thermo Fisher Scientific, Waltham, MA, USA). Measuremen</w:t>
      </w:r>
      <w:r w:rsidRPr="00636091">
        <w:rPr>
          <w:rFonts w:asciiTheme="majorHAnsi" w:hAnsiTheme="majorHAnsi" w:cs="Times New Roman"/>
          <w:sz w:val="24"/>
          <w:szCs w:val="24"/>
          <w:lang w:val="en-GB"/>
        </w:rPr>
        <w:t>ts that were below or above the detection limit were replaced by the lowest and highest detectable values for each biomarker, respectively.</w:t>
      </w:r>
    </w:p>
    <w:p w14:paraId="0C610ADB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PCR conditions</w:t>
      </w:r>
    </w:p>
    <w:p w14:paraId="01EA223E" w14:textId="77777777" w:rsidR="004B1EE1" w:rsidRPr="00B401E2" w:rsidRDefault="004B1EE1" w:rsidP="000E1A6D">
      <w:pPr>
        <w:spacing w:after="100" w:afterAutospacing="1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The expression of target genes was assessed using reverse transcription and quantitative PCR (RT-qPCR). Total RNA was extracted using a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PerfectPure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RNA Cultured Cell Kit (5 Prime, Hamburg, Germany), reverse transcribed into cDNA with random hexamer primers, and amplified using real-time qPCR on an Applied Biosystems 7500 Fast Real-Time PCR system (Applied Biosystems, Darmstadt, Germany). The reaction was carried out in 14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μl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reaction volumes containing 2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μl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of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cDNA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(20 ng), specific sense and anti-sense primers (250 nM each), and 7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μl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Power SYBR Green PCR Master Mix (Applied Biosystems). PCR primers were synthesized by 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lastRenderedPageBreak/>
        <w:t xml:space="preserve">TIB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Molbiol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(Berlin, Germ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any). Sequences of primers are shown in supplementary material, Table S2.</w:t>
      </w:r>
    </w:p>
    <w:p w14:paraId="0E305E39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Calibri"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Transfections</w:t>
      </w:r>
    </w:p>
    <w:p w14:paraId="709B5EF0" w14:textId="77777777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hAnsiTheme="majorHAnsi" w:cs="Calibri"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Transfections with siRNAs were performed using the siRNA Transfection Reagent and siRNAs for STAT1 (sc-44123), SP1 (sc-29487), or with scrambled siRNA control (sc-37007), as per manufacturer’s instructions (all materials from Santa Cruz Biotechnology, Heidelberg, Germany).</w:t>
      </w:r>
    </w:p>
    <w:p w14:paraId="139610CE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>EMSA</w:t>
      </w:r>
    </w:p>
    <w:p w14:paraId="7F0F6CCC" w14:textId="77777777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Oligonucleotide probes were labelled using a Biotin 3' End DNA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Labeling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Kit (Thermo Scientific, Darmstadt, Germany).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The probe for </w:t>
      </w:r>
      <w:r w:rsidRPr="00636091">
        <w:rPr>
          <w:rFonts w:asciiTheme="majorHAnsi" w:hAnsiTheme="majorHAnsi" w:cs="Officina Sans ITC TT"/>
          <w:i/>
          <w:kern w:val="2"/>
          <w:sz w:val="24"/>
          <w:szCs w:val="24"/>
          <w:lang w:val="en-GB"/>
        </w:rPr>
        <w:t>SP1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used in EMSA was as follows: 5’-GTGGACCCCCACACCCCACCCGCA -3’ (the corresponding region of the </w:t>
      </w:r>
      <w:r w:rsidRPr="00636091">
        <w:rPr>
          <w:rFonts w:asciiTheme="majorHAnsi" w:hAnsiTheme="majorHAnsi" w:cs="Officina Sans ITC TT"/>
          <w:i/>
          <w:kern w:val="2"/>
          <w:sz w:val="24"/>
          <w:szCs w:val="24"/>
          <w:lang w:val="en-GB"/>
        </w:rPr>
        <w:t>CXCL1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promoter was −227 to −250). Each binding mixture (20 µl) contained 5 µg nuclear extract, 20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fmol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label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l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ed double-stranded probe, 1 µg poly-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dI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/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dC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, and 2 µl 10 x reaction buffer and was incubated at room temperature for 30 min. The protein-DNA complexes were then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analyzed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by electrophoresis in 6% non-denaturing polyacrylamide gels and visualized using a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LightShift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Chemiluminescent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EMSA Kit (Thermo Scientific, Darmstadt, Germany).</w:t>
      </w:r>
    </w:p>
    <w:p w14:paraId="0DCDD6A2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ChIP</w:t>
      </w:r>
    </w:p>
    <w:p w14:paraId="2CAFB688" w14:textId="65D1DFC9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hAnsiTheme="majorHAnsi" w:cs="Officina Sans ITC TT"/>
          <w:kern w:val="2"/>
          <w:sz w:val="24"/>
          <w:szCs w:val="24"/>
          <w:lang w:val="en-GB"/>
        </w:rPr>
      </w:pP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ChIP was performed using </w:t>
      </w:r>
      <w:r w:rsid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a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ChIP-IT High Sensitivity Kit (Active Motif, Carlsbad, CA, USA) </w:t>
      </w:r>
      <w:r w:rsid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following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r w:rsid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the 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manufacturer</w:t>
      </w:r>
      <w:r w:rsid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’s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instructions. In brief, HPMCs were fi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xed for 10 min with Complete Cell Fixation Solution containing 37% formaldehyde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then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sonicated to generate 500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–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800 bp DNA fragments. Immunoprecipitation was performed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using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protein G agarose beads and 4µg of the appropriate antibody (all 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lastRenderedPageBreak/>
        <w:t>from Santa Cruz,</w:t>
      </w:r>
      <w:r w:rsidRPr="00636091">
        <w:rPr>
          <w:rFonts w:eastAsia="Times New Roman" w:cs="Times New Roman"/>
          <w:sz w:val="24"/>
          <w:szCs w:val="24"/>
          <w:lang w:val="en-GB" w:eastAsia="de-DE"/>
        </w:rPr>
        <w:t xml:space="preserve"> Heidelberg, Germany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): anti-SP1 (sc-420), anti-STAT1 (sc-271661) or R&amp;D Systems control antibody (1-001-A). The chromatin extracts were incubated with the antibodies at 4°C overnight with mild shaking and ChIP DNA was eluted according to the manufacturer’s instructions. PCR amplificatio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ns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were performed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using the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primers listed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in 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supplementary material, Table S2.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</w:p>
    <w:p w14:paraId="6BFA434A" w14:textId="3F8303BA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/>
          <w:b/>
          <w:kern w:val="2"/>
          <w:sz w:val="24"/>
          <w:szCs w:val="24"/>
          <w:lang w:val="en-GB"/>
        </w:rPr>
      </w:pP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 xml:space="preserve">SP1 sites in the </w:t>
      </w:r>
      <w:r w:rsidRPr="00636091">
        <w:rPr>
          <w:rFonts w:asciiTheme="majorHAnsi" w:hAnsiTheme="majorHAnsi"/>
          <w:b/>
          <w:i/>
          <w:kern w:val="2"/>
          <w:sz w:val="24"/>
          <w:szCs w:val="24"/>
          <w:lang w:val="en-GB"/>
        </w:rPr>
        <w:t xml:space="preserve">CXCL1 </w:t>
      </w: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>promoter</w:t>
      </w:r>
      <w:r w:rsidR="00B401E2">
        <w:rPr>
          <w:rFonts w:asciiTheme="majorHAnsi" w:hAnsiTheme="majorHAnsi"/>
          <w:b/>
          <w:kern w:val="2"/>
          <w:sz w:val="24"/>
          <w:szCs w:val="24"/>
          <w:lang w:val="en-GB"/>
        </w:rPr>
        <w:t xml:space="preserve"> </w:t>
      </w: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>(sequence for EMSA)</w:t>
      </w:r>
    </w:p>
    <w:p w14:paraId="7AF45D73" w14:textId="77777777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eastAsia="Times New Roman" w:hAnsiTheme="majorHAnsi"/>
          <w:kern w:val="2"/>
          <w:sz w:val="24"/>
          <w:szCs w:val="24"/>
          <w:lang w:val="en-GB" w:eastAsia="de-DE"/>
        </w:rPr>
      </w:pPr>
      <w:r w:rsidRPr="00636091">
        <w:rPr>
          <w:rFonts w:asciiTheme="majorHAnsi" w:eastAsiaTheme="minorEastAsia" w:hAnsiTheme="majorHAnsi"/>
          <w:kern w:val="2"/>
          <w:sz w:val="24"/>
          <w:szCs w:val="24"/>
          <w:lang w:val="en-GB" w:eastAsia="de-DE"/>
        </w:rPr>
        <w:t>-519</w:t>
      </w:r>
      <w:r w:rsidRPr="00636091">
        <w:rPr>
          <w:rFonts w:asciiTheme="majorHAnsi" w:eastAsia="Times New Roman" w:hAnsiTheme="majorHAnsi"/>
          <w:kern w:val="2"/>
          <w:sz w:val="24"/>
          <w:szCs w:val="24"/>
          <w:lang w:val="en-GB" w:eastAsia="de-DE"/>
        </w:rPr>
        <w:t xml:space="preserve"> </w:t>
      </w:r>
      <w:r w:rsidRPr="00636091">
        <w:rPr>
          <w:rFonts w:asciiTheme="majorHAnsi" w:eastAsiaTheme="minorEastAsia" w:hAnsiTheme="majorHAnsi"/>
          <w:kern w:val="2"/>
          <w:sz w:val="24"/>
          <w:szCs w:val="24"/>
          <w:lang w:val="en-GB" w:eastAsia="de-DE"/>
        </w:rPr>
        <w:t>CTCCAGCCACAAATCCGAGACACAACGCTCTTCCTCCAAAGAGGTCGCGCCTTCTCTGTGGTGGTTCTCAGGGATCCGCCCCAGCTCCTTCTCCGTTCCCAGCCCCACACACTGGGATCACCAGGCACCCAAGATCCCACCTCTCAGGTGGTATCTTCAGCGCAGGCTGCCACTCAGCCCCCCTCCAGGGATCTGGGGCAGAAGGCGAATATCCCAGAGTCTCAGAGTCCACAGGAGTTACTCTGAAGGGCGAGGCGCGGGCTGCATCA</w:t>
      </w:r>
      <w:r w:rsidRPr="00636091">
        <w:rPr>
          <w:rFonts w:asciiTheme="majorHAnsi" w:eastAsiaTheme="minorEastAsia" w:hAnsiTheme="majorHAnsi"/>
          <w:kern w:val="2"/>
          <w:sz w:val="24"/>
          <w:szCs w:val="24"/>
          <w:highlight w:val="green"/>
          <w:lang w:val="en-GB" w:eastAsia="de-DE"/>
        </w:rPr>
        <w:t>GTGGACCCCCACACCCCACCCGCA</w:t>
      </w:r>
      <w:r w:rsidRPr="00636091">
        <w:rPr>
          <w:rFonts w:asciiTheme="majorHAnsi" w:eastAsiaTheme="minorEastAsia" w:hAnsiTheme="majorHAnsi"/>
          <w:kern w:val="2"/>
          <w:sz w:val="24"/>
          <w:szCs w:val="24"/>
          <w:lang w:val="en-GB" w:eastAsia="de-DE"/>
        </w:rPr>
        <w:t>CCCCAAGCGCTCCACCCTGGGGGCGGGGCCGTCGCCTTCCTTCCGGACTCGGGATCGATCTGGAACTCCGGGAATTTCCCTGGCCCGGGGGCTCCGGGCTTTCCAGCCCCAACCATGCATAAAAGGGGTTCGCGGATCTCGGAGAGCCACAGAGCCCGGGCCGCAGGCACCTCCTCGCCAGCTCTTCCGCTCCTCTCACAGCCGCCAGACCCGCCTGCTGAGCCCCatggcccgcgctgctctctccgccgcccccagcaatccccggctcctgcgagtggcactgctgctcctgctcctggtagccgctggccggcgcgcagcag +100</w:t>
      </w:r>
    </w:p>
    <w:p w14:paraId="0BB1F074" w14:textId="77777777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eastAsia="Times New Roman" w:hAnsiTheme="majorHAnsi"/>
          <w:kern w:val="2"/>
          <w:sz w:val="24"/>
          <w:szCs w:val="24"/>
          <w:lang w:val="en-GB" w:eastAsia="de-DE"/>
        </w:rPr>
      </w:pPr>
      <w:r w:rsidRPr="00636091">
        <w:rPr>
          <w:rFonts w:asciiTheme="majorHAnsi" w:eastAsiaTheme="minorEastAsia" w:hAnsiTheme="majorHAnsi"/>
          <w:kern w:val="2"/>
          <w:sz w:val="24"/>
          <w:szCs w:val="24"/>
          <w:lang w:val="en-GB" w:eastAsia="de-DE"/>
        </w:rPr>
        <w:t xml:space="preserve">SP1 </w:t>
      </w:r>
      <w:r w:rsidRPr="00636091">
        <w:rPr>
          <w:rFonts w:asciiTheme="majorHAnsi" w:eastAsiaTheme="minorEastAsia" w:hAnsiTheme="majorHAnsi"/>
          <w:kern w:val="2"/>
          <w:sz w:val="24"/>
          <w:szCs w:val="24"/>
          <w:highlight w:val="green"/>
          <w:lang w:val="en-GB" w:eastAsia="de-DE"/>
        </w:rPr>
        <w:t>GTGGACCCCCACACCCCACCCGCA</w:t>
      </w:r>
    </w:p>
    <w:p w14:paraId="4462465E" w14:textId="2032CB04" w:rsidR="004B1EE1" w:rsidRDefault="004B1EE1" w:rsidP="000E1A6D">
      <w:pPr>
        <w:spacing w:after="100" w:afterAutospacing="1" w:line="480" w:lineRule="auto"/>
        <w:ind w:left="360"/>
        <w:rPr>
          <w:rFonts w:asciiTheme="majorHAnsi" w:hAnsiTheme="majorHAnsi"/>
          <w:kern w:val="2"/>
          <w:sz w:val="24"/>
          <w:szCs w:val="24"/>
          <w:lang w:val="en-GB"/>
        </w:rPr>
      </w:pPr>
      <w:r>
        <w:rPr>
          <w:rFonts w:asciiTheme="majorHAnsi" w:hAnsiTheme="majorHAnsi"/>
          <w:kern w:val="2"/>
          <w:sz w:val="24"/>
          <w:szCs w:val="24"/>
          <w:lang w:val="en-GB"/>
        </w:rPr>
        <w:t>The n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ucleotides written in CAPITAL LETTERS </w:t>
      </w:r>
      <w:r>
        <w:rPr>
          <w:rFonts w:asciiTheme="majorHAnsi" w:hAnsiTheme="majorHAnsi"/>
          <w:kern w:val="2"/>
          <w:sz w:val="24"/>
          <w:szCs w:val="24"/>
          <w:lang w:val="en-GB"/>
        </w:rPr>
        <w:t xml:space="preserve">above 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correspond to </w:t>
      </w:r>
      <w:r w:rsidRPr="00636091">
        <w:rPr>
          <w:rFonts w:asciiTheme="majorHAnsi" w:hAnsiTheme="majorHAnsi"/>
          <w:i/>
          <w:kern w:val="2"/>
          <w:sz w:val="24"/>
          <w:szCs w:val="24"/>
          <w:lang w:val="en-GB"/>
        </w:rPr>
        <w:t>CXCL1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 promoter sequence -519 to 0.</w:t>
      </w:r>
      <w:r w:rsidRPr="00636091">
        <w:rPr>
          <w:rFonts w:asciiTheme="majorHAnsi" w:hAnsiTheme="majorHAnsi" w:cs="Calibri"/>
          <w:kern w:val="2"/>
          <w:sz w:val="24"/>
          <w:szCs w:val="24"/>
          <w:lang w:val="en-GB"/>
        </w:rPr>
        <w:t xml:space="preserve"> 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>Nucleotides written i</w:t>
      </w:r>
      <w:r w:rsidRPr="00B401E2">
        <w:rPr>
          <w:rFonts w:asciiTheme="majorHAnsi" w:hAnsiTheme="majorHAnsi"/>
          <w:kern w:val="2"/>
          <w:sz w:val="24"/>
          <w:szCs w:val="24"/>
          <w:lang w:val="en-GB"/>
        </w:rPr>
        <w:t>n lower case le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tters correspond to </w:t>
      </w:r>
      <w:r w:rsidRPr="00636091">
        <w:rPr>
          <w:rFonts w:asciiTheme="majorHAnsi" w:hAnsiTheme="majorHAnsi"/>
          <w:i/>
          <w:kern w:val="2"/>
          <w:sz w:val="24"/>
          <w:szCs w:val="24"/>
          <w:lang w:val="en-GB"/>
        </w:rPr>
        <w:t>CXCL1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 gene sequence +1 to +100. </w:t>
      </w:r>
      <w:r>
        <w:rPr>
          <w:rFonts w:asciiTheme="majorHAnsi" w:hAnsiTheme="majorHAnsi"/>
          <w:kern w:val="2"/>
          <w:sz w:val="24"/>
          <w:szCs w:val="24"/>
          <w:lang w:val="en-GB"/>
        </w:rPr>
        <w:t>The s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 xml:space="preserve">equence </w:t>
      </w:r>
      <w:r>
        <w:rPr>
          <w:rFonts w:asciiTheme="majorHAnsi" w:hAnsiTheme="majorHAnsi"/>
          <w:kern w:val="2"/>
          <w:sz w:val="24"/>
          <w:szCs w:val="24"/>
          <w:lang w:val="en-GB"/>
        </w:rPr>
        <w:t xml:space="preserve">highlighted </w:t>
      </w:r>
      <w:r w:rsidRPr="00636091">
        <w:rPr>
          <w:rFonts w:asciiTheme="majorHAnsi" w:hAnsiTheme="majorHAnsi"/>
          <w:kern w:val="2"/>
          <w:sz w:val="24"/>
          <w:szCs w:val="24"/>
          <w:lang w:val="en-GB"/>
        </w:rPr>
        <w:t>in green was used as a synthetic oligonucleotide for SP1 EMSA experiments.</w:t>
      </w:r>
    </w:p>
    <w:p w14:paraId="57A32720" w14:textId="77777777" w:rsidR="00B401E2" w:rsidRDefault="00B401E2" w:rsidP="000E1A6D">
      <w:pPr>
        <w:spacing w:after="100" w:afterAutospacing="1" w:line="480" w:lineRule="auto"/>
        <w:ind w:left="360"/>
        <w:rPr>
          <w:rFonts w:asciiTheme="majorHAnsi" w:hAnsiTheme="majorHAnsi"/>
          <w:kern w:val="2"/>
          <w:sz w:val="24"/>
          <w:szCs w:val="24"/>
          <w:lang w:val="en-GB"/>
        </w:rPr>
      </w:pPr>
    </w:p>
    <w:p w14:paraId="09324EC8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/>
          <w:b/>
          <w:kern w:val="2"/>
          <w:sz w:val="24"/>
          <w:szCs w:val="24"/>
          <w:lang w:val="en-GB"/>
        </w:rPr>
      </w:pP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lastRenderedPageBreak/>
        <w:t xml:space="preserve">SP1 and STAT1 sites in the </w:t>
      </w:r>
      <w:r w:rsidRPr="00636091">
        <w:rPr>
          <w:rFonts w:asciiTheme="majorHAnsi" w:hAnsiTheme="majorHAnsi"/>
          <w:b/>
          <w:i/>
          <w:kern w:val="2"/>
          <w:sz w:val="24"/>
          <w:szCs w:val="24"/>
          <w:lang w:val="en-GB"/>
        </w:rPr>
        <w:t>CXCL1</w:t>
      </w: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 xml:space="preserve"> promoter</w:t>
      </w:r>
      <w:r>
        <w:rPr>
          <w:rFonts w:asciiTheme="majorHAnsi" w:hAnsiTheme="majorHAnsi"/>
          <w:b/>
          <w:kern w:val="2"/>
          <w:sz w:val="24"/>
          <w:szCs w:val="24"/>
          <w:lang w:val="en-GB"/>
        </w:rPr>
        <w:t xml:space="preserve"> </w:t>
      </w:r>
      <w:r w:rsidRPr="00636091">
        <w:rPr>
          <w:rFonts w:asciiTheme="majorHAnsi" w:hAnsiTheme="majorHAnsi"/>
          <w:b/>
          <w:kern w:val="2"/>
          <w:sz w:val="24"/>
          <w:szCs w:val="24"/>
          <w:lang w:val="en-GB"/>
        </w:rPr>
        <w:t>(sequence for ChIP)</w:t>
      </w:r>
    </w:p>
    <w:p w14:paraId="6A04FED5" w14:textId="77777777" w:rsidR="004B1EE1" w:rsidRPr="00636091" w:rsidRDefault="004B1EE1" w:rsidP="000E1A6D">
      <w:pPr>
        <w:spacing w:before="100" w:beforeAutospacing="1" w:after="0" w:line="480" w:lineRule="auto"/>
        <w:rPr>
          <w:rFonts w:asciiTheme="majorHAnsi" w:hAnsiTheme="majorHAnsi"/>
          <w:b/>
          <w:kern w:val="2"/>
          <w:sz w:val="24"/>
          <w:szCs w:val="24"/>
          <w:lang w:val="en-GB"/>
        </w:rPr>
      </w:pPr>
      <w:r w:rsidRPr="00636091">
        <w:rPr>
          <w:rFonts w:asciiTheme="majorHAnsi" w:hAnsiTheme="majorHAnsi"/>
          <w:b/>
          <w:noProof/>
          <w:kern w:val="2"/>
          <w:sz w:val="24"/>
          <w:szCs w:val="24"/>
          <w:lang w:val="en-IN" w:eastAsia="en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C999CD" wp14:editId="3B1E30C1">
                <wp:simplePos x="0" y="0"/>
                <wp:positionH relativeFrom="column">
                  <wp:posOffset>291465</wp:posOffset>
                </wp:positionH>
                <wp:positionV relativeFrom="paragraph">
                  <wp:posOffset>145548</wp:posOffset>
                </wp:positionV>
                <wp:extent cx="5219065" cy="2070100"/>
                <wp:effectExtent l="38100" t="0" r="0" b="0"/>
                <wp:wrapNone/>
                <wp:docPr id="26" name="Grupa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065" cy="2070100"/>
                          <a:chOff x="0" y="0"/>
                          <a:chExt cx="5219065" cy="2070184"/>
                        </a:xfrm>
                      </wpg:grpSpPr>
                      <wps:wsp>
                        <wps:cNvPr id="27" name="Textfeld 3"/>
                        <wps:cNvSpPr txBox="1"/>
                        <wps:spPr>
                          <a:xfrm>
                            <a:off x="403761" y="0"/>
                            <a:ext cx="1149985" cy="2775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FCC57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28"/>
                                </w:rPr>
                                <w:t>Forward primer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" name="Rechteck 3"/>
                        <wps:cNvSpPr/>
                        <wps:spPr>
                          <a:xfrm>
                            <a:off x="0" y="284930"/>
                            <a:ext cx="5219065" cy="13938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6079BD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GAAGGCGAATATCCCAGAGTCTCAGAGTCCACAGGAGTTACTCTGAAGGGCGAGGCGCGGGCTGCATCAGTGGACCCCCACACCCCACCCGCACCCCAAG</w:t>
                              </w:r>
                            </w:p>
                            <w:p w14:paraId="142B2433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  <w:ind w:left="1589" w:firstLine="227"/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 xml:space="preserve">SP1 </w:t>
                              </w:r>
                              <w:r w:rsidRPr="000747C4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motif</w:t>
                              </w:r>
                            </w:p>
                            <w:p w14:paraId="56187884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CGCTCCACCCTG</w:t>
                              </w:r>
                              <w:r w:rsidRPr="000747C4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GGGGCGGGGC</w:t>
                              </w: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CGTCGCCTTCCTTCCGGACTCGGGATCGATCTGGAACTCCGGGA</w:t>
                              </w:r>
                              <w:r w:rsidRPr="000747C4">
                                <w:rPr>
                                  <w:rFonts w:asciiTheme="minorHAnsi" w:hAnsi="Calibri" w:cstheme="minorBidi"/>
                                  <w:color w:val="00B0F0"/>
                                  <w:kern w:val="24"/>
                                </w:rPr>
                                <w:t>ATTTCCCTGG</w:t>
                              </w: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CCCGGGGGCTCCGGGCTTTCCAGC</w:t>
                              </w:r>
                            </w:p>
                            <w:p w14:paraId="03D43E71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  <w:ind w:left="908" w:firstLine="227"/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B0F0"/>
                                  <w:kern w:val="24"/>
                                </w:rPr>
                                <w:t>STAT1 motif</w:t>
                              </w:r>
                            </w:p>
                            <w:p w14:paraId="006C2A67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CCCAACCATGCATAAAAGGGGTTCGCGGATCTCGGAGAGCCACAGAGCCC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9" name="Gerade Verbindung mit Pfeil 5"/>
                        <wps:cNvCnPr/>
                        <wps:spPr>
                          <a:xfrm>
                            <a:off x="11875" y="273132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Gerade Verbindung mit Pfeil 6"/>
                        <wps:cNvCnPr/>
                        <wps:spPr>
                          <a:xfrm flipH="1">
                            <a:off x="0" y="1781298"/>
                            <a:ext cx="169164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Textfeld 6"/>
                        <wps:cNvSpPr txBox="1"/>
                        <wps:spPr>
                          <a:xfrm>
                            <a:off x="463138" y="1792689"/>
                            <a:ext cx="112077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456124" w14:textId="77777777" w:rsidR="004B1EE1" w:rsidRPr="000747C4" w:rsidRDefault="004B1EE1" w:rsidP="00FA13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0747C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28"/>
                                </w:rPr>
                                <w:t>Reverse primer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upa 26" o:spid="_x0000_s1026" style="position:absolute;margin-left:22.95pt;margin-top:11.45pt;width:410.95pt;height:163pt;z-index:251659264" coordsize="52190,20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7" type="#_x0000_t202" style="position:absolute;left:4037;width:11500;height:27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oEs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uwJ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qBLEAAAA2wAAAA8AAAAAAAAAAAAAAAAAmAIAAGRycy9k&#10;b3ducmV2LnhtbFBLBQYAAAAABAAEAPUAAACJAwAAAAA=&#10;" filled="f" stroked="f">
                  <v:textbox style="mso-fit-shape-to-text:t">
                    <w:txbxContent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28"/>
                          </w:rPr>
                          <w:t>Forward primer</w:t>
                        </w:r>
                      </w:p>
                    </w:txbxContent>
                  </v:textbox>
                </v:shape>
                <v:rect id="Rechteck 3" o:spid="_x0000_s1028" style="position:absolute;top:2849;width:52190;height:13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L/Ms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s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L/MsAAAADbAAAADwAAAAAAAAAAAAAAAACYAgAAZHJzL2Rvd25y&#10;ZXYueG1sUEsFBgAAAAAEAAQA9QAAAIUDAAAAAA==&#10;" filled="f" stroked="f">
                  <v:textbox style="mso-fit-shape-to-text:t">
                    <w:txbxContent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</w:pP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GAAGGCGAATATCCCAGAGTCTCAGAGTCCACAGGAGTTACTCTGAAGGGCGAGGCGCGGGCTGCATCAGTGGACCCCCACACCCCACCCGCACCCCAAG</w:t>
                        </w:r>
                      </w:p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  <w:ind w:left="1589" w:firstLine="227"/>
                        </w:pPr>
                        <w:r w:rsidRPr="000747C4"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SP1 motif</w:t>
                        </w:r>
                      </w:p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</w:pP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CGCTCCACCCTG</w:t>
                        </w:r>
                        <w:r w:rsidRPr="000747C4"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GGGGCGGGGC</w:t>
                        </w: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CGTCGCCTTCCTTCCGGACTCGGGATCGATCTGGAACTCCGGGA</w:t>
                        </w:r>
                        <w:r w:rsidRPr="000747C4">
                          <w:rPr>
                            <w:rFonts w:asciiTheme="minorHAnsi" w:hAnsi="Calibri" w:cstheme="minorBidi"/>
                            <w:color w:val="00B0F0"/>
                            <w:kern w:val="24"/>
                          </w:rPr>
                          <w:t>ATTTCCCTGG</w:t>
                        </w: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CCCGGGGGCTCCGGGCTTTCCAGC</w:t>
                        </w:r>
                      </w:p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  <w:ind w:left="908" w:firstLine="227"/>
                        </w:pPr>
                        <w:r w:rsidRPr="000747C4">
                          <w:rPr>
                            <w:rFonts w:asciiTheme="minorHAnsi" w:hAnsi="Calibri" w:cstheme="minorBidi"/>
                            <w:color w:val="00B0F0"/>
                            <w:kern w:val="24"/>
                          </w:rPr>
                          <w:t>STAT1 motif</w:t>
                        </w:r>
                      </w:p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</w:pP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CCCAACCATGCATAAAAGGGGTTCGCGGATCTCGGAGAGCCACAGAGCCC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5" o:spid="_x0000_s1029" type="#_x0000_t32" style="position:absolute;left:118;top:2731;width:18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kbPsUAAADbAAAADwAAAGRycy9kb3ducmV2LnhtbESPT2sCMRTE74LfITyhl1KzKohuzS5i&#10;W/BS1LXQ62Pz9g9uXrZJqttv3xQKHoeZ+Q2zyQfTiSs531pWMJsmIIhLq1uuFXyc355WIHxA1thZ&#10;JgU/5CHPxqMNptre+ETXItQiQtinqKAJoU+l9GVDBv3U9sTRq6wzGKJ0tdQObxFuOjlPkqU02HJc&#10;aLCnXUPlpfg2CmR9WpjP12pYvldu/XJ8PHz1xUGph8mwfQYRaAj38H97rxXM1/D3Jf4A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kbPsUAAADbAAAADwAAAAAAAAAA&#10;AAAAAAChAgAAZHJzL2Rvd25yZXYueG1sUEsFBgAAAAAEAAQA+QAAAJMDAAAAAA==&#10;" strokecolor="windowText" strokeweight=".5pt">
                  <v:stroke endarrow="block" joinstyle="miter"/>
                </v:shape>
                <v:shape id="Gerade Verbindung mit Pfeil 6" o:spid="_x0000_s1030" type="#_x0000_t32" style="position:absolute;top:17812;width:169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9f68IAAADbAAAADwAAAGRycy9kb3ducmV2LnhtbERPTWvCQBC9F/wPywje6sYEi6SuogFj&#10;ewq1vXgbstMkNDsbsmsS++vdQ6HHx/ve7ifTioF611hWsFpGIIhLqxuuFHx9np43IJxH1thaJgV3&#10;crDfzZ62mGo78gcNF1+JEMIuRQW1910qpStrMuiWtiMO3LftDfoA+0rqHscQbloZR9GLNNhwaKix&#10;o6ym8udyMwqug6+yd1vkyfpYZNf8N54251ipxXw6vILwNPl/8Z/7TStIwvrwJfwAu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9f68IAAADbAAAADwAAAAAAAAAAAAAA&#10;AAChAgAAZHJzL2Rvd25yZXYueG1sUEsFBgAAAAAEAAQA+QAAAJADAAAAAA==&#10;" strokecolor="windowText" strokeweight=".5pt">
                  <v:stroke endarrow="block" joinstyle="miter"/>
                </v:shape>
                <v:shape id="Textfeld 6" o:spid="_x0000_s1031" type="#_x0000_t202" style="position:absolute;left:4631;top:17926;width:11208;height:27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DIMMA&#10;AADbAAAADwAAAGRycy9kb3ducmV2LnhtbESPwW7CMBBE75X4B2uRuIEToAgCBiFaJG5tgQ9YxUsc&#10;Eq+j2IW0X18jIfU4mpk3mtWms7W4UetLxwrSUQKCOHe65ELB+bQfzkH4gKyxdkwKfsjDZt17WWGm&#10;3Z2/6HYMhYgQ9hkqMCE0mZQ+N2TRj1xDHL2Lay2GKNtC6hbvEW5rOU6SmbRYclww2NDOUF4dv62C&#10;eWI/qmox/vR2+pu+mt2be2+uSg363XYJIlAX/sPP9kErmKT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kDIMMAAADbAAAADwAAAAAAAAAAAAAAAACYAgAAZHJzL2Rv&#10;d25yZXYueG1sUEsFBgAAAAAEAAQA9QAAAIgDAAAAAA==&#10;" filled="f" stroked="f">
                  <v:textbox style="mso-fit-shape-to-text:t">
                    <w:txbxContent>
                      <w:p w:rsidR="004B1EE1" w:rsidRPr="000747C4" w:rsidRDefault="004B1EE1" w:rsidP="00FA1366">
                        <w:pPr>
                          <w:pStyle w:val="Normalny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0747C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28"/>
                          </w:rPr>
                          <w:t>Reverse primer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B129B6" w14:textId="77777777" w:rsidR="004B1EE1" w:rsidRPr="00636091" w:rsidRDefault="004B1EE1" w:rsidP="000E1A6D">
      <w:pPr>
        <w:spacing w:before="100" w:beforeAutospacing="1" w:after="0" w:line="480" w:lineRule="auto"/>
        <w:rPr>
          <w:rFonts w:asciiTheme="majorHAnsi" w:hAnsiTheme="majorHAnsi"/>
          <w:b/>
          <w:kern w:val="2"/>
          <w:sz w:val="24"/>
          <w:szCs w:val="24"/>
          <w:lang w:val="en-GB"/>
        </w:rPr>
      </w:pPr>
    </w:p>
    <w:p w14:paraId="139A2062" w14:textId="77777777" w:rsidR="004B1EE1" w:rsidRPr="00636091" w:rsidRDefault="004B1EE1" w:rsidP="000E1A6D">
      <w:pPr>
        <w:spacing w:before="100" w:beforeAutospacing="1" w:after="100" w:afterAutospacing="1" w:line="480" w:lineRule="auto"/>
        <w:rPr>
          <w:rFonts w:asciiTheme="majorHAnsi" w:hAnsiTheme="majorHAnsi"/>
          <w:b/>
          <w:kern w:val="2"/>
          <w:sz w:val="24"/>
          <w:szCs w:val="24"/>
          <w:lang w:val="en-GB"/>
        </w:rPr>
      </w:pPr>
    </w:p>
    <w:p w14:paraId="1AD90D58" w14:textId="77777777" w:rsidR="004B1EE1" w:rsidRPr="00636091" w:rsidRDefault="004B1EE1" w:rsidP="000E1A6D">
      <w:pPr>
        <w:spacing w:before="100" w:beforeAutospacing="1" w:after="100" w:afterAutospacing="1" w:line="480" w:lineRule="auto"/>
        <w:rPr>
          <w:rFonts w:asciiTheme="majorHAnsi" w:hAnsiTheme="majorHAnsi"/>
          <w:b/>
          <w:kern w:val="2"/>
          <w:sz w:val="24"/>
          <w:szCs w:val="24"/>
          <w:lang w:val="en-GB"/>
        </w:rPr>
      </w:pPr>
    </w:p>
    <w:p w14:paraId="13E1B639" w14:textId="77777777" w:rsidR="004B1EE1" w:rsidRPr="00636091" w:rsidRDefault="004B1EE1" w:rsidP="000E1A6D">
      <w:pPr>
        <w:spacing w:before="100" w:beforeAutospacing="1" w:after="100" w:afterAutospacing="1" w:line="480" w:lineRule="auto"/>
        <w:rPr>
          <w:rFonts w:asciiTheme="majorHAnsi" w:hAnsiTheme="majorHAnsi"/>
          <w:b/>
          <w:kern w:val="2"/>
          <w:sz w:val="24"/>
          <w:szCs w:val="24"/>
          <w:lang w:val="en-GB"/>
        </w:rPr>
      </w:pPr>
    </w:p>
    <w:p w14:paraId="55186699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Calibri"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 xml:space="preserve">Site-directed mutagenesis. </w:t>
      </w:r>
    </w:p>
    <w:p w14:paraId="2424D6C6" w14:textId="77777777" w:rsidR="004B1EE1" w:rsidRDefault="004B1EE1" w:rsidP="000E1A6D">
      <w:pPr>
        <w:spacing w:after="100" w:afterAutospacing="1" w:line="480" w:lineRule="auto"/>
        <w:ind w:left="360"/>
        <w:rPr>
          <w:rFonts w:asciiTheme="majorHAnsi" w:hAnsiTheme="majorHAnsi" w:cs="Calibri"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To target the STAT1 binding site at positions -144 to –153 (ATTTCCCTGG) within the </w:t>
      </w:r>
      <w:r w:rsidRPr="00636091">
        <w:rPr>
          <w:rFonts w:asciiTheme="majorHAnsi" w:hAnsiTheme="majorHAnsi" w:cs="Calibri"/>
          <w:bCs/>
          <w:i/>
          <w:kern w:val="2"/>
          <w:sz w:val="24"/>
          <w:szCs w:val="24"/>
          <w:lang w:val="en-GB"/>
        </w:rPr>
        <w:t>CXCL1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 promoter, the desired sequence (GCCCAAACTT) was inserted into the </w:t>
      </w:r>
      <w:proofErr w:type="spellStart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pLuc</w:t>
      </w:r>
      <w:proofErr w:type="spellEnd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 620 construct using the Q5 Site–Directed Mutagenesis Kit (New England </w:t>
      </w:r>
      <w:proofErr w:type="spellStart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BioLabs</w:t>
      </w:r>
      <w:proofErr w:type="spellEnd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, Frankfurt, Germany) with forward primer -148- </w:t>
      </w:r>
      <w:proofErr w:type="spellStart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aacttCCCGGGGGCTCCGGGCTT</w:t>
      </w:r>
      <w:proofErr w:type="spellEnd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 -126 and reverse primer -180- </w:t>
      </w:r>
      <w:proofErr w:type="spellStart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tgggcTCCCGGAGTTCCAGATCGATCCCGAG</w:t>
      </w:r>
      <w:proofErr w:type="spellEnd"/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 -149.</w:t>
      </w:r>
    </w:p>
    <w:p w14:paraId="34501F94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Neutrophil migration</w:t>
      </w:r>
    </w:p>
    <w:p w14:paraId="00D84CB5" w14:textId="319BB998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Neutrophil migration was measured using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a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T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ranswell assay, essentially as previously desc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ribed by </w:t>
      </w:r>
      <w:proofErr w:type="spellStart"/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Jerke</w:t>
      </w:r>
      <w:proofErr w:type="spellEnd"/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r w:rsidRPr="00B401E2">
        <w:rPr>
          <w:rFonts w:asciiTheme="majorHAnsi" w:hAnsiTheme="majorHAnsi" w:cs="Officina Sans ITC TT"/>
          <w:i/>
          <w:iCs/>
          <w:kern w:val="2"/>
          <w:sz w:val="24"/>
          <w:szCs w:val="24"/>
          <w:lang w:val="en-GB"/>
        </w:rPr>
        <w:t>et al</w:t>
      </w:r>
      <w:r w:rsidRPr="00B401E2">
        <w:rPr>
          <w:rFonts w:asciiTheme="majorHAnsi" w:hAnsiTheme="majorHAnsi" w:cs="Officina Sans ITC TT"/>
          <w:iCs/>
          <w:kern w:val="2"/>
          <w:sz w:val="24"/>
          <w:szCs w:val="24"/>
          <w:lang w:val="en-GB"/>
        </w:rPr>
        <w:t xml:space="preserve"> </w:t>
      </w:r>
      <w:r w:rsidRPr="00B401E2">
        <w:rPr>
          <w:rFonts w:asciiTheme="majorHAnsi" w:hAnsiTheme="majorHAnsi" w:cs="Officina Sans ITC TT"/>
          <w:iCs/>
          <w:noProof/>
          <w:kern w:val="2"/>
          <w:sz w:val="24"/>
          <w:szCs w:val="24"/>
          <w:lang w:val="en-GB"/>
        </w:rPr>
        <w:t>[</w:t>
      </w:r>
      <w:r w:rsidR="007F5512" w:rsidRPr="00B401E2">
        <w:rPr>
          <w:rFonts w:asciiTheme="majorHAnsi" w:hAnsiTheme="majorHAnsi" w:cs="Courier New CE"/>
          <w:iCs/>
          <w:noProof/>
          <w:kern w:val="2"/>
          <w:sz w:val="24"/>
          <w:szCs w:val="24"/>
          <w:lang w:val="en-GB"/>
        </w:rPr>
        <w:t>33</w:t>
      </w:r>
      <w:r w:rsidRPr="00B401E2">
        <w:rPr>
          <w:rFonts w:asciiTheme="majorHAnsi" w:hAnsiTheme="majorHAnsi" w:cs="Officina Sans ITC TT"/>
          <w:iCs/>
          <w:noProof/>
          <w:kern w:val="2"/>
          <w:sz w:val="24"/>
          <w:szCs w:val="24"/>
          <w:lang w:val="en-GB"/>
        </w:rPr>
        <w:t>]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.</w:t>
      </w:r>
      <w:r w:rsidR="00B401E2"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Migration was assessed in response to conditioned medium from HPMCs or through HPMC monolayers established on </w:t>
      </w:r>
      <w:proofErr w:type="spellStart"/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T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ranswells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as describ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ed by Deng </w:t>
      </w:r>
      <w:r w:rsidRPr="00B401E2">
        <w:rPr>
          <w:rFonts w:asciiTheme="majorHAnsi" w:hAnsiTheme="majorHAnsi" w:cs="Officina Sans ITC TT"/>
          <w:i/>
          <w:iCs/>
          <w:kern w:val="2"/>
          <w:sz w:val="24"/>
          <w:szCs w:val="24"/>
          <w:lang w:val="en-GB"/>
        </w:rPr>
        <w:t xml:space="preserve">et al </w:t>
      </w:r>
      <w:r w:rsidRPr="00B401E2">
        <w:rPr>
          <w:rFonts w:asciiTheme="majorHAnsi" w:hAnsiTheme="majorHAnsi" w:cs="Officina Sans ITC TT"/>
          <w:iCs/>
          <w:noProof/>
          <w:kern w:val="2"/>
          <w:sz w:val="24"/>
          <w:szCs w:val="24"/>
          <w:lang w:val="en-GB"/>
        </w:rPr>
        <w:t>[</w:t>
      </w:r>
      <w:r w:rsidR="007F5512" w:rsidRPr="00B401E2">
        <w:rPr>
          <w:rFonts w:asciiTheme="majorHAnsi" w:hAnsiTheme="majorHAnsi" w:cs="Courier New CE"/>
          <w:iCs/>
          <w:noProof/>
          <w:kern w:val="2"/>
          <w:sz w:val="24"/>
          <w:szCs w:val="24"/>
          <w:lang w:val="en-GB"/>
        </w:rPr>
        <w:t>34</w:t>
      </w:r>
      <w:r w:rsidRPr="00B401E2">
        <w:rPr>
          <w:rFonts w:asciiTheme="majorHAnsi" w:hAnsiTheme="majorHAnsi" w:cs="Officina Sans ITC TT"/>
          <w:iCs/>
          <w:noProof/>
          <w:kern w:val="2"/>
          <w:sz w:val="24"/>
          <w:szCs w:val="24"/>
          <w:lang w:val="en-GB"/>
        </w:rPr>
        <w:t>]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. In brief, 10</w:t>
      </w:r>
      <w:r w:rsidRPr="00B401E2">
        <w:rPr>
          <w:rFonts w:asciiTheme="majorHAnsi" w:hAnsiTheme="majorHAnsi" w:cs="Officina Sans ITC TT"/>
          <w:kern w:val="2"/>
          <w:sz w:val="24"/>
          <w:szCs w:val="24"/>
          <w:vertAlign w:val="superscript"/>
          <w:lang w:val="en-GB"/>
        </w:rPr>
        <w:t xml:space="preserve">5 </w:t>
      </w:r>
      <w:r w:rsidRP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HPMCs wer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e seeded on the underside of a 24-well PET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T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ranswell (3 μm pore membrane) for 4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h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at 37°C in 5% CO</w:t>
      </w:r>
      <w:r w:rsidRPr="00636091">
        <w:rPr>
          <w:rFonts w:asciiTheme="majorHAnsi" w:hAnsiTheme="majorHAnsi" w:cs="Officina Sans ITC TT"/>
          <w:kern w:val="2"/>
          <w:sz w:val="24"/>
          <w:szCs w:val="24"/>
          <w:vertAlign w:val="subscript"/>
          <w:lang w:val="en-GB"/>
        </w:rPr>
        <w:t>2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. </w:t>
      </w:r>
      <w:proofErr w:type="spellStart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Transwells</w:t>
      </w:r>
      <w:proofErr w:type="spellEnd"/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were then inverted, placed in a 24-well plate</w:t>
      </w:r>
      <w:r w:rsidR="00B401E2">
        <w:rPr>
          <w:rFonts w:asciiTheme="majorHAnsi" w:hAnsiTheme="majorHAnsi" w:cs="Officina Sans ITC TT"/>
          <w:kern w:val="2"/>
          <w:sz w:val="24"/>
          <w:szCs w:val="24"/>
          <w:lang w:val="en-GB"/>
        </w:rPr>
        <w:t>.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and stimulated with IL-17 (100 ng/ml) ± IFN-γ (5 ng/ml) for 24 </w:t>
      </w:r>
      <w:r>
        <w:rPr>
          <w:rFonts w:asciiTheme="majorHAnsi" w:hAnsiTheme="majorHAnsi" w:cs="Officina Sans ITC TT"/>
          <w:kern w:val="2"/>
          <w:sz w:val="24"/>
          <w:szCs w:val="24"/>
          <w:lang w:val="en-GB"/>
        </w:rPr>
        <w:t>h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>. The upper chamber was loaded with 1.5 x 10</w:t>
      </w:r>
      <w:r w:rsidRPr="00636091">
        <w:rPr>
          <w:rFonts w:asciiTheme="majorHAnsi" w:hAnsiTheme="majorHAnsi" w:cs="Officina Sans ITC TT"/>
          <w:kern w:val="2"/>
          <w:sz w:val="24"/>
          <w:szCs w:val="24"/>
          <w:vertAlign w:val="superscript"/>
          <w:lang w:val="en-GB"/>
        </w:rPr>
        <w:t>6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t xml:space="preserve"> purified neutrophils (ca. 95% pure) and their migration to the lower well was </w:t>
      </w:r>
      <w:r w:rsidRPr="00636091">
        <w:rPr>
          <w:rFonts w:asciiTheme="majorHAnsi" w:hAnsiTheme="majorHAnsi" w:cs="Officina Sans ITC TT"/>
          <w:kern w:val="2"/>
          <w:sz w:val="24"/>
          <w:szCs w:val="24"/>
          <w:lang w:val="en-GB"/>
        </w:rPr>
        <w:lastRenderedPageBreak/>
        <w:t xml:space="preserve">assessed after 90 min. Cells that had migrated to the lower well were quantified using a standard curve with known numbers of neutrophils (with determination of myeloperoxidase activity after cell lysis using ABTS substrate). </w:t>
      </w:r>
      <w:proofErr w:type="spellStart"/>
      <w:r w:rsidRPr="00636091">
        <w:rPr>
          <w:sz w:val="23"/>
          <w:szCs w:val="23"/>
          <w:lang w:val="en-GB"/>
        </w:rPr>
        <w:t>fMLP</w:t>
      </w:r>
      <w:proofErr w:type="spellEnd"/>
      <w:r w:rsidRPr="00636091">
        <w:rPr>
          <w:sz w:val="23"/>
          <w:szCs w:val="23"/>
          <w:lang w:val="en-GB"/>
        </w:rPr>
        <w:t xml:space="preserve"> at 10 </w:t>
      </w:r>
      <w:proofErr w:type="spellStart"/>
      <w:r w:rsidRPr="00636091">
        <w:rPr>
          <w:sz w:val="23"/>
          <w:szCs w:val="23"/>
          <w:lang w:val="en-GB"/>
        </w:rPr>
        <w:t>nM</w:t>
      </w:r>
      <w:proofErr w:type="spellEnd"/>
      <w:r w:rsidRPr="00636091">
        <w:rPr>
          <w:sz w:val="23"/>
          <w:szCs w:val="23"/>
          <w:lang w:val="en-GB"/>
        </w:rPr>
        <w:t xml:space="preserve"> was used as a positive control.</w:t>
      </w:r>
    </w:p>
    <w:p w14:paraId="05036A5D" w14:textId="77777777" w:rsidR="004B1EE1" w:rsidRPr="00636091" w:rsidRDefault="004B1EE1" w:rsidP="000E1A6D">
      <w:pPr>
        <w:spacing w:before="100" w:beforeAutospacing="1" w:after="0" w:line="480" w:lineRule="auto"/>
        <w:ind w:left="360"/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/>
          <w:bCs/>
          <w:kern w:val="2"/>
          <w:sz w:val="24"/>
          <w:szCs w:val="24"/>
          <w:lang w:val="en-GB"/>
        </w:rPr>
        <w:t>CXCL1 binding</w:t>
      </w:r>
    </w:p>
    <w:p w14:paraId="6F142483" w14:textId="77777777" w:rsidR="004B1EE1" w:rsidRPr="00636091" w:rsidRDefault="004B1EE1" w:rsidP="000E1A6D">
      <w:pPr>
        <w:spacing w:after="100" w:afterAutospacing="1" w:line="480" w:lineRule="auto"/>
        <w:ind w:left="360"/>
        <w:rPr>
          <w:rFonts w:asciiTheme="majorHAnsi" w:hAnsiTheme="majorHAnsi" w:cs="Calibri"/>
          <w:bCs/>
          <w:kern w:val="2"/>
          <w:sz w:val="24"/>
          <w:szCs w:val="24"/>
          <w:lang w:val="en-GB"/>
        </w:rPr>
      </w:pP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Confluent HPMCs in 96-well plates were washed gently with PBS and then exposed to serial dilutions (78–5000 ng/ml) of recombinant CXCL1 in 1% BSA in PBS (pH 7.3) for 30 min at room temperature. After that the exposure media were removed and bound CXCL1 was detected using biotinylated anti-CXCL1 (R&amp;D Systems; BAF275; 100 ng/ml) followed by incubation with streptavidin-peroxidase conjugate and substrate solution of H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vertAlign w:val="subscript"/>
          <w:lang w:val="en-GB"/>
        </w:rPr>
        <w:t>2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>O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vertAlign w:val="subscript"/>
          <w:lang w:val="en-GB"/>
        </w:rPr>
        <w:t>2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 and tetramethylbenzidine. The reaction was stopped after 20 min and </w:t>
      </w:r>
      <w:r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the </w:t>
      </w:r>
      <w:r w:rsidRPr="00636091">
        <w:rPr>
          <w:rFonts w:asciiTheme="majorHAnsi" w:hAnsiTheme="majorHAnsi" w:cs="Calibri"/>
          <w:bCs/>
          <w:kern w:val="2"/>
          <w:sz w:val="24"/>
          <w:szCs w:val="24"/>
          <w:lang w:val="en-GB"/>
        </w:rPr>
        <w:t xml:space="preserve">OD was read at 450 nm. </w:t>
      </w:r>
    </w:p>
    <w:sectPr w:rsidR="004B1EE1" w:rsidRPr="006360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F1CEF" w14:textId="77777777" w:rsidR="003C675A" w:rsidRDefault="003C675A">
      <w:pPr>
        <w:spacing w:after="0" w:line="240" w:lineRule="auto"/>
      </w:pPr>
      <w:r>
        <w:separator/>
      </w:r>
    </w:p>
  </w:endnote>
  <w:endnote w:type="continuationSeparator" w:id="0">
    <w:p w14:paraId="12DE8709" w14:textId="77777777" w:rsidR="003C675A" w:rsidRDefault="003C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ade Gothic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 Sans ITC T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 CE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-1520851924"/>
      <w:docPartObj>
        <w:docPartGallery w:val="Page Numbers (Bottom of Page)"/>
        <w:docPartUnique/>
      </w:docPartObj>
    </w:sdtPr>
    <w:sdtEndPr>
      <w:rPr>
        <w:sz w:val="28"/>
      </w:rPr>
    </w:sdtEndPr>
    <w:sdtContent>
      <w:p w14:paraId="2E2D704F" w14:textId="77777777" w:rsidR="005C6650" w:rsidRPr="006B3F47" w:rsidRDefault="001103EA">
        <w:pPr>
          <w:pStyle w:val="Footer"/>
          <w:jc w:val="center"/>
        </w:pPr>
        <w:r w:rsidRPr="00752A9F">
          <w:rPr>
            <w:sz w:val="24"/>
          </w:rPr>
          <w:fldChar w:fldCharType="begin"/>
        </w:r>
        <w:r w:rsidRPr="00752A9F">
          <w:rPr>
            <w:sz w:val="24"/>
          </w:rPr>
          <w:instrText>PAGE   \* MERGEFORMAT</w:instrText>
        </w:r>
        <w:r w:rsidRPr="00752A9F">
          <w:rPr>
            <w:sz w:val="24"/>
          </w:rPr>
          <w:fldChar w:fldCharType="separate"/>
        </w:r>
        <w:r w:rsidR="000924FD">
          <w:rPr>
            <w:noProof/>
            <w:sz w:val="24"/>
          </w:rPr>
          <w:t>1</w:t>
        </w:r>
        <w:r w:rsidRPr="00752A9F">
          <w:rPr>
            <w:sz w:val="24"/>
          </w:rPr>
          <w:fldChar w:fldCharType="end"/>
        </w:r>
      </w:p>
    </w:sdtContent>
  </w:sdt>
  <w:p w14:paraId="203A5FCB" w14:textId="77777777" w:rsidR="005C6650" w:rsidRDefault="003C67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70D54" w14:textId="77777777" w:rsidR="003C675A" w:rsidRDefault="003C675A">
      <w:pPr>
        <w:spacing w:after="0" w:line="240" w:lineRule="auto"/>
      </w:pPr>
      <w:r>
        <w:separator/>
      </w:r>
    </w:p>
  </w:footnote>
  <w:footnote w:type="continuationSeparator" w:id="0">
    <w:p w14:paraId="265EAA7D" w14:textId="77777777" w:rsidR="003C675A" w:rsidRDefault="003C6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931"/>
    <w:multiLevelType w:val="hybridMultilevel"/>
    <w:tmpl w:val="1668F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EA760B"/>
    <w:multiLevelType w:val="hybridMultilevel"/>
    <w:tmpl w:val="D1789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E4BCC"/>
    <w:multiLevelType w:val="hybridMultilevel"/>
    <w:tmpl w:val="43AECC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33FEE"/>
    <w:multiLevelType w:val="hybridMultilevel"/>
    <w:tmpl w:val="45B819E0"/>
    <w:lvl w:ilvl="0" w:tplc="A6B4F5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E021B0"/>
    <w:multiLevelType w:val="hybridMultilevel"/>
    <w:tmpl w:val="A2B21F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C7208"/>
    <w:multiLevelType w:val="hybridMultilevel"/>
    <w:tmpl w:val="E514B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914CE"/>
    <w:multiLevelType w:val="hybridMultilevel"/>
    <w:tmpl w:val="436619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ENInstantFormat&gt;&lt;Enabled&gt;0&lt;/Enabled&gt;&lt;ScanUnformatted&gt;1&lt;/ScanUnformatted&gt;&lt;ScanChanges&gt;1&lt;/ScanChanges&gt;&lt;/ENInstantFormat&gt;"/>
  </w:docVars>
  <w:rsids>
    <w:rsidRoot w:val="004B1EE1"/>
    <w:rsid w:val="000924FD"/>
    <w:rsid w:val="001103EA"/>
    <w:rsid w:val="001579A0"/>
    <w:rsid w:val="00365788"/>
    <w:rsid w:val="003C675A"/>
    <w:rsid w:val="00446EE4"/>
    <w:rsid w:val="004B1EE1"/>
    <w:rsid w:val="006128B7"/>
    <w:rsid w:val="006C28E3"/>
    <w:rsid w:val="007F5512"/>
    <w:rsid w:val="00915412"/>
    <w:rsid w:val="00AE575E"/>
    <w:rsid w:val="00B401E2"/>
    <w:rsid w:val="00C35D94"/>
    <w:rsid w:val="00C827F2"/>
    <w:rsid w:val="00C836AA"/>
    <w:rsid w:val="00E950FC"/>
    <w:rsid w:val="00ED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66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E1"/>
    <w:rPr>
      <w:rFonts w:ascii="Cambria" w:hAnsi="Cambria"/>
      <w:sz w:val="28"/>
    </w:rPr>
  </w:style>
  <w:style w:type="paragraph" w:styleId="Heading1">
    <w:name w:val="heading 1"/>
    <w:basedOn w:val="Normal"/>
    <w:next w:val="Normal"/>
    <w:link w:val="Heading1Char"/>
    <w:qFormat/>
    <w:rsid w:val="004B1EE1"/>
    <w:pPr>
      <w:keepNext/>
      <w:spacing w:after="0" w:line="48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1EE1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Default">
    <w:name w:val="Default"/>
    <w:rsid w:val="004B1EE1"/>
    <w:pPr>
      <w:autoSpaceDE w:val="0"/>
      <w:autoSpaceDN w:val="0"/>
      <w:adjustRightInd w:val="0"/>
      <w:spacing w:after="0" w:line="240" w:lineRule="auto"/>
    </w:pPr>
    <w:rPr>
      <w:rFonts w:ascii="Trade Gothic LT Std" w:hAnsi="Trade Gothic LT Std" w:cs="Trade Gothic LT Std"/>
      <w:color w:val="000000"/>
      <w:sz w:val="24"/>
      <w:szCs w:val="24"/>
    </w:rPr>
  </w:style>
  <w:style w:type="paragraph" w:styleId="PlainText">
    <w:name w:val="Plain Text"/>
    <w:basedOn w:val="Normal"/>
    <w:link w:val="PlainTextChar"/>
    <w:unhideWhenUsed/>
    <w:rsid w:val="004B1EE1"/>
    <w:pPr>
      <w:spacing w:after="0" w:line="240" w:lineRule="auto"/>
      <w:ind w:firstLine="709"/>
    </w:pPr>
    <w:rPr>
      <w:rFonts w:ascii="Consolas" w:eastAsia="Calibri" w:hAnsi="Consolas" w:cs="Times New Roman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rsid w:val="004B1EE1"/>
    <w:rPr>
      <w:rFonts w:ascii="Consolas" w:eastAsia="Calibri" w:hAnsi="Consolas" w:cs="Times New Roman"/>
      <w:sz w:val="21"/>
      <w:szCs w:val="21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4B1EE1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EE1"/>
    <w:rPr>
      <w:rFonts w:ascii="Cambria" w:hAnsi="Cambria"/>
      <w:sz w:val="28"/>
    </w:rPr>
  </w:style>
  <w:style w:type="paragraph" w:styleId="Footer">
    <w:name w:val="footer"/>
    <w:basedOn w:val="Normal"/>
    <w:link w:val="FooterChar"/>
    <w:uiPriority w:val="99"/>
    <w:unhideWhenUsed/>
    <w:rsid w:val="004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EE1"/>
    <w:rPr>
      <w:rFonts w:ascii="Cambria" w:hAnsi="Cambria"/>
      <w:sz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EE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B1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E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EE1"/>
    <w:rPr>
      <w:rFonts w:ascii="Calibri" w:eastAsia="Calibri" w:hAnsi="Calibri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1EE1"/>
    <w:pPr>
      <w:ind w:left="720"/>
      <w:contextualSpacing/>
    </w:pPr>
  </w:style>
  <w:style w:type="table" w:styleId="TableGrid">
    <w:name w:val="Table Grid"/>
    <w:basedOn w:val="TableNormal"/>
    <w:uiPriority w:val="39"/>
    <w:rsid w:val="004B1EE1"/>
    <w:pPr>
      <w:spacing w:after="0" w:line="240" w:lineRule="auto"/>
    </w:pPr>
    <w:rPr>
      <w:rFonts w:ascii="Cambria" w:hAnsi="Cambria"/>
      <w:sz w:val="28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EE1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EE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NormalWeb">
    <w:name w:val="Normal (Web)"/>
    <w:basedOn w:val="Normal"/>
    <w:uiPriority w:val="99"/>
    <w:semiHidden/>
    <w:unhideWhenUsed/>
    <w:rsid w:val="004B1E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4B1E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E1"/>
    <w:rPr>
      <w:rFonts w:ascii="Cambria" w:hAnsi="Cambria"/>
      <w:sz w:val="28"/>
    </w:rPr>
  </w:style>
  <w:style w:type="paragraph" w:styleId="Heading1">
    <w:name w:val="heading 1"/>
    <w:basedOn w:val="Normal"/>
    <w:next w:val="Normal"/>
    <w:link w:val="Heading1Char"/>
    <w:qFormat/>
    <w:rsid w:val="004B1EE1"/>
    <w:pPr>
      <w:keepNext/>
      <w:spacing w:after="0" w:line="48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1EE1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Default">
    <w:name w:val="Default"/>
    <w:rsid w:val="004B1EE1"/>
    <w:pPr>
      <w:autoSpaceDE w:val="0"/>
      <w:autoSpaceDN w:val="0"/>
      <w:adjustRightInd w:val="0"/>
      <w:spacing w:after="0" w:line="240" w:lineRule="auto"/>
    </w:pPr>
    <w:rPr>
      <w:rFonts w:ascii="Trade Gothic LT Std" w:hAnsi="Trade Gothic LT Std" w:cs="Trade Gothic LT Std"/>
      <w:color w:val="000000"/>
      <w:sz w:val="24"/>
      <w:szCs w:val="24"/>
    </w:rPr>
  </w:style>
  <w:style w:type="paragraph" w:styleId="PlainText">
    <w:name w:val="Plain Text"/>
    <w:basedOn w:val="Normal"/>
    <w:link w:val="PlainTextChar"/>
    <w:unhideWhenUsed/>
    <w:rsid w:val="004B1EE1"/>
    <w:pPr>
      <w:spacing w:after="0" w:line="240" w:lineRule="auto"/>
      <w:ind w:firstLine="709"/>
    </w:pPr>
    <w:rPr>
      <w:rFonts w:ascii="Consolas" w:eastAsia="Calibri" w:hAnsi="Consolas" w:cs="Times New Roman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rsid w:val="004B1EE1"/>
    <w:rPr>
      <w:rFonts w:ascii="Consolas" w:eastAsia="Calibri" w:hAnsi="Consolas" w:cs="Times New Roman"/>
      <w:sz w:val="21"/>
      <w:szCs w:val="21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4B1EE1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EE1"/>
    <w:rPr>
      <w:rFonts w:ascii="Cambria" w:hAnsi="Cambria"/>
      <w:sz w:val="28"/>
    </w:rPr>
  </w:style>
  <w:style w:type="paragraph" w:styleId="Footer">
    <w:name w:val="footer"/>
    <w:basedOn w:val="Normal"/>
    <w:link w:val="FooterChar"/>
    <w:uiPriority w:val="99"/>
    <w:unhideWhenUsed/>
    <w:rsid w:val="004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EE1"/>
    <w:rPr>
      <w:rFonts w:ascii="Cambria" w:hAnsi="Cambria"/>
      <w:sz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EE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B1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E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EE1"/>
    <w:rPr>
      <w:rFonts w:ascii="Calibri" w:eastAsia="Calibri" w:hAnsi="Calibri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1EE1"/>
    <w:pPr>
      <w:ind w:left="720"/>
      <w:contextualSpacing/>
    </w:pPr>
  </w:style>
  <w:style w:type="table" w:styleId="TableGrid">
    <w:name w:val="Table Grid"/>
    <w:basedOn w:val="TableNormal"/>
    <w:uiPriority w:val="39"/>
    <w:rsid w:val="004B1EE1"/>
    <w:pPr>
      <w:spacing w:after="0" w:line="240" w:lineRule="auto"/>
    </w:pPr>
    <w:rPr>
      <w:rFonts w:ascii="Cambria" w:hAnsi="Cambria"/>
      <w:sz w:val="28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EE1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EE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NormalWeb">
    <w:name w:val="Normal (Web)"/>
    <w:basedOn w:val="Normal"/>
    <w:uiPriority w:val="99"/>
    <w:semiHidden/>
    <w:unhideWhenUsed/>
    <w:rsid w:val="004B1E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4B1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303528</cp:lastModifiedBy>
  <cp:revision>4</cp:revision>
  <dcterms:created xsi:type="dcterms:W3CDTF">2020-03-23T09:37:00Z</dcterms:created>
  <dcterms:modified xsi:type="dcterms:W3CDTF">2020-03-29T08:31:00Z</dcterms:modified>
</cp:coreProperties>
</file>