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FD3" w:rsidRPr="00DC65C3" w:rsidRDefault="00187FD3" w:rsidP="00187FD3">
      <w:pPr>
        <w:pBdr>
          <w:bottom w:val="single" w:sz="8" w:space="4" w:color="5B9BD5" w:themeColor="accent1"/>
        </w:pBdr>
        <w:spacing w:after="300" w:line="240" w:lineRule="auto"/>
        <w:contextualSpacing/>
        <w:rPr>
          <w:rFonts w:asciiTheme="majorHAnsi" w:eastAsiaTheme="majorEastAsia" w:hAnsiTheme="majorHAnsi" w:cstheme="majorBidi"/>
          <w:spacing w:val="5"/>
          <w:sz w:val="52"/>
          <w:szCs w:val="52"/>
        </w:rPr>
      </w:pPr>
      <w:r>
        <w:rPr>
          <w:rFonts w:asciiTheme="majorHAnsi" w:eastAsiaTheme="majorEastAsia" w:hAnsiTheme="majorHAnsi" w:cstheme="majorBidi"/>
          <w:spacing w:val="5"/>
          <w:sz w:val="52"/>
          <w:szCs w:val="52"/>
        </w:rPr>
        <w:t xml:space="preserve">Investigating </w:t>
      </w:r>
      <w:r w:rsidRPr="00570B10">
        <w:rPr>
          <w:rFonts w:asciiTheme="majorHAnsi" w:eastAsiaTheme="majorEastAsia" w:hAnsiTheme="majorHAnsi" w:cstheme="majorBidi"/>
          <w:i/>
          <w:spacing w:val="5"/>
          <w:sz w:val="52"/>
          <w:szCs w:val="52"/>
        </w:rPr>
        <w:t>APOE</w:t>
      </w:r>
      <w:r>
        <w:rPr>
          <w:rFonts w:asciiTheme="majorHAnsi" w:eastAsiaTheme="majorEastAsia" w:hAnsiTheme="majorHAnsi" w:cstheme="majorBidi"/>
          <w:spacing w:val="5"/>
          <w:sz w:val="52"/>
          <w:szCs w:val="52"/>
        </w:rPr>
        <w:t xml:space="preserve">, APP-Aβ metabolism </w:t>
      </w:r>
      <w:r w:rsidRPr="00DC65C3">
        <w:rPr>
          <w:rFonts w:asciiTheme="majorHAnsi" w:eastAsiaTheme="majorEastAsia" w:hAnsiTheme="majorHAnsi" w:cstheme="majorBidi"/>
          <w:spacing w:val="5"/>
          <w:sz w:val="52"/>
          <w:szCs w:val="52"/>
        </w:rPr>
        <w:t xml:space="preserve">genes and Alzheimer’s disease GWAS hits </w:t>
      </w:r>
      <w:r>
        <w:rPr>
          <w:rFonts w:asciiTheme="majorHAnsi" w:eastAsiaTheme="majorEastAsia" w:hAnsiTheme="majorHAnsi" w:cstheme="majorBidi"/>
          <w:spacing w:val="5"/>
          <w:sz w:val="52"/>
          <w:szCs w:val="52"/>
        </w:rPr>
        <w:t xml:space="preserve">in brain </w:t>
      </w:r>
      <w:r w:rsidRPr="00DC65C3">
        <w:rPr>
          <w:rFonts w:asciiTheme="majorHAnsi" w:eastAsiaTheme="majorEastAsia" w:hAnsiTheme="majorHAnsi" w:cstheme="majorBidi"/>
          <w:spacing w:val="5"/>
          <w:sz w:val="52"/>
          <w:szCs w:val="52"/>
        </w:rPr>
        <w:t>small vessel</w:t>
      </w:r>
      <w:r>
        <w:rPr>
          <w:rFonts w:asciiTheme="majorHAnsi" w:eastAsiaTheme="majorEastAsia" w:hAnsiTheme="majorHAnsi" w:cstheme="majorBidi"/>
          <w:spacing w:val="5"/>
          <w:sz w:val="52"/>
          <w:szCs w:val="52"/>
        </w:rPr>
        <w:t xml:space="preserve"> ischemic</w:t>
      </w:r>
      <w:r w:rsidRPr="00DC65C3">
        <w:rPr>
          <w:rFonts w:asciiTheme="majorHAnsi" w:eastAsiaTheme="majorEastAsia" w:hAnsiTheme="majorHAnsi" w:cstheme="majorBidi"/>
          <w:spacing w:val="5"/>
          <w:sz w:val="52"/>
          <w:szCs w:val="52"/>
        </w:rPr>
        <w:t xml:space="preserve"> disease</w:t>
      </w:r>
      <w:r>
        <w:rPr>
          <w:rFonts w:asciiTheme="majorHAnsi" w:eastAsiaTheme="majorEastAsia" w:hAnsiTheme="majorHAnsi" w:cstheme="majorBidi"/>
          <w:spacing w:val="5"/>
          <w:sz w:val="52"/>
          <w:szCs w:val="52"/>
        </w:rPr>
        <w:t xml:space="preserve"> </w:t>
      </w:r>
    </w:p>
    <w:p w:rsidR="00187FD3" w:rsidRPr="00D20891" w:rsidRDefault="00187FD3" w:rsidP="00187FD3">
      <w:pPr>
        <w:jc w:val="both"/>
        <w:rPr>
          <w:sz w:val="20"/>
          <w:szCs w:val="20"/>
          <w:vertAlign w:val="superscript"/>
        </w:rPr>
      </w:pPr>
      <w:r w:rsidRPr="00D20891">
        <w:rPr>
          <w:sz w:val="20"/>
          <w:szCs w:val="20"/>
        </w:rPr>
        <w:t>Sonja Blumenau</w:t>
      </w:r>
      <w:r w:rsidRPr="00D20891">
        <w:rPr>
          <w:sz w:val="20"/>
          <w:szCs w:val="20"/>
          <w:vertAlign w:val="superscript"/>
        </w:rPr>
        <w:t>1**</w:t>
      </w:r>
      <w:r w:rsidRPr="00D20891">
        <w:rPr>
          <w:sz w:val="20"/>
          <w:szCs w:val="20"/>
        </w:rPr>
        <w:t>, Marco Foddis</w:t>
      </w:r>
      <w:r w:rsidRPr="00D20891">
        <w:rPr>
          <w:sz w:val="20"/>
          <w:szCs w:val="20"/>
          <w:vertAlign w:val="superscript"/>
        </w:rPr>
        <w:t>1**</w:t>
      </w:r>
      <w:r w:rsidRPr="00D20891">
        <w:rPr>
          <w:sz w:val="20"/>
          <w:szCs w:val="20"/>
        </w:rPr>
        <w:t>, Susanne M</w:t>
      </w:r>
      <w:r w:rsidRPr="00D20891">
        <w:rPr>
          <w:rFonts w:cstheme="minorHAnsi"/>
          <w:sz w:val="20"/>
          <w:szCs w:val="20"/>
        </w:rPr>
        <w:t>ü</w:t>
      </w:r>
      <w:r w:rsidRPr="00D20891">
        <w:rPr>
          <w:sz w:val="20"/>
          <w:szCs w:val="20"/>
        </w:rPr>
        <w:t>ller</w:t>
      </w:r>
      <w:r w:rsidRPr="00D20891">
        <w:rPr>
          <w:sz w:val="20"/>
          <w:szCs w:val="20"/>
          <w:vertAlign w:val="superscript"/>
        </w:rPr>
        <w:t>1</w:t>
      </w:r>
      <w:r w:rsidRPr="00D20891">
        <w:rPr>
          <w:sz w:val="20"/>
          <w:szCs w:val="20"/>
        </w:rPr>
        <w:t>, Manuel Holtgrewe</w:t>
      </w:r>
      <w:r w:rsidRPr="00D20891">
        <w:rPr>
          <w:sz w:val="20"/>
          <w:szCs w:val="20"/>
          <w:vertAlign w:val="superscript"/>
        </w:rPr>
        <w:t>2</w:t>
      </w:r>
      <w:r w:rsidRPr="00D20891">
        <w:rPr>
          <w:sz w:val="20"/>
          <w:szCs w:val="20"/>
        </w:rPr>
        <w:t xml:space="preserve">, </w:t>
      </w:r>
      <w:proofErr w:type="spellStart"/>
      <w:r w:rsidRPr="00D20891">
        <w:rPr>
          <w:sz w:val="20"/>
          <w:szCs w:val="20"/>
        </w:rPr>
        <w:t>Bentele</w:t>
      </w:r>
      <w:proofErr w:type="spellEnd"/>
      <w:r w:rsidRPr="00D20891">
        <w:rPr>
          <w:sz w:val="20"/>
          <w:szCs w:val="20"/>
        </w:rPr>
        <w:t xml:space="preserve"> Kajetan</w:t>
      </w:r>
      <w:r w:rsidRPr="00D20891">
        <w:rPr>
          <w:sz w:val="20"/>
          <w:szCs w:val="20"/>
          <w:vertAlign w:val="superscript"/>
        </w:rPr>
        <w:t>2</w:t>
      </w:r>
      <w:r w:rsidRPr="00D20891">
        <w:rPr>
          <w:sz w:val="20"/>
          <w:szCs w:val="20"/>
        </w:rPr>
        <w:t>, Daniel Berchtold</w:t>
      </w:r>
      <w:r w:rsidRPr="00D20891">
        <w:rPr>
          <w:sz w:val="20"/>
          <w:szCs w:val="20"/>
          <w:vertAlign w:val="superscript"/>
        </w:rPr>
        <w:t>1</w:t>
      </w:r>
      <w:r w:rsidRPr="00D20891">
        <w:rPr>
          <w:sz w:val="20"/>
          <w:szCs w:val="20"/>
        </w:rPr>
        <w:t>, Dieter Beule</w:t>
      </w:r>
      <w:r w:rsidRPr="00D20891">
        <w:rPr>
          <w:sz w:val="20"/>
          <w:szCs w:val="20"/>
          <w:vertAlign w:val="superscript"/>
        </w:rPr>
        <w:t>2</w:t>
      </w:r>
      <w:r w:rsidRPr="00D20891">
        <w:rPr>
          <w:sz w:val="20"/>
          <w:szCs w:val="20"/>
        </w:rPr>
        <w:t>, Ulrich Dirnagl</w:t>
      </w:r>
      <w:r w:rsidRPr="00D20891">
        <w:rPr>
          <w:sz w:val="20"/>
          <w:szCs w:val="20"/>
          <w:vertAlign w:val="superscript"/>
        </w:rPr>
        <w:t>1</w:t>
      </w:r>
      <w:r w:rsidRPr="00D20891">
        <w:rPr>
          <w:sz w:val="20"/>
          <w:szCs w:val="20"/>
        </w:rPr>
        <w:t>, Celeste Sassi</w:t>
      </w:r>
      <w:r w:rsidRPr="00D20891">
        <w:rPr>
          <w:sz w:val="20"/>
          <w:szCs w:val="20"/>
          <w:vertAlign w:val="superscript"/>
        </w:rPr>
        <w:t>1*</w:t>
      </w:r>
    </w:p>
    <w:p w:rsidR="00187FD3" w:rsidRPr="00DC65C3" w:rsidRDefault="00187FD3" w:rsidP="00187FD3">
      <w:pPr>
        <w:jc w:val="both"/>
        <w:rPr>
          <w:rFonts w:cstheme="minorHAnsi"/>
          <w:sz w:val="16"/>
          <w:szCs w:val="16"/>
        </w:rPr>
      </w:pPr>
      <w:r w:rsidRPr="00DC65C3">
        <w:rPr>
          <w:rFonts w:cstheme="minorHAnsi"/>
          <w:sz w:val="16"/>
          <w:szCs w:val="16"/>
          <w:vertAlign w:val="superscript"/>
        </w:rPr>
        <w:t>1</w:t>
      </w:r>
      <w:r w:rsidRPr="00DC65C3">
        <w:rPr>
          <w:rFonts w:cstheme="minorHAnsi"/>
          <w:sz w:val="16"/>
          <w:szCs w:val="16"/>
        </w:rPr>
        <w:t xml:space="preserve">Department of Experimental Neurology, Center for Stroke Research Berlin (CSB), </w:t>
      </w:r>
      <w:proofErr w:type="spellStart"/>
      <w:r w:rsidRPr="00DC65C3">
        <w:rPr>
          <w:rFonts w:cstheme="minorHAnsi"/>
          <w:sz w:val="16"/>
          <w:szCs w:val="16"/>
        </w:rPr>
        <w:t>Charité</w:t>
      </w:r>
      <w:proofErr w:type="spellEnd"/>
      <w:r w:rsidRPr="00DC65C3">
        <w:rPr>
          <w:rFonts w:cstheme="minorHAnsi"/>
          <w:sz w:val="16"/>
          <w:szCs w:val="16"/>
        </w:rPr>
        <w:t xml:space="preserve"> - </w:t>
      </w:r>
      <w:proofErr w:type="spellStart"/>
      <w:r w:rsidRPr="00DC65C3">
        <w:rPr>
          <w:rFonts w:cstheme="minorHAnsi"/>
          <w:sz w:val="16"/>
          <w:szCs w:val="16"/>
        </w:rPr>
        <w:t>Universitätsmedizin</w:t>
      </w:r>
      <w:proofErr w:type="spellEnd"/>
      <w:r w:rsidRPr="00DC65C3">
        <w:rPr>
          <w:rFonts w:cstheme="minorHAnsi"/>
          <w:sz w:val="16"/>
          <w:szCs w:val="16"/>
        </w:rPr>
        <w:t xml:space="preserve"> Berlin, Corporate Member of </w:t>
      </w:r>
      <w:proofErr w:type="spellStart"/>
      <w:r w:rsidRPr="00DC65C3">
        <w:rPr>
          <w:rFonts w:cstheme="minorHAnsi"/>
          <w:sz w:val="16"/>
          <w:szCs w:val="16"/>
        </w:rPr>
        <w:t>Freie</w:t>
      </w:r>
      <w:proofErr w:type="spellEnd"/>
      <w:r w:rsidRPr="00DC65C3">
        <w:rPr>
          <w:rFonts w:cstheme="minorHAnsi"/>
          <w:sz w:val="16"/>
          <w:szCs w:val="16"/>
        </w:rPr>
        <w:t xml:space="preserve"> </w:t>
      </w:r>
      <w:proofErr w:type="spellStart"/>
      <w:r w:rsidRPr="00DC65C3">
        <w:rPr>
          <w:rFonts w:cstheme="minorHAnsi"/>
          <w:sz w:val="16"/>
          <w:szCs w:val="16"/>
        </w:rPr>
        <w:t>Universität</w:t>
      </w:r>
      <w:proofErr w:type="spellEnd"/>
      <w:r w:rsidRPr="00DC65C3">
        <w:rPr>
          <w:rFonts w:cstheme="minorHAnsi"/>
          <w:sz w:val="16"/>
          <w:szCs w:val="16"/>
        </w:rPr>
        <w:t xml:space="preserve"> Berlin, Humboldt-</w:t>
      </w:r>
      <w:proofErr w:type="spellStart"/>
      <w:r w:rsidRPr="00DC65C3">
        <w:rPr>
          <w:rFonts w:cstheme="minorHAnsi"/>
          <w:sz w:val="16"/>
          <w:szCs w:val="16"/>
        </w:rPr>
        <w:t>Universität</w:t>
      </w:r>
      <w:proofErr w:type="spellEnd"/>
      <w:r w:rsidRPr="00DC65C3">
        <w:rPr>
          <w:rFonts w:cstheme="minorHAnsi"/>
          <w:sz w:val="16"/>
          <w:szCs w:val="16"/>
        </w:rPr>
        <w:t xml:space="preserve"> </w:t>
      </w:r>
      <w:proofErr w:type="spellStart"/>
      <w:r w:rsidRPr="00DC65C3">
        <w:rPr>
          <w:rFonts w:cstheme="minorHAnsi"/>
          <w:sz w:val="16"/>
          <w:szCs w:val="16"/>
        </w:rPr>
        <w:t>zu</w:t>
      </w:r>
      <w:proofErr w:type="spellEnd"/>
      <w:r w:rsidRPr="00DC65C3">
        <w:rPr>
          <w:rFonts w:cstheme="minorHAnsi"/>
          <w:sz w:val="16"/>
          <w:szCs w:val="16"/>
        </w:rPr>
        <w:t xml:space="preserve"> Berlin, and Berlin Institute of Health, Berlin, Germany</w:t>
      </w:r>
    </w:p>
    <w:p w:rsidR="00187FD3" w:rsidRPr="00DC65C3" w:rsidRDefault="00187FD3" w:rsidP="00187FD3">
      <w:pPr>
        <w:spacing w:after="0" w:line="360" w:lineRule="auto"/>
        <w:jc w:val="both"/>
        <w:rPr>
          <w:rFonts w:cstheme="minorHAnsi"/>
          <w:sz w:val="16"/>
          <w:szCs w:val="16"/>
        </w:rPr>
      </w:pPr>
      <w:r w:rsidRPr="00DC65C3">
        <w:rPr>
          <w:rFonts w:cstheme="minorHAnsi"/>
          <w:sz w:val="16"/>
          <w:szCs w:val="16"/>
          <w:vertAlign w:val="superscript"/>
        </w:rPr>
        <w:t>2</w:t>
      </w:r>
      <w:r w:rsidRPr="00DC65C3">
        <w:rPr>
          <w:rFonts w:cstheme="minorHAnsi"/>
          <w:sz w:val="16"/>
          <w:szCs w:val="16"/>
        </w:rPr>
        <w:t>Berlin Institute of Health, BIH, Core Unit Bioinformatics, Berlin, Germany.</w:t>
      </w:r>
    </w:p>
    <w:p w:rsidR="00187FD3" w:rsidRPr="00DC65C3" w:rsidRDefault="00187FD3" w:rsidP="00187FD3">
      <w:pPr>
        <w:spacing w:after="0" w:line="360" w:lineRule="auto"/>
        <w:jc w:val="both"/>
        <w:rPr>
          <w:rFonts w:cstheme="minorHAnsi"/>
          <w:sz w:val="16"/>
          <w:szCs w:val="16"/>
        </w:rPr>
      </w:pPr>
      <w:r w:rsidRPr="00DC65C3">
        <w:rPr>
          <w:rFonts w:cstheme="minorHAnsi"/>
          <w:sz w:val="16"/>
          <w:szCs w:val="16"/>
        </w:rPr>
        <w:t>*</w:t>
      </w:r>
      <w:r>
        <w:rPr>
          <w:rFonts w:cstheme="minorHAnsi"/>
          <w:sz w:val="16"/>
          <w:szCs w:val="16"/>
        </w:rPr>
        <w:t>*</w:t>
      </w:r>
      <w:r w:rsidRPr="00DC65C3">
        <w:rPr>
          <w:rFonts w:cstheme="minorHAnsi"/>
          <w:sz w:val="16"/>
          <w:szCs w:val="16"/>
        </w:rPr>
        <w:t>= equal contribution</w:t>
      </w:r>
    </w:p>
    <w:p w:rsidR="00187FD3" w:rsidRPr="00DC65C3" w:rsidRDefault="00187FD3" w:rsidP="00187FD3">
      <w:pPr>
        <w:spacing w:after="0" w:line="360" w:lineRule="auto"/>
        <w:jc w:val="both"/>
        <w:rPr>
          <w:rFonts w:cstheme="minorHAnsi"/>
          <w:sz w:val="16"/>
          <w:szCs w:val="16"/>
        </w:rPr>
      </w:pPr>
      <w:r>
        <w:rPr>
          <w:rFonts w:cstheme="minorHAnsi"/>
          <w:sz w:val="16"/>
          <w:szCs w:val="16"/>
        </w:rPr>
        <w:t>*=</w:t>
      </w:r>
      <w:r w:rsidRPr="00DC65C3">
        <w:rPr>
          <w:rFonts w:cstheme="minorHAnsi"/>
          <w:sz w:val="16"/>
          <w:szCs w:val="16"/>
        </w:rPr>
        <w:t xml:space="preserve">Corresponding author: </w:t>
      </w:r>
    </w:p>
    <w:p w:rsidR="00187FD3" w:rsidRPr="00DC65C3" w:rsidRDefault="00187FD3" w:rsidP="00187FD3">
      <w:pPr>
        <w:tabs>
          <w:tab w:val="left" w:pos="900"/>
        </w:tabs>
        <w:spacing w:after="0"/>
        <w:rPr>
          <w:sz w:val="16"/>
          <w:szCs w:val="16"/>
        </w:rPr>
      </w:pPr>
      <w:r w:rsidRPr="00DC65C3">
        <w:rPr>
          <w:sz w:val="16"/>
          <w:szCs w:val="16"/>
        </w:rPr>
        <w:t>Celeste Sassi, MD, PhD</w:t>
      </w:r>
    </w:p>
    <w:p w:rsidR="00187FD3" w:rsidRPr="00DC65C3" w:rsidRDefault="00187FD3" w:rsidP="00187FD3">
      <w:pPr>
        <w:spacing w:after="0" w:line="240" w:lineRule="auto"/>
        <w:rPr>
          <w:rFonts w:eastAsia="Times New Roman" w:cs="Tahoma"/>
          <w:color w:val="000000"/>
          <w:sz w:val="16"/>
          <w:szCs w:val="16"/>
          <w:lang w:val="de-DE" w:eastAsia="de-DE"/>
        </w:rPr>
      </w:pPr>
      <w:r w:rsidRPr="00DC65C3">
        <w:rPr>
          <w:rFonts w:eastAsia="Times New Roman" w:cs="Tahoma"/>
          <w:color w:val="000000"/>
          <w:sz w:val="16"/>
          <w:szCs w:val="16"/>
          <w:lang w:val="de-DE" w:eastAsia="de-DE"/>
        </w:rPr>
        <w:t xml:space="preserve">Klinik und Poliklinik für Neurologie </w:t>
      </w:r>
      <w:r w:rsidRPr="00DC65C3">
        <w:rPr>
          <w:rFonts w:eastAsia="Times New Roman" w:cs="Tahoma"/>
          <w:color w:val="000000"/>
          <w:sz w:val="16"/>
          <w:szCs w:val="16"/>
          <w:lang w:val="de-DE" w:eastAsia="de-DE"/>
        </w:rPr>
        <w:br/>
        <w:t xml:space="preserve">Abteilung für Experimentelle Neurologie </w:t>
      </w:r>
      <w:r w:rsidRPr="00DC65C3">
        <w:rPr>
          <w:rFonts w:eastAsia="Times New Roman" w:cs="Tahoma"/>
          <w:color w:val="000000"/>
          <w:sz w:val="16"/>
          <w:szCs w:val="16"/>
          <w:lang w:val="de-DE" w:eastAsia="de-DE"/>
        </w:rPr>
        <w:br/>
        <w:t>Charité – Universitätsmedizin Berlin</w:t>
      </w:r>
    </w:p>
    <w:p w:rsidR="00187FD3" w:rsidRPr="00DC65C3" w:rsidRDefault="00187FD3" w:rsidP="00187FD3">
      <w:pPr>
        <w:spacing w:after="0" w:line="240" w:lineRule="auto"/>
        <w:rPr>
          <w:rFonts w:eastAsia="Times New Roman" w:cs="Tahoma"/>
          <w:color w:val="000000"/>
          <w:sz w:val="16"/>
          <w:szCs w:val="16"/>
          <w:lang w:val="de-DE" w:eastAsia="de-DE"/>
        </w:rPr>
      </w:pPr>
      <w:r w:rsidRPr="00DC65C3">
        <w:rPr>
          <w:rFonts w:eastAsia="Times New Roman" w:cs="Tahoma"/>
          <w:color w:val="000000"/>
          <w:sz w:val="16"/>
          <w:szCs w:val="16"/>
          <w:lang w:val="de-DE" w:eastAsia="de-DE"/>
        </w:rPr>
        <w:t>Charitéplatz 1</w:t>
      </w:r>
    </w:p>
    <w:p w:rsidR="00187FD3" w:rsidRPr="00DC65C3" w:rsidRDefault="00187FD3" w:rsidP="00187FD3">
      <w:pPr>
        <w:spacing w:after="0" w:line="240" w:lineRule="auto"/>
        <w:rPr>
          <w:rFonts w:eastAsia="Times New Roman" w:cs="Tahoma"/>
          <w:color w:val="000000"/>
          <w:sz w:val="16"/>
          <w:szCs w:val="16"/>
          <w:lang w:val="de-DE" w:eastAsia="de-DE"/>
        </w:rPr>
      </w:pPr>
      <w:r w:rsidRPr="00DC65C3">
        <w:rPr>
          <w:rFonts w:eastAsia="Times New Roman" w:cs="Tahoma"/>
          <w:color w:val="000000"/>
          <w:sz w:val="16"/>
          <w:szCs w:val="16"/>
          <w:lang w:val="de-DE" w:eastAsia="de-DE"/>
        </w:rPr>
        <w:t>D-10117 Berlin</w:t>
      </w:r>
    </w:p>
    <w:p w:rsidR="00187FD3" w:rsidRPr="00DC65C3" w:rsidRDefault="00187FD3" w:rsidP="00187FD3">
      <w:pPr>
        <w:tabs>
          <w:tab w:val="left" w:pos="900"/>
        </w:tabs>
        <w:spacing w:after="0"/>
        <w:rPr>
          <w:sz w:val="16"/>
          <w:szCs w:val="16"/>
          <w:lang w:val="de-DE"/>
        </w:rPr>
      </w:pPr>
      <w:r w:rsidRPr="00DC65C3">
        <w:rPr>
          <w:sz w:val="16"/>
          <w:szCs w:val="16"/>
          <w:lang w:val="de-DE"/>
        </w:rPr>
        <w:t>Tel.:  030 – 450 560 149</w:t>
      </w:r>
    </w:p>
    <w:p w:rsidR="00187FD3" w:rsidRPr="00DC65C3" w:rsidRDefault="00187FD3" w:rsidP="00187FD3">
      <w:pPr>
        <w:tabs>
          <w:tab w:val="left" w:pos="900"/>
        </w:tabs>
        <w:spacing w:after="0"/>
        <w:rPr>
          <w:sz w:val="16"/>
          <w:szCs w:val="16"/>
          <w:lang w:val="de-DE"/>
        </w:rPr>
      </w:pPr>
      <w:r w:rsidRPr="00DC65C3">
        <w:rPr>
          <w:sz w:val="16"/>
          <w:szCs w:val="16"/>
          <w:lang w:val="de-DE"/>
        </w:rPr>
        <w:t>Fax:  030 – 450 560 915</w:t>
      </w:r>
    </w:p>
    <w:p w:rsidR="00187FD3" w:rsidRPr="00DC65C3" w:rsidRDefault="008B4237" w:rsidP="00187FD3">
      <w:pPr>
        <w:spacing w:after="0"/>
        <w:rPr>
          <w:sz w:val="16"/>
          <w:szCs w:val="16"/>
        </w:rPr>
      </w:pPr>
      <w:hyperlink r:id="rId6" w:history="1">
        <w:r w:rsidR="00187FD3" w:rsidRPr="00DC65C3">
          <w:rPr>
            <w:color w:val="0000FF"/>
            <w:sz w:val="16"/>
            <w:szCs w:val="16"/>
            <w:u w:val="single"/>
          </w:rPr>
          <w:t>celeste.sassi@charite.de</w:t>
        </w:r>
      </w:hyperlink>
      <w:r w:rsidR="00187FD3" w:rsidRPr="00DC65C3">
        <w:rPr>
          <w:sz w:val="16"/>
          <w:szCs w:val="16"/>
        </w:rPr>
        <w:t xml:space="preserve">                                                      </w:t>
      </w:r>
    </w:p>
    <w:p w:rsidR="00187FD3" w:rsidRPr="00DC65C3" w:rsidRDefault="00187FD3" w:rsidP="00187FD3">
      <w:pPr>
        <w:spacing w:after="0" w:line="360" w:lineRule="auto"/>
        <w:jc w:val="both"/>
        <w:rPr>
          <w:rFonts w:cstheme="minorHAnsi"/>
          <w:sz w:val="16"/>
          <w:szCs w:val="16"/>
        </w:rPr>
      </w:pPr>
    </w:p>
    <w:p w:rsidR="00187FD3" w:rsidRPr="00DC65C3" w:rsidRDefault="00187FD3" w:rsidP="00187FD3">
      <w:pPr>
        <w:jc w:val="both"/>
        <w:rPr>
          <w:b/>
          <w:sz w:val="28"/>
          <w:szCs w:val="28"/>
        </w:rPr>
      </w:pPr>
    </w:p>
    <w:p w:rsidR="000C12F9" w:rsidRPr="00FF5756" w:rsidRDefault="000C12F9" w:rsidP="000C12F9">
      <w:pPr>
        <w:spacing w:line="360" w:lineRule="auto"/>
        <w:jc w:val="both"/>
        <w:rPr>
          <w:b/>
          <w:sz w:val="24"/>
          <w:szCs w:val="24"/>
        </w:rPr>
      </w:pPr>
      <w:r w:rsidRPr="00FF5756">
        <w:rPr>
          <w:b/>
          <w:sz w:val="24"/>
          <w:szCs w:val="24"/>
        </w:rPr>
        <w:t>SUPPLEMENTARY MATERIALS AND METHODS</w:t>
      </w:r>
    </w:p>
    <w:p w:rsidR="000C12F9" w:rsidRPr="00FF5756" w:rsidRDefault="000C12F9" w:rsidP="000C12F9">
      <w:pPr>
        <w:spacing w:line="360" w:lineRule="auto"/>
        <w:jc w:val="both"/>
        <w:rPr>
          <w:b/>
        </w:rPr>
      </w:pPr>
      <w:r w:rsidRPr="00FF5756">
        <w:rPr>
          <w:b/>
        </w:rPr>
        <w:t>BCCAS</w:t>
      </w:r>
    </w:p>
    <w:p w:rsidR="000C12F9" w:rsidRDefault="00336ED3" w:rsidP="000C12F9">
      <w:pPr>
        <w:spacing w:line="360" w:lineRule="auto"/>
        <w:jc w:val="both"/>
      </w:pPr>
      <w:r>
        <w:t>As previously described</w:t>
      </w:r>
      <w:r>
        <w:fldChar w:fldCharType="begin"/>
      </w:r>
      <w:r>
        <w:instrText xml:space="preserve"> ADDIN ZOTERO_ITEM CSL_CITATION {"citationID":"aHPpO06I","properties":{"formattedCitation":"\\super 1\\nosupersub{}","plainCitation":"1","noteIndex":0},"citationItems":[{"id":1281,"uris":["http://zotero.org/users/local/3SLcMLWb/items/V3SHVCCP"],"uri":["http://zotero.org/users/local/3SLcMLWb/items/V3SHVCCP"],"itemData":{"id":1281,"type":"article-journal","title":"An exploratory investigation of brain collateral circulation plasticity after cerebral ischemia in two experimental C57BL/6 mouse models","container-title":"Journal of Cerebral Blood Flow &amp; Metabolism","page":"0271678X19827251","abstract":"Brain collateral circulation is an essential compensatory mechanism in response to acute brain ischemia. To study the temporal evolution of brain macro and microcollateral recruitment and their reciprocal interactions in response to different ischemic conditions, we applied a combination of complementary techniques (T2-weighted magnetic resonance imaging [MRI], time of flight [TOF] angiography [MRA], cerebral blood flow [CBF] imaging and histology) in two different mouse models. Hypoperfusion was either induced by permanent bilateral common carotid artery stenosis (BCCAS) or 60-min transient unilateral middle cerebral artery occlusion (MCAO). In both models, collateralization is a very dynamic phenomenon with a global effect affecting both hemispheres. Patency of ipsilateral posterior communicating artery (PcomA) represents the main variable survival mechanism and the main determinant of stroke lesion volume and recovery in MCAO, whereas the promptness of external carotid artery retrograde flow recruitment together with PcomA patency, critically influence survival, brain ischemic lesion volume and retinopathy in BCCAS mice. Finally, different ischemic gradients shape microcollateral density and size.","DOI":"10.1177/0271678X19827251","ISSN":"0271-678X","journalAbbreviation":"J Cereb Blood Flow Metab","author":[{"family":"Foddis","given":"Marco"},{"family":"Winek","given":"Katarzyna"},{"family":"Bentele","given":"Kajetan"},{"family":"Mueller","given":"Susanne"},{"family":"Blumenau","given":"Sonja"},{"family":"Reichhart N","given":"Nadine"},{"family":"Crespo-Garcia","given":"Sergio"},{"family":"Harnett","given":"Dermot"},{"family":"Ivanov","given":"Andranik"},{"family":"Meisel","given":"Andreas"},{"family":"Joussen","given":"Antonia"},{"family":"Strauss","given":"Olaf"},{"family":"Beule","given":"Dieter"},{"family":"Dirnagl","given":"Ulrich"},{"family":"Sassi","given":"Celeste"}],"issued":{"date-parts":[["2019",2,7]]}}}],"schema":"https://github.com/citation-style-language/schema/raw/master/csl-citation.json"} </w:instrText>
      </w:r>
      <w:r>
        <w:fldChar w:fldCharType="separate"/>
      </w:r>
      <w:r w:rsidRPr="00336ED3">
        <w:rPr>
          <w:rFonts w:ascii="Calibri" w:hAnsi="Calibri" w:cs="Calibri"/>
          <w:szCs w:val="24"/>
          <w:vertAlign w:val="superscript"/>
        </w:rPr>
        <w:t>1</w:t>
      </w:r>
      <w:r>
        <w:fldChar w:fldCharType="end"/>
      </w:r>
      <w:r>
        <w:t>, a</w:t>
      </w:r>
      <w:bookmarkStart w:id="0" w:name="_GoBack"/>
      <w:bookmarkEnd w:id="0"/>
      <w:r w:rsidR="000C12F9" w:rsidRPr="0045754E">
        <w:t xml:space="preserve">naesthesia was achieved using isoflurane in a 70:30 nitrous </w:t>
      </w:r>
      <w:proofErr w:type="spellStart"/>
      <w:r w:rsidR="000C12F9" w:rsidRPr="0045754E">
        <w:t>oxide:oxygen</w:t>
      </w:r>
      <w:proofErr w:type="spellEnd"/>
      <w:r w:rsidR="000C12F9" w:rsidRPr="0045754E">
        <w:t xml:space="preserve"> mixture and core body temperature was maintained at 37 ± 0.2 °C with an automated rectal probe and heat blanket. A midline incision was made in the neck, and a carotid artery was carefully exposed. </w:t>
      </w:r>
      <w:proofErr w:type="spellStart"/>
      <w:r w:rsidR="000C12F9" w:rsidRPr="0045754E">
        <w:t>Hypoperfusion</w:t>
      </w:r>
      <w:proofErr w:type="spellEnd"/>
      <w:r w:rsidR="000C12F9" w:rsidRPr="0045754E">
        <w:t xml:space="preserve"> was induced by winding a custom ordered, non-magnetic, surgical grade </w:t>
      </w:r>
      <w:proofErr w:type="spellStart"/>
      <w:r w:rsidR="000C12F9" w:rsidRPr="0045754E">
        <w:t>microcoil</w:t>
      </w:r>
      <w:proofErr w:type="spellEnd"/>
      <w:r w:rsidR="000C12F9" w:rsidRPr="0045754E">
        <w:t xml:space="preserve"> (160 µm inner diameter, Shannon Coiled Springs </w:t>
      </w:r>
      <w:proofErr w:type="spellStart"/>
      <w:r w:rsidR="000C12F9" w:rsidRPr="0045754E">
        <w:t>Microcoil</w:t>
      </w:r>
      <w:proofErr w:type="spellEnd"/>
      <w:r w:rsidR="000C12F9" w:rsidRPr="0045754E">
        <w:t xml:space="preserve">, Limerick, Ireland) around one of the carotid arteries. The sham procedure was performed with a larger diameter </w:t>
      </w:r>
      <w:proofErr w:type="spellStart"/>
      <w:r w:rsidR="000C12F9" w:rsidRPr="0045754E">
        <w:t>microcoil</w:t>
      </w:r>
      <w:proofErr w:type="spellEnd"/>
      <w:r w:rsidR="000C12F9" w:rsidRPr="0045754E">
        <w:t xml:space="preserve"> (500 µm) that did not constrict the vessel. The muscle and glands were guided back into place and local </w:t>
      </w:r>
      <w:proofErr w:type="spellStart"/>
      <w:r w:rsidR="000C12F9" w:rsidRPr="0045754E">
        <w:t>anaesthetic</w:t>
      </w:r>
      <w:proofErr w:type="spellEnd"/>
      <w:r w:rsidR="000C12F9" w:rsidRPr="0045754E">
        <w:t xml:space="preserve"> was applied to the sutured wound prior to recovery. Twenty- four hours later, the same procedure was repeated on the other carotid artery. This delay represents an important refinement that does not result in higher mortality when using the smaller sized </w:t>
      </w:r>
      <w:proofErr w:type="spellStart"/>
      <w:r w:rsidR="000C12F9" w:rsidRPr="0045754E">
        <w:t>microcoils</w:t>
      </w:r>
      <w:proofErr w:type="spellEnd"/>
      <w:r w:rsidR="000C12F9" w:rsidRPr="0045754E">
        <w:t xml:space="preserve">. Regular diet was placed on the floor of the cage to assist with feeding, and animals were provided with 6 mg/mL of Paracetamol in the drinking water to assist with post-operative pain (one day prior to, and up to three days post-surgery).In the BCCAS model, </w:t>
      </w:r>
      <w:proofErr w:type="spellStart"/>
      <w:r w:rsidR="000C12F9" w:rsidRPr="0045754E">
        <w:t>hypoperfusion</w:t>
      </w:r>
      <w:proofErr w:type="spellEnd"/>
      <w:r w:rsidR="000C12F9" w:rsidRPr="0045754E">
        <w:t xml:space="preserve"> was induced by winding a custom ordered, nonmagnetic, surgical grade </w:t>
      </w:r>
      <w:proofErr w:type="spellStart"/>
      <w:r w:rsidR="000C12F9" w:rsidRPr="0045754E">
        <w:t>microcoil</w:t>
      </w:r>
      <w:proofErr w:type="spellEnd"/>
      <w:r w:rsidR="000C12F9" w:rsidRPr="0045754E">
        <w:t xml:space="preserve"> (160 </w:t>
      </w:r>
      <w:proofErr w:type="spellStart"/>
      <w:r w:rsidR="000C12F9" w:rsidRPr="0045754E">
        <w:t>μm</w:t>
      </w:r>
      <w:proofErr w:type="spellEnd"/>
      <w:r w:rsidR="000C12F9" w:rsidRPr="0045754E">
        <w:t xml:space="preserve"> inner diameter; Shannon Coiled Springs </w:t>
      </w:r>
      <w:proofErr w:type="spellStart"/>
      <w:r w:rsidR="000C12F9" w:rsidRPr="0045754E">
        <w:t>Microcoil</w:t>
      </w:r>
      <w:proofErr w:type="spellEnd"/>
      <w:r w:rsidR="000C12F9" w:rsidRPr="0045754E">
        <w:t xml:space="preserve">, Limerick, Ireland) around one of the common carotid arteries. The muscles and glands were guided back into place, and </w:t>
      </w:r>
      <w:r w:rsidR="000C12F9" w:rsidRPr="0045754E">
        <w:lastRenderedPageBreak/>
        <w:t xml:space="preserve">local anesthetic was applied to the sutured wound before recovery. Twenty-four hours later, the same procedure was repeated on the other common carotid artery. This delay represents an important refinement that does not result in higher mortality when using the smaller sized </w:t>
      </w:r>
      <w:proofErr w:type="spellStart"/>
      <w:r w:rsidR="000C12F9" w:rsidRPr="0045754E">
        <w:t>microcoils</w:t>
      </w:r>
      <w:proofErr w:type="spellEnd"/>
      <w:r w:rsidR="000C12F9" w:rsidRPr="0045754E">
        <w:t xml:space="preserve">. </w:t>
      </w:r>
    </w:p>
    <w:p w:rsidR="00064876" w:rsidRPr="0045754E" w:rsidRDefault="00064876" w:rsidP="00064876">
      <w:pPr>
        <w:spacing w:line="360" w:lineRule="auto"/>
        <w:jc w:val="both"/>
        <w:rPr>
          <w:b/>
        </w:rPr>
      </w:pPr>
      <w:r w:rsidRPr="0045754E">
        <w:rPr>
          <w:b/>
        </w:rPr>
        <w:t xml:space="preserve">MRI measurements </w:t>
      </w:r>
    </w:p>
    <w:p w:rsidR="00064876" w:rsidRPr="0045754E" w:rsidRDefault="00064876" w:rsidP="00064876">
      <w:pPr>
        <w:spacing w:line="360" w:lineRule="auto"/>
        <w:jc w:val="both"/>
      </w:pPr>
      <w:proofErr w:type="spellStart"/>
      <w:r w:rsidRPr="0045754E">
        <w:t>Anaesthesia</w:t>
      </w:r>
      <w:proofErr w:type="spellEnd"/>
      <w:r w:rsidRPr="0045754E">
        <w:t xml:space="preserve"> was again achieved using isoflurane as per above, and body temperature and respiration rate were monitored with MRI compatible equipment (Small Animal Instruments, Inc., Stony Brook, NY).  </w:t>
      </w:r>
    </w:p>
    <w:p w:rsidR="00064876" w:rsidRPr="004405B8" w:rsidRDefault="00064876" w:rsidP="00064876">
      <w:pPr>
        <w:spacing w:line="360" w:lineRule="auto"/>
        <w:jc w:val="both"/>
        <w:rPr>
          <w:i/>
        </w:rPr>
      </w:pPr>
      <w:r w:rsidRPr="004405B8">
        <w:rPr>
          <w:i/>
        </w:rPr>
        <w:t>Cere</w:t>
      </w:r>
      <w:r>
        <w:rPr>
          <w:i/>
        </w:rPr>
        <w:t>bral blood flow and angiographies</w:t>
      </w:r>
    </w:p>
    <w:p w:rsidR="00064876" w:rsidRPr="0045754E" w:rsidRDefault="00064876" w:rsidP="00064876">
      <w:pPr>
        <w:spacing w:line="360" w:lineRule="auto"/>
        <w:jc w:val="both"/>
      </w:pPr>
      <w:r w:rsidRPr="0045754E">
        <w:t xml:space="preserve">CBF and angiography were measured on a 7 T </w:t>
      </w:r>
      <w:proofErr w:type="spellStart"/>
      <w:r w:rsidRPr="0045754E">
        <w:t>Pharmascan</w:t>
      </w:r>
      <w:proofErr w:type="spellEnd"/>
      <w:r w:rsidRPr="0045754E">
        <w:t xml:space="preserve"> using </w:t>
      </w:r>
      <w:proofErr w:type="spellStart"/>
      <w:r w:rsidRPr="0045754E">
        <w:t>Paravision</w:t>
      </w:r>
      <w:proofErr w:type="spellEnd"/>
      <w:r w:rsidRPr="0045754E">
        <w:t xml:space="preserve"> 5.1 software (Bruker </w:t>
      </w:r>
      <w:proofErr w:type="spellStart"/>
      <w:r w:rsidRPr="0045754E">
        <w:t>BioSpin</w:t>
      </w:r>
      <w:proofErr w:type="spellEnd"/>
      <w:r w:rsidRPr="0045754E">
        <w:t xml:space="preserve">, </w:t>
      </w:r>
      <w:proofErr w:type="spellStart"/>
      <w:r w:rsidRPr="0045754E">
        <w:t>Ettlingen</w:t>
      </w:r>
      <w:proofErr w:type="spellEnd"/>
      <w:r w:rsidRPr="0045754E">
        <w:t xml:space="preserve">, Germany). For the CBF measurement, radio frequency transmission was achieved with a 72 mm diameter quadrature resonator actively decoupled to a mouse quadrature surface coil used for reception (Bruker </w:t>
      </w:r>
      <w:proofErr w:type="spellStart"/>
      <w:r w:rsidRPr="0045754E">
        <w:t>BioSpin</w:t>
      </w:r>
      <w:proofErr w:type="spellEnd"/>
      <w:r w:rsidRPr="0045754E">
        <w:t xml:space="preserve">, </w:t>
      </w:r>
      <w:proofErr w:type="spellStart"/>
      <w:r w:rsidRPr="0045754E">
        <w:t>Ettlingen</w:t>
      </w:r>
      <w:proofErr w:type="spellEnd"/>
      <w:r w:rsidRPr="0045754E">
        <w:t>, Germany). A single slice (1 mm) flow-sensitive alternating inversion recovery (FAIR) sequence with a rapid acquisition with relaxation enhancement (RARE) readout was used (repetition time (TR)/recovery time/echo spacing (ΔTE)/effective echo time (</w:t>
      </w:r>
      <w:proofErr w:type="spellStart"/>
      <w:r w:rsidRPr="0045754E">
        <w:t>TEeff</w:t>
      </w:r>
      <w:proofErr w:type="spellEnd"/>
      <w:r w:rsidRPr="0045754E">
        <w:t xml:space="preserve">): 12 000/10 000/7.2/35.9 </w:t>
      </w:r>
      <w:proofErr w:type="spellStart"/>
      <w:r w:rsidRPr="0045754E">
        <w:t>ms</w:t>
      </w:r>
      <w:proofErr w:type="spellEnd"/>
      <w:r w:rsidRPr="0045754E">
        <w:t xml:space="preserve">, respectively, 16 inversion times (35-1500 </w:t>
      </w:r>
      <w:proofErr w:type="spellStart"/>
      <w:r w:rsidRPr="0045754E">
        <w:t>ms</w:t>
      </w:r>
      <w:proofErr w:type="spellEnd"/>
      <w:r w:rsidRPr="0045754E">
        <w:t xml:space="preserve">), RARE factor: 32, inversion slice thickness: 4 mm, 180° hyperbolic secant (sech80) inversion pulse (20 </w:t>
      </w:r>
      <w:proofErr w:type="spellStart"/>
      <w:r w:rsidRPr="0045754E">
        <w:t>ms</w:t>
      </w:r>
      <w:proofErr w:type="spellEnd"/>
      <w:r w:rsidRPr="0045754E">
        <w:t xml:space="preserve">), field of view (FOV): 25.6 mm2, matrix: 128 x 64 enlarged by partial </w:t>
      </w:r>
      <w:proofErr w:type="spellStart"/>
      <w:r w:rsidRPr="0045754E">
        <w:t>fourier</w:t>
      </w:r>
      <w:proofErr w:type="spellEnd"/>
      <w:r w:rsidRPr="0045754E">
        <w:t xml:space="preserve"> transform to 128 x 128, resolution: 200 µm2, 12 min).  For angiography measurements, a 20 mm diameter quadrature volume coil (RAPID Biomedical, </w:t>
      </w:r>
      <w:proofErr w:type="spellStart"/>
      <w:r w:rsidRPr="0045754E">
        <w:t>Rimpar</w:t>
      </w:r>
      <w:proofErr w:type="spellEnd"/>
      <w:r w:rsidRPr="0045754E">
        <w:t xml:space="preserve">, Germany) was used for radio frequency transmission and reception and a 3D time of light (TOF) sequence was used (TR/TE: 15/2.5 </w:t>
      </w:r>
      <w:proofErr w:type="spellStart"/>
      <w:r w:rsidRPr="0045754E">
        <w:t>ms</w:t>
      </w:r>
      <w:proofErr w:type="spellEnd"/>
      <w:r w:rsidRPr="0045754E">
        <w:t xml:space="preserve">, α: 20 ˚, FOV: 25 mm3, resolution: 98 x 130 x 196 µm3 zero-filled to 98 µm3, 6 min). Spectroscopy, T2 weighted and MR spectra were acquired on a 7 T </w:t>
      </w:r>
      <w:proofErr w:type="spellStart"/>
      <w:r w:rsidRPr="0045754E">
        <w:t>Biospec</w:t>
      </w:r>
      <w:proofErr w:type="spellEnd"/>
      <w:r w:rsidRPr="0045754E">
        <w:t xml:space="preserve"> with a cryogenically cooled transmit/receive surface coil and </w:t>
      </w:r>
      <w:proofErr w:type="spellStart"/>
      <w:r w:rsidRPr="0045754E">
        <w:t>Paravision</w:t>
      </w:r>
      <w:proofErr w:type="spellEnd"/>
      <w:r w:rsidRPr="0045754E">
        <w:t xml:space="preserve"> 6.0 software (Bruker </w:t>
      </w:r>
      <w:proofErr w:type="spellStart"/>
      <w:r w:rsidRPr="0045754E">
        <w:t>BioSpin</w:t>
      </w:r>
      <w:proofErr w:type="spellEnd"/>
      <w:r w:rsidRPr="0045754E">
        <w:t xml:space="preserve">, </w:t>
      </w:r>
      <w:proofErr w:type="spellStart"/>
      <w:r w:rsidRPr="0045754E">
        <w:t>Ettlingen</w:t>
      </w:r>
      <w:proofErr w:type="spellEnd"/>
      <w:r w:rsidRPr="0045754E">
        <w:t xml:space="preserve">, Germany).  </w:t>
      </w:r>
    </w:p>
    <w:p w:rsidR="00064876" w:rsidRDefault="00064876" w:rsidP="00064876">
      <w:pPr>
        <w:spacing w:line="360" w:lineRule="auto"/>
        <w:jc w:val="both"/>
      </w:pPr>
      <w:r w:rsidRPr="0045754E">
        <w:t xml:space="preserve"> A 2D RARE T2 sequence was used for anatomical images (TR/ΔTE/</w:t>
      </w:r>
      <w:proofErr w:type="spellStart"/>
      <w:r w:rsidRPr="0045754E">
        <w:t>TEeff</w:t>
      </w:r>
      <w:proofErr w:type="spellEnd"/>
      <w:r w:rsidRPr="0045754E">
        <w:t xml:space="preserve">: 3100/11/33 </w:t>
      </w:r>
      <w:proofErr w:type="spellStart"/>
      <w:r w:rsidRPr="0045754E">
        <w:t>ms</w:t>
      </w:r>
      <w:proofErr w:type="spellEnd"/>
      <w:r w:rsidRPr="0045754E">
        <w:t>, RARE factor: 8, 29 consecutive slices, slice thickness 0.45 mm, FOV: (16.2 mm</w:t>
      </w:r>
      <w:proofErr w:type="gramStart"/>
      <w:r w:rsidRPr="0045754E">
        <w:t>)2</w:t>
      </w:r>
      <w:proofErr w:type="gramEnd"/>
      <w:r w:rsidRPr="0045754E">
        <w:t xml:space="preserve">, resolution: 100 µm2, NA: 2, 2 min 4 s). A stimulated echo acquisition mode (STEAM) sequence was used for spectroscopy following local shimming (MAPSHIM) across a cubic 8 mm3 voxel placed in the striatum (TR/TE/mixing time: 2500 </w:t>
      </w:r>
      <w:proofErr w:type="spellStart"/>
      <w:r w:rsidRPr="0045754E">
        <w:t>ms</w:t>
      </w:r>
      <w:proofErr w:type="spellEnd"/>
      <w:r w:rsidRPr="0045754E">
        <w:t xml:space="preserve">/3 </w:t>
      </w:r>
      <w:proofErr w:type="spellStart"/>
      <w:r w:rsidRPr="0045754E">
        <w:t>ms</w:t>
      </w:r>
      <w:proofErr w:type="spellEnd"/>
      <w:r w:rsidRPr="0045754E">
        <w:t xml:space="preserve">/10 </w:t>
      </w:r>
      <w:proofErr w:type="spellStart"/>
      <w:r w:rsidRPr="0045754E">
        <w:t>ms</w:t>
      </w:r>
      <w:proofErr w:type="spellEnd"/>
      <w:r w:rsidRPr="0045754E">
        <w:t>, number of averages (NA): 256, VAPOR water suppression, 10 min 40 s).</w:t>
      </w:r>
    </w:p>
    <w:p w:rsidR="00064876" w:rsidRDefault="00064876" w:rsidP="00064876">
      <w:pPr>
        <w:spacing w:line="360" w:lineRule="auto"/>
        <w:jc w:val="both"/>
      </w:pPr>
    </w:p>
    <w:p w:rsidR="00187FD3" w:rsidRDefault="00187FD3" w:rsidP="00064876">
      <w:pPr>
        <w:spacing w:line="276" w:lineRule="auto"/>
        <w:jc w:val="both"/>
        <w:rPr>
          <w:b/>
          <w:sz w:val="24"/>
          <w:szCs w:val="24"/>
        </w:rPr>
      </w:pPr>
    </w:p>
    <w:p w:rsidR="00D20891" w:rsidRDefault="00D20891" w:rsidP="00064876">
      <w:pPr>
        <w:spacing w:line="276" w:lineRule="auto"/>
        <w:jc w:val="both"/>
        <w:rPr>
          <w:b/>
        </w:rPr>
      </w:pPr>
    </w:p>
    <w:p w:rsidR="00064876" w:rsidRPr="00C13FE0" w:rsidRDefault="00064876" w:rsidP="00064876">
      <w:pPr>
        <w:spacing w:line="276" w:lineRule="auto"/>
        <w:jc w:val="both"/>
        <w:rPr>
          <w:b/>
        </w:rPr>
      </w:pPr>
      <w:r w:rsidRPr="00C13FE0">
        <w:rPr>
          <w:b/>
        </w:rPr>
        <w:lastRenderedPageBreak/>
        <w:t xml:space="preserve">MRI Data Analysis </w:t>
      </w:r>
    </w:p>
    <w:p w:rsidR="00064876" w:rsidRPr="00C13FE0" w:rsidRDefault="00064876" w:rsidP="00064876">
      <w:pPr>
        <w:spacing w:line="360" w:lineRule="auto"/>
        <w:jc w:val="both"/>
      </w:pPr>
      <w:r w:rsidRPr="00C13FE0">
        <w:t xml:space="preserve">CBF maps were calculated using the Perfusion ASL macro in </w:t>
      </w:r>
      <w:proofErr w:type="spellStart"/>
      <w:r w:rsidRPr="00C13FE0">
        <w:t>Paravision</w:t>
      </w:r>
      <w:proofErr w:type="spellEnd"/>
      <w:r w:rsidRPr="00C13FE0">
        <w:t xml:space="preserve"> 5.1 software via the T1 method using a blood T1 value of 2100 </w:t>
      </w:r>
      <w:proofErr w:type="spellStart"/>
      <w:r w:rsidRPr="00C13FE0">
        <w:t>ms</w:t>
      </w:r>
      <w:proofErr w:type="spellEnd"/>
      <w:r w:rsidRPr="00C13FE0">
        <w:t xml:space="preserve"> and a brain blood partition coefficient of 0.89 mL/g   </w:t>
      </w:r>
      <w:r w:rsidRPr="00C13FE0">
        <w:fldChar w:fldCharType="begin"/>
      </w:r>
      <w:r w:rsidR="00336ED3">
        <w:instrText xml:space="preserve"> ADDIN ZOTERO_ITEM CSL_CITATION {"citationID":"a142npha171","properties":{"formattedCitation":"\\super 2\\nosupersub{}","plainCitation":"2","noteIndex":0},"citationItems":[{"id":796,"uris":["http://zotero.org/users/local/3SLcMLWb/items/PWCWDVLG"],"uri":["http://zotero.org/users/local/3SLcMLWb/items/PWCWDVLG"],"itemData":{"id":796,"type":"article-journal","title":"Determination of the brain-blood partition coefficient for water in mice using MRI","container-title":"Journal of Cerebral Blood Flow and Metabolism: Official Journal of the International Society of Cerebral Blood Flow and Metabolism","page":"1821-1824","volume":"30","issue":"11","source":"PubMed","abstract":"Cerebral blood flow (CBF) quantification is a valuable tool in stroke research. Mice are of special interest because of the potential of genetic engineering. Magnetic resonance imaging (MRI) provides repetitive, noninvasive CBF quantification. Many MRI techniques require the knowledge of the brain-blood partition coefficient (BBPC) for water. Adopting an MRI protocol described by Roberts et al (1996) in humans, we determined the BBPC for water in 129S6/SvEv mice from proton density measurements of brain and blood, calibrated with deuterium oxide/water phantoms. The average BBPC for water was 0.89 ± 0.03 mL/g, with little regional variation within the mouse brain.","DOI":"10.1038/jcbfm.2010.160","ISSN":"1559-7016","note":"PMID: 20842161\nPMCID: PMC3023928","journalAbbreviation":"J. Cereb. Blood Flow Metab.","language":"eng","author":[{"family":"Leithner","given":"Christoph"},{"family":"Müller","given":"Susanne"},{"family":"Füchtemeier","given":"Martina"},{"family":"Lindauer","given":"Ute"},{"family":"Dirnagl","given":"Ulrich"},{"family":"Royl","given":"Georg"}],"issued":{"date-parts":[["2010",11]]}}}],"schema":"https://github.com/citation-style-language/schema/raw/master/csl-citation.json"} </w:instrText>
      </w:r>
      <w:r w:rsidRPr="00C13FE0">
        <w:fldChar w:fldCharType="separate"/>
      </w:r>
      <w:r w:rsidR="00336ED3" w:rsidRPr="00336ED3">
        <w:rPr>
          <w:rFonts w:ascii="Calibri" w:hAnsi="Calibri" w:cs="Calibri"/>
          <w:szCs w:val="24"/>
          <w:vertAlign w:val="superscript"/>
        </w:rPr>
        <w:t>2</w:t>
      </w:r>
      <w:r w:rsidRPr="00C13FE0">
        <w:fldChar w:fldCharType="end"/>
      </w:r>
      <w:r w:rsidRPr="00C13FE0">
        <w:t xml:space="preserve">, </w:t>
      </w:r>
      <w:r w:rsidRPr="00C13FE0">
        <w:fldChar w:fldCharType="begin"/>
      </w:r>
      <w:r w:rsidR="00336ED3">
        <w:instrText xml:space="preserve"> ADDIN ZOTERO_ITEM CSL_CITATION {"citationID":"a1jikfaq6vv","properties":{"formattedCitation":"\\super 3\\nosupersub{}","plainCitation":"3","noteIndex":0},"citationItems":[{"id":799,"uris":["http://zotero.org/users/local/3SLcMLWb/items/A8X4WPSH"],"uri":["http://zotero.org/users/local/3SLcMLWb/items/A8X4WPSH"],"itemData":{"id":799,"type":"article-journal","title":"Determination of blood longitudinal relaxation time (T1) at high magnetic field strengths","container-title":"Magnetic Resonance Imaging","page":"733-735","volume":"25","issue":"5","source":"PubMed","abstract":"In this study, a circulation system was used to measure T(1) values of bovine blood under physiological conditions at field strengths of 4.7, 7 and 9.4 T. Results show that T(1) increases linearly with magnetic field B(0) and can be described with the equation T(1)=129 ms/T B(0)+1167 ms for magnetic field strengths between 1.5 and 9.4 T.","DOI":"10.1016/j.mri.2006.10.020","ISSN":"0730-725X","note":"PMID: 17540286","journalAbbreviation":"Magn Reson Imaging","language":"eng","author":[{"family":"Dobre","given":"Mircea C."},{"family":"Uğurbil","given":"Kâmil"},{"family":"Marjanska","given":"Malgorzata"}],"issued":{"date-parts":[["2007",6]]}}}],"schema":"https://github.com/citation-style-language/schema/raw/master/csl-citation.json"} </w:instrText>
      </w:r>
      <w:r w:rsidRPr="00C13FE0">
        <w:fldChar w:fldCharType="separate"/>
      </w:r>
      <w:r w:rsidR="00336ED3" w:rsidRPr="00336ED3">
        <w:rPr>
          <w:rFonts w:ascii="Calibri" w:hAnsi="Calibri" w:cs="Calibri"/>
          <w:szCs w:val="24"/>
          <w:vertAlign w:val="superscript"/>
        </w:rPr>
        <w:t>3</w:t>
      </w:r>
      <w:r w:rsidRPr="00C13FE0">
        <w:fldChar w:fldCharType="end"/>
      </w:r>
      <w:r w:rsidRPr="00C13FE0">
        <w:t xml:space="preserve">. Analysis of the CBF values were done using a custom written </w:t>
      </w:r>
      <w:proofErr w:type="spellStart"/>
      <w:r w:rsidRPr="00C13FE0">
        <w:t>Matlab</w:t>
      </w:r>
      <w:proofErr w:type="spellEnd"/>
      <w:r w:rsidRPr="00C13FE0">
        <w:t xml:space="preserve"> toolbox for nonlinear atlas registration </w:t>
      </w:r>
      <w:r w:rsidRPr="00C13FE0">
        <w:fldChar w:fldCharType="begin"/>
      </w:r>
      <w:r w:rsidR="00336ED3">
        <w:instrText xml:space="preserve"> ADDIN ZOTERO_ITEM CSL_CITATION {"citationID":"a1t707t7o8a","properties":{"formattedCitation":"\\super 4\\nosupersub{}","plainCitation":"4","noteIndex":0},"citationItems":[{"id":801,"uris":["http://zotero.org/users/local/3SLcMLWb/items/DR497PXB"],"uri":["http://zotero.org/users/local/3SLcMLWb/items/DR497PXB"],"itemData":{"id":801,"type":"article-journal","title":"Atlas registration for edema-corrected MRI lesion volume in mouse stroke models","container-title":"Journal of Cerebral Blood Flow and Metabolism: Official Journal of the International Society of Cerebral Blood Flow and Metabolism","page":"271678X17726635","source":"PubMed","abstract":"Lesion volume measurements with magnetic resonance imaging are widely used to assess outcome in rodent models of stroke. In this study, we improved a mathematical framework to correct lesion size for edema which is based on manual delineation of the lesion and hemispheres. Furthermore, a novel MATLAB toolbox to register mouse brain MR images to the Allen brain atlas is presented. Its capability to calculate edema-corrected lesion size was compared to the manual approach. Automated image registration performed equally well in in a mouse middle cerebral artery occlusion model (Pearson r = 0.976, p = 2.265e-11). Information encapsulated in the registration was used to generate maps of edema induced tissue volume changes. These showed discrepancies to simplified tissue models underlying the manual approach. The presented techniques provide biologically more meaningful, voxel-wise biomarkers of vasogenic edema after stroke.","DOI":"10.1177/0271678X17726635","ISSN":"1559-7016","note":"PMID: 28829217","journalAbbreviation":"J. Cereb. Blood Flow Metab.","language":"eng","author":[{"family":"Koch","given":"Stefan"},{"family":"Mueller","given":"Susanne"},{"family":"Foddis","given":"Marco"},{"family":"Bienert","given":"Thomas"},{"family":"Elverfeldt","given":"Dominik","non-dropping-particle":"von"},{"family":"Knab","given":"Felix"},{"family":"Farr","given":"Tracy D."},{"family":"Bernard","given":"René"},{"family":"Dopatka","given":"Monika"},{"family":"Rex","given":"André"},{"family":"Dirnagl","given":"Ulrich"},{"family":"Harms","given":"Christoph"},{"family":"Boehm-Sturm","given":"Philipp"}],"issued":{"date-parts":[["2017",1,1]]}}}],"schema":"https://github.com/citation-style-language/schema/raw/master/csl-citation.json"} </w:instrText>
      </w:r>
      <w:r w:rsidRPr="00C13FE0">
        <w:fldChar w:fldCharType="separate"/>
      </w:r>
      <w:r w:rsidR="00336ED3" w:rsidRPr="00336ED3">
        <w:rPr>
          <w:rFonts w:ascii="Calibri" w:hAnsi="Calibri" w:cs="Calibri"/>
          <w:szCs w:val="24"/>
          <w:vertAlign w:val="superscript"/>
        </w:rPr>
        <w:t>4</w:t>
      </w:r>
      <w:r w:rsidRPr="00C13FE0">
        <w:fldChar w:fldCharType="end"/>
      </w:r>
      <w:r w:rsidRPr="00C13FE0">
        <w:t xml:space="preserve">  was used to select the CBF slice from the volume and </w:t>
      </w:r>
      <w:proofErr w:type="spellStart"/>
      <w:r w:rsidRPr="00C13FE0">
        <w:t>coregister</w:t>
      </w:r>
      <w:proofErr w:type="spellEnd"/>
      <w:r w:rsidRPr="00C13FE0">
        <w:t xml:space="preserve"> the CBF  on  the T2 images. Finally T2 and CBF images were transformed into the Allen brain atlas space and the atlas based CBF-values were extracted for all correlating Allen brain atlas structures in both hemispheres.  (Release 2013a (</w:t>
      </w:r>
      <w:proofErr w:type="spellStart"/>
      <w:r w:rsidRPr="00C13FE0">
        <w:t>MathWorks</w:t>
      </w:r>
      <w:proofErr w:type="spellEnd"/>
      <w:r w:rsidRPr="00C13FE0">
        <w:t xml:space="preserve">, Natick, MA, USA) script extracted the CBF maps from </w:t>
      </w:r>
      <w:proofErr w:type="spellStart"/>
      <w:r w:rsidRPr="00C13FE0">
        <w:t>Paravision</w:t>
      </w:r>
      <w:proofErr w:type="spellEnd"/>
      <w:r w:rsidRPr="00C13FE0">
        <w:t xml:space="preserve">, and used atlas registration and </w:t>
      </w:r>
      <w:proofErr w:type="spellStart"/>
      <w:r w:rsidRPr="00C13FE0">
        <w:t>coregistration</w:t>
      </w:r>
      <w:proofErr w:type="spellEnd"/>
      <w:r w:rsidRPr="00C13FE0">
        <w:t xml:space="preserve"> of CBF maps in the atlas space for striatum and prefrontal cortex). The resulting CBF values were expressed in mL/min/100g.</w:t>
      </w:r>
    </w:p>
    <w:p w:rsidR="00064876" w:rsidRDefault="00064876" w:rsidP="000C12F9">
      <w:pPr>
        <w:spacing w:line="360" w:lineRule="auto"/>
        <w:jc w:val="both"/>
      </w:pPr>
    </w:p>
    <w:p w:rsidR="00C13FE0" w:rsidRDefault="00C13FE0" w:rsidP="000C12F9">
      <w:pPr>
        <w:spacing w:line="360" w:lineRule="auto"/>
        <w:jc w:val="both"/>
        <w:rPr>
          <w:b/>
        </w:rPr>
      </w:pPr>
      <w:r w:rsidRPr="00C13FE0">
        <w:rPr>
          <w:b/>
        </w:rPr>
        <w:t>References</w:t>
      </w:r>
    </w:p>
    <w:p w:rsidR="00336ED3" w:rsidRPr="00336ED3" w:rsidRDefault="00D20891" w:rsidP="00336ED3">
      <w:pPr>
        <w:pStyle w:val="Bibliography"/>
        <w:rPr>
          <w:rFonts w:ascii="Calibri" w:hAnsi="Calibri" w:cs="Calibri"/>
        </w:rPr>
      </w:pPr>
      <w:r>
        <w:rPr>
          <w:b/>
        </w:rPr>
        <w:fldChar w:fldCharType="begin"/>
      </w:r>
      <w:r>
        <w:rPr>
          <w:b/>
        </w:rPr>
        <w:instrText xml:space="preserve"> ADDIN ZOTERO_BIBL {"uncited":[],"omitted":[],"custom":[]} CSL_BIBLIOGRAPHY </w:instrText>
      </w:r>
      <w:r>
        <w:rPr>
          <w:b/>
        </w:rPr>
        <w:fldChar w:fldCharType="separate"/>
      </w:r>
      <w:r w:rsidR="00336ED3" w:rsidRPr="00336ED3">
        <w:rPr>
          <w:rFonts w:ascii="Calibri" w:hAnsi="Calibri" w:cs="Calibri"/>
        </w:rPr>
        <w:t>1.</w:t>
      </w:r>
      <w:r w:rsidR="00336ED3" w:rsidRPr="00336ED3">
        <w:rPr>
          <w:rFonts w:ascii="Calibri" w:hAnsi="Calibri" w:cs="Calibri"/>
        </w:rPr>
        <w:tab/>
      </w:r>
      <w:proofErr w:type="spellStart"/>
      <w:r w:rsidR="00336ED3" w:rsidRPr="00336ED3">
        <w:rPr>
          <w:rFonts w:ascii="Calibri" w:hAnsi="Calibri" w:cs="Calibri"/>
        </w:rPr>
        <w:t>Foddis</w:t>
      </w:r>
      <w:proofErr w:type="spellEnd"/>
      <w:r w:rsidR="00336ED3" w:rsidRPr="00336ED3">
        <w:rPr>
          <w:rFonts w:ascii="Calibri" w:hAnsi="Calibri" w:cs="Calibri"/>
        </w:rPr>
        <w:t xml:space="preserve">, M. </w:t>
      </w:r>
      <w:r w:rsidR="00336ED3" w:rsidRPr="00336ED3">
        <w:rPr>
          <w:rFonts w:ascii="Calibri" w:hAnsi="Calibri" w:cs="Calibri"/>
          <w:i/>
          <w:iCs/>
        </w:rPr>
        <w:t>et al.</w:t>
      </w:r>
      <w:r w:rsidR="00336ED3" w:rsidRPr="00336ED3">
        <w:rPr>
          <w:rFonts w:ascii="Calibri" w:hAnsi="Calibri" w:cs="Calibri"/>
        </w:rPr>
        <w:t xml:space="preserve"> An exploratory investigation of brain collateral circulation plasticity after cerebral ischemia in two experimental C57BL/6 mouse models. </w:t>
      </w:r>
      <w:r w:rsidR="00336ED3" w:rsidRPr="00336ED3">
        <w:rPr>
          <w:rFonts w:ascii="Calibri" w:hAnsi="Calibri" w:cs="Calibri"/>
          <w:i/>
          <w:iCs/>
        </w:rPr>
        <w:t xml:space="preserve">J </w:t>
      </w:r>
      <w:proofErr w:type="spellStart"/>
      <w:r w:rsidR="00336ED3" w:rsidRPr="00336ED3">
        <w:rPr>
          <w:rFonts w:ascii="Calibri" w:hAnsi="Calibri" w:cs="Calibri"/>
          <w:i/>
          <w:iCs/>
        </w:rPr>
        <w:t>Cereb</w:t>
      </w:r>
      <w:proofErr w:type="spellEnd"/>
      <w:r w:rsidR="00336ED3" w:rsidRPr="00336ED3">
        <w:rPr>
          <w:rFonts w:ascii="Calibri" w:hAnsi="Calibri" w:cs="Calibri"/>
          <w:i/>
          <w:iCs/>
        </w:rPr>
        <w:t xml:space="preserve"> Blood Flow </w:t>
      </w:r>
      <w:proofErr w:type="spellStart"/>
      <w:r w:rsidR="00336ED3" w:rsidRPr="00336ED3">
        <w:rPr>
          <w:rFonts w:ascii="Calibri" w:hAnsi="Calibri" w:cs="Calibri"/>
          <w:i/>
          <w:iCs/>
        </w:rPr>
        <w:t>Metab</w:t>
      </w:r>
      <w:proofErr w:type="spellEnd"/>
      <w:r w:rsidR="00336ED3" w:rsidRPr="00336ED3">
        <w:rPr>
          <w:rFonts w:ascii="Calibri" w:hAnsi="Calibri" w:cs="Calibri"/>
        </w:rPr>
        <w:t xml:space="preserve"> 0271678X19827251 (2019) doi</w:t>
      </w:r>
      <w:proofErr w:type="gramStart"/>
      <w:r w:rsidR="00336ED3" w:rsidRPr="00336ED3">
        <w:rPr>
          <w:rFonts w:ascii="Calibri" w:hAnsi="Calibri" w:cs="Calibri"/>
        </w:rPr>
        <w:t>:10.1177</w:t>
      </w:r>
      <w:proofErr w:type="gramEnd"/>
      <w:r w:rsidR="00336ED3" w:rsidRPr="00336ED3">
        <w:rPr>
          <w:rFonts w:ascii="Calibri" w:hAnsi="Calibri" w:cs="Calibri"/>
        </w:rPr>
        <w:t>/0271678X19827251.</w:t>
      </w:r>
    </w:p>
    <w:p w:rsidR="00336ED3" w:rsidRPr="00336ED3" w:rsidRDefault="00336ED3" w:rsidP="00336ED3">
      <w:pPr>
        <w:pStyle w:val="Bibliography"/>
        <w:rPr>
          <w:rFonts w:ascii="Calibri" w:hAnsi="Calibri" w:cs="Calibri"/>
        </w:rPr>
      </w:pPr>
      <w:r w:rsidRPr="00336ED3">
        <w:rPr>
          <w:rFonts w:ascii="Calibri" w:hAnsi="Calibri" w:cs="Calibri"/>
        </w:rPr>
        <w:t>2.</w:t>
      </w:r>
      <w:r w:rsidRPr="00336ED3">
        <w:rPr>
          <w:rFonts w:ascii="Calibri" w:hAnsi="Calibri" w:cs="Calibri"/>
        </w:rPr>
        <w:tab/>
      </w:r>
      <w:proofErr w:type="spellStart"/>
      <w:r w:rsidRPr="00336ED3">
        <w:rPr>
          <w:rFonts w:ascii="Calibri" w:hAnsi="Calibri" w:cs="Calibri"/>
        </w:rPr>
        <w:t>Leithner</w:t>
      </w:r>
      <w:proofErr w:type="spellEnd"/>
      <w:r w:rsidRPr="00336ED3">
        <w:rPr>
          <w:rFonts w:ascii="Calibri" w:hAnsi="Calibri" w:cs="Calibri"/>
        </w:rPr>
        <w:t xml:space="preserve">, C. </w:t>
      </w:r>
      <w:r w:rsidRPr="00336ED3">
        <w:rPr>
          <w:rFonts w:ascii="Calibri" w:hAnsi="Calibri" w:cs="Calibri"/>
          <w:i/>
          <w:iCs/>
        </w:rPr>
        <w:t>et al.</w:t>
      </w:r>
      <w:r w:rsidRPr="00336ED3">
        <w:rPr>
          <w:rFonts w:ascii="Calibri" w:hAnsi="Calibri" w:cs="Calibri"/>
        </w:rPr>
        <w:t xml:space="preserve"> Determination of the brain-blood partition coefficient for water in mice using MRI. </w:t>
      </w:r>
      <w:r w:rsidRPr="00336ED3">
        <w:rPr>
          <w:rFonts w:ascii="Calibri" w:hAnsi="Calibri" w:cs="Calibri"/>
          <w:i/>
          <w:iCs/>
        </w:rPr>
        <w:t xml:space="preserve">J. </w:t>
      </w:r>
      <w:proofErr w:type="spellStart"/>
      <w:r w:rsidRPr="00336ED3">
        <w:rPr>
          <w:rFonts w:ascii="Calibri" w:hAnsi="Calibri" w:cs="Calibri"/>
          <w:i/>
          <w:iCs/>
        </w:rPr>
        <w:t>Cereb</w:t>
      </w:r>
      <w:proofErr w:type="spellEnd"/>
      <w:r w:rsidRPr="00336ED3">
        <w:rPr>
          <w:rFonts w:ascii="Calibri" w:hAnsi="Calibri" w:cs="Calibri"/>
          <w:i/>
          <w:iCs/>
        </w:rPr>
        <w:t xml:space="preserve">. Blood Flow </w:t>
      </w:r>
      <w:proofErr w:type="spellStart"/>
      <w:r w:rsidRPr="00336ED3">
        <w:rPr>
          <w:rFonts w:ascii="Calibri" w:hAnsi="Calibri" w:cs="Calibri"/>
          <w:i/>
          <w:iCs/>
        </w:rPr>
        <w:t>Metab</w:t>
      </w:r>
      <w:proofErr w:type="spellEnd"/>
      <w:r w:rsidRPr="00336ED3">
        <w:rPr>
          <w:rFonts w:ascii="Calibri" w:hAnsi="Calibri" w:cs="Calibri"/>
          <w:i/>
          <w:iCs/>
        </w:rPr>
        <w:t>.</w:t>
      </w:r>
      <w:r w:rsidRPr="00336ED3">
        <w:rPr>
          <w:rFonts w:ascii="Calibri" w:hAnsi="Calibri" w:cs="Calibri"/>
        </w:rPr>
        <w:t xml:space="preserve"> </w:t>
      </w:r>
      <w:r w:rsidRPr="00336ED3">
        <w:rPr>
          <w:rFonts w:ascii="Calibri" w:hAnsi="Calibri" w:cs="Calibri"/>
          <w:b/>
          <w:bCs/>
        </w:rPr>
        <w:t>30</w:t>
      </w:r>
      <w:r w:rsidRPr="00336ED3">
        <w:rPr>
          <w:rFonts w:ascii="Calibri" w:hAnsi="Calibri" w:cs="Calibri"/>
        </w:rPr>
        <w:t>, 1821–1824 (2010).</w:t>
      </w:r>
    </w:p>
    <w:p w:rsidR="00336ED3" w:rsidRPr="00336ED3" w:rsidRDefault="00336ED3" w:rsidP="00336ED3">
      <w:pPr>
        <w:pStyle w:val="Bibliography"/>
        <w:rPr>
          <w:rFonts w:ascii="Calibri" w:hAnsi="Calibri" w:cs="Calibri"/>
        </w:rPr>
      </w:pPr>
      <w:r w:rsidRPr="00336ED3">
        <w:rPr>
          <w:rFonts w:ascii="Calibri" w:hAnsi="Calibri" w:cs="Calibri"/>
        </w:rPr>
        <w:t>3.</w:t>
      </w:r>
      <w:r w:rsidRPr="00336ED3">
        <w:rPr>
          <w:rFonts w:ascii="Calibri" w:hAnsi="Calibri" w:cs="Calibri"/>
        </w:rPr>
        <w:tab/>
      </w:r>
      <w:proofErr w:type="spellStart"/>
      <w:r w:rsidRPr="00336ED3">
        <w:rPr>
          <w:rFonts w:ascii="Calibri" w:hAnsi="Calibri" w:cs="Calibri"/>
        </w:rPr>
        <w:t>Dobre</w:t>
      </w:r>
      <w:proofErr w:type="spellEnd"/>
      <w:r w:rsidRPr="00336ED3">
        <w:rPr>
          <w:rFonts w:ascii="Calibri" w:hAnsi="Calibri" w:cs="Calibri"/>
        </w:rPr>
        <w:t xml:space="preserve">, M. C., </w:t>
      </w:r>
      <w:proofErr w:type="spellStart"/>
      <w:r w:rsidRPr="00336ED3">
        <w:rPr>
          <w:rFonts w:ascii="Calibri" w:hAnsi="Calibri" w:cs="Calibri"/>
        </w:rPr>
        <w:t>Uğurbil</w:t>
      </w:r>
      <w:proofErr w:type="spellEnd"/>
      <w:r w:rsidRPr="00336ED3">
        <w:rPr>
          <w:rFonts w:ascii="Calibri" w:hAnsi="Calibri" w:cs="Calibri"/>
        </w:rPr>
        <w:t xml:space="preserve">, K. &amp; </w:t>
      </w:r>
      <w:proofErr w:type="spellStart"/>
      <w:r w:rsidRPr="00336ED3">
        <w:rPr>
          <w:rFonts w:ascii="Calibri" w:hAnsi="Calibri" w:cs="Calibri"/>
        </w:rPr>
        <w:t>Marjanska</w:t>
      </w:r>
      <w:proofErr w:type="spellEnd"/>
      <w:r w:rsidRPr="00336ED3">
        <w:rPr>
          <w:rFonts w:ascii="Calibri" w:hAnsi="Calibri" w:cs="Calibri"/>
        </w:rPr>
        <w:t xml:space="preserve">, M. Determination of blood longitudinal relaxation time (T1) at high magnetic field strengths. </w:t>
      </w:r>
      <w:proofErr w:type="spellStart"/>
      <w:r w:rsidRPr="00336ED3">
        <w:rPr>
          <w:rFonts w:ascii="Calibri" w:hAnsi="Calibri" w:cs="Calibri"/>
          <w:i/>
          <w:iCs/>
        </w:rPr>
        <w:t>Magn</w:t>
      </w:r>
      <w:proofErr w:type="spellEnd"/>
      <w:r w:rsidRPr="00336ED3">
        <w:rPr>
          <w:rFonts w:ascii="Calibri" w:hAnsi="Calibri" w:cs="Calibri"/>
          <w:i/>
          <w:iCs/>
        </w:rPr>
        <w:t xml:space="preserve"> </w:t>
      </w:r>
      <w:proofErr w:type="spellStart"/>
      <w:r w:rsidRPr="00336ED3">
        <w:rPr>
          <w:rFonts w:ascii="Calibri" w:hAnsi="Calibri" w:cs="Calibri"/>
          <w:i/>
          <w:iCs/>
        </w:rPr>
        <w:t>Reson</w:t>
      </w:r>
      <w:proofErr w:type="spellEnd"/>
      <w:r w:rsidRPr="00336ED3">
        <w:rPr>
          <w:rFonts w:ascii="Calibri" w:hAnsi="Calibri" w:cs="Calibri"/>
          <w:i/>
          <w:iCs/>
        </w:rPr>
        <w:t xml:space="preserve"> Imaging</w:t>
      </w:r>
      <w:r w:rsidRPr="00336ED3">
        <w:rPr>
          <w:rFonts w:ascii="Calibri" w:hAnsi="Calibri" w:cs="Calibri"/>
        </w:rPr>
        <w:t xml:space="preserve"> </w:t>
      </w:r>
      <w:r w:rsidRPr="00336ED3">
        <w:rPr>
          <w:rFonts w:ascii="Calibri" w:hAnsi="Calibri" w:cs="Calibri"/>
          <w:b/>
          <w:bCs/>
        </w:rPr>
        <w:t>25</w:t>
      </w:r>
      <w:r w:rsidRPr="00336ED3">
        <w:rPr>
          <w:rFonts w:ascii="Calibri" w:hAnsi="Calibri" w:cs="Calibri"/>
        </w:rPr>
        <w:t>, 733–735 (2007).</w:t>
      </w:r>
    </w:p>
    <w:p w:rsidR="00336ED3" w:rsidRPr="00336ED3" w:rsidRDefault="00336ED3" w:rsidP="00336ED3">
      <w:pPr>
        <w:pStyle w:val="Bibliography"/>
        <w:rPr>
          <w:rFonts w:ascii="Calibri" w:hAnsi="Calibri" w:cs="Calibri"/>
        </w:rPr>
      </w:pPr>
      <w:r w:rsidRPr="00336ED3">
        <w:rPr>
          <w:rFonts w:ascii="Calibri" w:hAnsi="Calibri" w:cs="Calibri"/>
        </w:rPr>
        <w:t>4.</w:t>
      </w:r>
      <w:r w:rsidRPr="00336ED3">
        <w:rPr>
          <w:rFonts w:ascii="Calibri" w:hAnsi="Calibri" w:cs="Calibri"/>
        </w:rPr>
        <w:tab/>
        <w:t xml:space="preserve">Koch, S. </w:t>
      </w:r>
      <w:r w:rsidRPr="00336ED3">
        <w:rPr>
          <w:rFonts w:ascii="Calibri" w:hAnsi="Calibri" w:cs="Calibri"/>
          <w:i/>
          <w:iCs/>
        </w:rPr>
        <w:t>et al.</w:t>
      </w:r>
      <w:r w:rsidRPr="00336ED3">
        <w:rPr>
          <w:rFonts w:ascii="Calibri" w:hAnsi="Calibri" w:cs="Calibri"/>
        </w:rPr>
        <w:t xml:space="preserve"> Atlas registration for edema-corrected MRI lesion volume in mouse stroke models. </w:t>
      </w:r>
      <w:r w:rsidRPr="00336ED3">
        <w:rPr>
          <w:rFonts w:ascii="Calibri" w:hAnsi="Calibri" w:cs="Calibri"/>
          <w:i/>
          <w:iCs/>
        </w:rPr>
        <w:t xml:space="preserve">J. </w:t>
      </w:r>
      <w:proofErr w:type="spellStart"/>
      <w:r w:rsidRPr="00336ED3">
        <w:rPr>
          <w:rFonts w:ascii="Calibri" w:hAnsi="Calibri" w:cs="Calibri"/>
          <w:i/>
          <w:iCs/>
        </w:rPr>
        <w:t>Cereb</w:t>
      </w:r>
      <w:proofErr w:type="spellEnd"/>
      <w:r w:rsidRPr="00336ED3">
        <w:rPr>
          <w:rFonts w:ascii="Calibri" w:hAnsi="Calibri" w:cs="Calibri"/>
          <w:i/>
          <w:iCs/>
        </w:rPr>
        <w:t xml:space="preserve">. Blood Flow </w:t>
      </w:r>
      <w:proofErr w:type="spellStart"/>
      <w:r w:rsidRPr="00336ED3">
        <w:rPr>
          <w:rFonts w:ascii="Calibri" w:hAnsi="Calibri" w:cs="Calibri"/>
          <w:i/>
          <w:iCs/>
        </w:rPr>
        <w:t>Metab</w:t>
      </w:r>
      <w:proofErr w:type="spellEnd"/>
      <w:r w:rsidRPr="00336ED3">
        <w:rPr>
          <w:rFonts w:ascii="Calibri" w:hAnsi="Calibri" w:cs="Calibri"/>
          <w:i/>
          <w:iCs/>
        </w:rPr>
        <w:t>.</w:t>
      </w:r>
      <w:r w:rsidRPr="00336ED3">
        <w:rPr>
          <w:rFonts w:ascii="Calibri" w:hAnsi="Calibri" w:cs="Calibri"/>
        </w:rPr>
        <w:t xml:space="preserve"> 271678X17726635 (2017) doi</w:t>
      </w:r>
      <w:proofErr w:type="gramStart"/>
      <w:r w:rsidRPr="00336ED3">
        <w:rPr>
          <w:rFonts w:ascii="Calibri" w:hAnsi="Calibri" w:cs="Calibri"/>
        </w:rPr>
        <w:t>:10.1177</w:t>
      </w:r>
      <w:proofErr w:type="gramEnd"/>
      <w:r w:rsidRPr="00336ED3">
        <w:rPr>
          <w:rFonts w:ascii="Calibri" w:hAnsi="Calibri" w:cs="Calibri"/>
        </w:rPr>
        <w:t>/0271678X17726635.</w:t>
      </w:r>
    </w:p>
    <w:p w:rsidR="00D20891" w:rsidRDefault="00D20891" w:rsidP="00D20891">
      <w:pPr>
        <w:spacing w:line="360" w:lineRule="auto"/>
        <w:jc w:val="both"/>
        <w:rPr>
          <w:b/>
        </w:rPr>
      </w:pPr>
      <w:r>
        <w:rPr>
          <w:b/>
        </w:rPr>
        <w:fldChar w:fldCharType="end"/>
      </w:r>
    </w:p>
    <w:p w:rsidR="00C13FE0" w:rsidRPr="00D20891" w:rsidRDefault="00C13FE0" w:rsidP="00D20891">
      <w:pPr>
        <w:spacing w:line="360" w:lineRule="auto"/>
        <w:jc w:val="both"/>
        <w:rPr>
          <w:b/>
        </w:rPr>
      </w:pPr>
      <w:r w:rsidRPr="00C13FE0">
        <w:rPr>
          <w:b/>
          <w:bCs/>
          <w:color w:val="000000" w:themeColor="text1"/>
          <w:lang w:val="en-GB"/>
        </w:rPr>
        <w:t>Figure S1</w:t>
      </w:r>
    </w:p>
    <w:p w:rsidR="00C13FE0" w:rsidRPr="00C13FE0" w:rsidRDefault="00C13FE0" w:rsidP="00C13FE0">
      <w:pPr>
        <w:rPr>
          <w:rFonts w:cstheme="minorHAnsi"/>
        </w:rPr>
      </w:pPr>
      <w:r w:rsidRPr="00C13FE0">
        <w:rPr>
          <w:rFonts w:cstheme="minorHAnsi"/>
        </w:rPr>
        <w:t>Power calculation in our SV</w:t>
      </w:r>
      <w:r w:rsidR="00FA20EA">
        <w:rPr>
          <w:rFonts w:cstheme="minorHAnsi"/>
        </w:rPr>
        <w:t>I</w:t>
      </w:r>
      <w:r w:rsidRPr="00C13FE0">
        <w:rPr>
          <w:rFonts w:cstheme="minorHAnsi"/>
        </w:rPr>
        <w:t xml:space="preserve">D cohort, showing that the study had 80% power to detect common variants with strong effect size. </w:t>
      </w:r>
      <w:r w:rsidRPr="00C13FE0">
        <w:rPr>
          <w:rFonts w:eastAsiaTheme="minorEastAsia" w:cs="Calibri"/>
          <w:iCs/>
          <w:lang w:eastAsia="en-GB"/>
        </w:rPr>
        <w:t xml:space="preserve">R </w:t>
      </w:r>
      <w:proofErr w:type="spellStart"/>
      <w:r w:rsidRPr="00C13FE0">
        <w:rPr>
          <w:rFonts w:eastAsiaTheme="minorEastAsia" w:cs="Calibri"/>
          <w:iCs/>
          <w:lang w:eastAsia="en-GB"/>
        </w:rPr>
        <w:t>statmod</w:t>
      </w:r>
      <w:proofErr w:type="spellEnd"/>
      <w:r w:rsidRPr="00C13FE0">
        <w:rPr>
          <w:rFonts w:eastAsiaTheme="minorEastAsia" w:cs="Calibri"/>
          <w:iCs/>
          <w:lang w:eastAsia="en-GB"/>
        </w:rPr>
        <w:t xml:space="preserve">-package </w:t>
      </w:r>
      <w:hyperlink r:id="rId7" w:history="1">
        <w:r w:rsidRPr="00C13FE0">
          <w:rPr>
            <w:rFonts w:eastAsiaTheme="minorEastAsia"/>
            <w:u w:val="single"/>
          </w:rPr>
          <w:t>v1.4.32</w:t>
        </w:r>
      </w:hyperlink>
      <w:r w:rsidRPr="00C13FE0">
        <w:rPr>
          <w:rFonts w:eastAsiaTheme="minorEastAsia" w:cs="Calibri"/>
          <w:iCs/>
          <w:lang w:eastAsia="en-GB"/>
        </w:rPr>
        <w:t xml:space="preserve"> for Fisher´s exact test based on allelic association was used for this power calculation. OR, odds ratio.</w:t>
      </w:r>
    </w:p>
    <w:p w:rsidR="00B86A42" w:rsidRPr="00C13FE0" w:rsidRDefault="00B86A42"/>
    <w:p w:rsidR="00C13FE0" w:rsidRPr="00C13FE0" w:rsidRDefault="00C13FE0" w:rsidP="00C13FE0">
      <w:pPr>
        <w:rPr>
          <w:b/>
          <w:bCs/>
          <w:color w:val="000000" w:themeColor="text1"/>
          <w:lang w:val="en-GB"/>
        </w:rPr>
      </w:pPr>
      <w:r w:rsidRPr="00C13FE0">
        <w:rPr>
          <w:b/>
          <w:bCs/>
          <w:color w:val="000000" w:themeColor="text1"/>
          <w:lang w:val="en-GB"/>
        </w:rPr>
        <w:t>Figure S2</w:t>
      </w:r>
    </w:p>
    <w:p w:rsidR="00C13FE0" w:rsidRPr="00C13FE0" w:rsidRDefault="00C13FE0" w:rsidP="00C13FE0">
      <w:pPr>
        <w:rPr>
          <w:bCs/>
          <w:color w:val="000000" w:themeColor="text1"/>
          <w:lang w:val="en-GB"/>
        </w:rPr>
      </w:pPr>
      <w:r w:rsidRPr="00C13FE0">
        <w:rPr>
          <w:b/>
          <w:bCs/>
          <w:color w:val="000000" w:themeColor="text1"/>
          <w:lang w:val="en-GB"/>
        </w:rPr>
        <w:t>A-</w:t>
      </w:r>
      <w:proofErr w:type="spellStart"/>
      <w:r w:rsidRPr="00C13FE0">
        <w:rPr>
          <w:b/>
          <w:bCs/>
          <w:color w:val="000000" w:themeColor="text1"/>
          <w:lang w:val="en-GB"/>
        </w:rPr>
        <w:t>B</w:t>
      </w:r>
      <w:r w:rsidRPr="00C13FE0">
        <w:rPr>
          <w:bCs/>
          <w:color w:val="000000" w:themeColor="text1"/>
          <w:lang w:val="en-GB"/>
        </w:rPr>
        <w:t>Differential</w:t>
      </w:r>
      <w:proofErr w:type="spellEnd"/>
      <w:r w:rsidRPr="00C13FE0">
        <w:rPr>
          <w:bCs/>
          <w:color w:val="000000" w:themeColor="text1"/>
          <w:lang w:val="en-GB"/>
        </w:rPr>
        <w:t xml:space="preserve"> gene expression detected during acute (2d</w:t>
      </w:r>
      <w:proofErr w:type="gramStart"/>
      <w:r w:rsidRPr="00C13FE0">
        <w:rPr>
          <w:bCs/>
          <w:color w:val="000000" w:themeColor="text1"/>
          <w:lang w:val="en-GB"/>
        </w:rPr>
        <w:t>)(</w:t>
      </w:r>
      <w:proofErr w:type="gramEnd"/>
      <w:r w:rsidRPr="00C13FE0">
        <w:rPr>
          <w:b/>
          <w:bCs/>
          <w:color w:val="000000" w:themeColor="text1"/>
          <w:lang w:val="en-GB"/>
        </w:rPr>
        <w:t>A</w:t>
      </w:r>
      <w:r w:rsidRPr="00C13FE0">
        <w:rPr>
          <w:bCs/>
          <w:color w:val="000000" w:themeColor="text1"/>
          <w:lang w:val="en-GB"/>
        </w:rPr>
        <w:t>) and subacute (7d) (</w:t>
      </w:r>
      <w:r w:rsidRPr="00C13FE0">
        <w:rPr>
          <w:b/>
          <w:bCs/>
          <w:color w:val="000000" w:themeColor="text1"/>
          <w:lang w:val="en-GB"/>
        </w:rPr>
        <w:t>B</w:t>
      </w:r>
      <w:r w:rsidRPr="00C13FE0">
        <w:rPr>
          <w:bCs/>
          <w:color w:val="000000" w:themeColor="text1"/>
          <w:lang w:val="en-GB"/>
        </w:rPr>
        <w:t xml:space="preserve">) </w:t>
      </w:r>
      <w:proofErr w:type="spellStart"/>
      <w:r w:rsidRPr="00C13FE0">
        <w:rPr>
          <w:bCs/>
          <w:color w:val="000000" w:themeColor="text1"/>
          <w:lang w:val="en-GB"/>
        </w:rPr>
        <w:t>hypoperfusion</w:t>
      </w:r>
      <w:proofErr w:type="spellEnd"/>
      <w:r w:rsidRPr="00C13FE0">
        <w:rPr>
          <w:bCs/>
          <w:color w:val="000000" w:themeColor="text1"/>
          <w:lang w:val="en-GB"/>
        </w:rPr>
        <w:t xml:space="preserve"> in hippocampus of BCCAS mice. </w:t>
      </w:r>
      <w:r w:rsidRPr="00C13FE0">
        <w:rPr>
          <w:b/>
          <w:bCs/>
          <w:color w:val="000000" w:themeColor="text1"/>
          <w:lang w:val="en-GB"/>
        </w:rPr>
        <w:t xml:space="preserve">C-D </w:t>
      </w:r>
      <w:r w:rsidRPr="00C13FE0">
        <w:rPr>
          <w:bCs/>
          <w:color w:val="000000" w:themeColor="text1"/>
          <w:lang w:val="en-GB"/>
        </w:rPr>
        <w:t xml:space="preserve">Differential gene expression in lysosomal genes and matrix </w:t>
      </w:r>
      <w:r w:rsidRPr="00C13FE0">
        <w:rPr>
          <w:bCs/>
          <w:color w:val="000000" w:themeColor="text1"/>
          <w:lang w:val="en-GB"/>
        </w:rPr>
        <w:lastRenderedPageBreak/>
        <w:t>metalloproteases (</w:t>
      </w:r>
      <w:proofErr w:type="spellStart"/>
      <w:r w:rsidRPr="00C13FE0">
        <w:rPr>
          <w:bCs/>
          <w:color w:val="000000" w:themeColor="text1"/>
          <w:lang w:val="en-GB"/>
        </w:rPr>
        <w:t>Mmps</w:t>
      </w:r>
      <w:proofErr w:type="spellEnd"/>
      <w:r w:rsidRPr="00C13FE0">
        <w:rPr>
          <w:bCs/>
          <w:color w:val="000000" w:themeColor="text1"/>
          <w:lang w:val="en-GB"/>
        </w:rPr>
        <w:t xml:space="preserve">) genes detected during acute and subacute </w:t>
      </w:r>
      <w:proofErr w:type="spellStart"/>
      <w:r w:rsidRPr="00C13FE0">
        <w:rPr>
          <w:bCs/>
          <w:color w:val="000000" w:themeColor="text1"/>
          <w:lang w:val="en-GB"/>
        </w:rPr>
        <w:t>hypoperfusion</w:t>
      </w:r>
      <w:proofErr w:type="spellEnd"/>
      <w:r w:rsidRPr="00C13FE0">
        <w:rPr>
          <w:bCs/>
          <w:color w:val="000000" w:themeColor="text1"/>
          <w:lang w:val="en-GB"/>
        </w:rPr>
        <w:t xml:space="preserve"> in the </w:t>
      </w:r>
      <w:proofErr w:type="spellStart"/>
      <w:r w:rsidRPr="00C13FE0">
        <w:rPr>
          <w:bCs/>
          <w:color w:val="000000" w:themeColor="text1"/>
          <w:lang w:val="en-GB"/>
        </w:rPr>
        <w:t>hippocampis</w:t>
      </w:r>
      <w:proofErr w:type="spellEnd"/>
      <w:r w:rsidRPr="00C13FE0">
        <w:rPr>
          <w:bCs/>
          <w:color w:val="000000" w:themeColor="text1"/>
          <w:lang w:val="en-GB"/>
        </w:rPr>
        <w:t xml:space="preserve"> of BCCAS mice.</w:t>
      </w:r>
    </w:p>
    <w:p w:rsidR="009447EC" w:rsidRDefault="009447EC" w:rsidP="00187FD3">
      <w:pPr>
        <w:rPr>
          <w:b/>
          <w:bCs/>
          <w:color w:val="000000" w:themeColor="text1"/>
          <w:lang w:val="en-GB"/>
        </w:rPr>
      </w:pPr>
    </w:p>
    <w:p w:rsidR="009447EC" w:rsidRDefault="009447EC" w:rsidP="00187FD3">
      <w:pPr>
        <w:rPr>
          <w:b/>
          <w:bCs/>
          <w:color w:val="000000" w:themeColor="text1"/>
          <w:lang w:val="en-GB"/>
        </w:rPr>
      </w:pPr>
    </w:p>
    <w:p w:rsidR="00187FD3" w:rsidRPr="00C13FE0" w:rsidRDefault="00187FD3" w:rsidP="00187FD3">
      <w:pPr>
        <w:rPr>
          <w:b/>
          <w:bCs/>
          <w:color w:val="000000" w:themeColor="text1"/>
          <w:lang w:val="en-GB"/>
        </w:rPr>
      </w:pPr>
      <w:r w:rsidRPr="00C13FE0">
        <w:rPr>
          <w:b/>
          <w:bCs/>
          <w:color w:val="000000" w:themeColor="text1"/>
          <w:lang w:val="en-GB"/>
        </w:rPr>
        <w:t>Fig</w:t>
      </w:r>
      <w:r w:rsidR="00C13FE0" w:rsidRPr="00C13FE0">
        <w:rPr>
          <w:b/>
          <w:bCs/>
          <w:color w:val="000000" w:themeColor="text1"/>
          <w:lang w:val="en-GB"/>
        </w:rPr>
        <w:t xml:space="preserve">ure </w:t>
      </w:r>
      <w:r w:rsidRPr="00C13FE0">
        <w:rPr>
          <w:b/>
          <w:bCs/>
          <w:color w:val="000000" w:themeColor="text1"/>
          <w:lang w:val="en-GB"/>
        </w:rPr>
        <w:t>S3</w:t>
      </w:r>
    </w:p>
    <w:p w:rsidR="00187FD3" w:rsidRPr="00C13FE0" w:rsidRDefault="00187FD3" w:rsidP="00187FD3">
      <w:pPr>
        <w:rPr>
          <w:bCs/>
          <w:color w:val="000000" w:themeColor="text1"/>
          <w:lang w:val="en-GB"/>
        </w:rPr>
      </w:pPr>
      <w:r w:rsidRPr="00C13FE0">
        <w:rPr>
          <w:bCs/>
          <w:color w:val="000000" w:themeColor="text1"/>
          <w:lang w:val="en-GB"/>
        </w:rPr>
        <w:t>A</w:t>
      </w:r>
      <w:r w:rsidRPr="00C13FE0">
        <w:rPr>
          <w:rFonts w:cstheme="minorHAnsi"/>
          <w:bCs/>
          <w:color w:val="000000" w:themeColor="text1"/>
          <w:lang w:val="en-GB"/>
        </w:rPr>
        <w:t>β</w:t>
      </w:r>
      <w:r w:rsidRPr="00C13FE0">
        <w:rPr>
          <w:bCs/>
          <w:color w:val="000000" w:themeColor="text1"/>
          <w:lang w:val="en-GB"/>
        </w:rPr>
        <w:t xml:space="preserve"> oligomers detected in APPPS1 mice, before the appearance of amyloid plaques. These were analogous to the one</w:t>
      </w:r>
      <w:r w:rsidR="00D20891">
        <w:rPr>
          <w:bCs/>
          <w:color w:val="000000" w:themeColor="text1"/>
          <w:lang w:val="en-GB"/>
        </w:rPr>
        <w:t>s</w:t>
      </w:r>
      <w:r w:rsidRPr="00C13FE0">
        <w:rPr>
          <w:bCs/>
          <w:color w:val="000000" w:themeColor="text1"/>
          <w:lang w:val="en-GB"/>
        </w:rPr>
        <w:t xml:space="preserve"> detected in BCCAS mice in </w:t>
      </w:r>
      <w:proofErr w:type="spellStart"/>
      <w:r w:rsidRPr="00C13FE0">
        <w:rPr>
          <w:bCs/>
          <w:color w:val="000000" w:themeColor="text1"/>
          <w:lang w:val="en-GB"/>
        </w:rPr>
        <w:t>hypoperfused</w:t>
      </w:r>
      <w:proofErr w:type="spellEnd"/>
      <w:r w:rsidRPr="00C13FE0">
        <w:rPr>
          <w:bCs/>
          <w:color w:val="000000" w:themeColor="text1"/>
          <w:lang w:val="en-GB"/>
        </w:rPr>
        <w:t xml:space="preserve"> hippocampi (7d)</w:t>
      </w:r>
    </w:p>
    <w:p w:rsidR="00187FD3" w:rsidRPr="00C13FE0" w:rsidRDefault="00187FD3" w:rsidP="00187FD3">
      <w:pPr>
        <w:rPr>
          <w:b/>
          <w:bCs/>
          <w:color w:val="000000" w:themeColor="text1"/>
          <w:lang w:val="en-GB"/>
        </w:rPr>
      </w:pPr>
    </w:p>
    <w:p w:rsidR="00187FD3" w:rsidRPr="00C13FE0" w:rsidRDefault="00187FD3" w:rsidP="00187FD3">
      <w:pPr>
        <w:rPr>
          <w:b/>
          <w:bCs/>
          <w:color w:val="000000" w:themeColor="text1"/>
          <w:lang w:val="en-GB"/>
        </w:rPr>
      </w:pPr>
    </w:p>
    <w:p w:rsidR="00187FD3" w:rsidRPr="00C13FE0" w:rsidRDefault="00187FD3" w:rsidP="00187FD3">
      <w:pPr>
        <w:rPr>
          <w:b/>
          <w:color w:val="000000" w:themeColor="text1"/>
          <w:lang w:val="en-GB"/>
        </w:rPr>
      </w:pPr>
    </w:p>
    <w:p w:rsidR="00187FD3" w:rsidRPr="00C13FE0" w:rsidRDefault="00187FD3" w:rsidP="00187FD3">
      <w:pPr>
        <w:rPr>
          <w:b/>
          <w:color w:val="000000" w:themeColor="text1"/>
          <w:lang w:val="en-GB"/>
        </w:rPr>
      </w:pPr>
    </w:p>
    <w:p w:rsidR="00187FD3" w:rsidRPr="00C13FE0" w:rsidRDefault="00187FD3" w:rsidP="00187FD3">
      <w:pPr>
        <w:rPr>
          <w:lang w:val="en-GB"/>
        </w:rPr>
      </w:pPr>
    </w:p>
    <w:p w:rsidR="000C12F9" w:rsidRPr="00C13FE0" w:rsidRDefault="000C12F9">
      <w:pPr>
        <w:rPr>
          <w:lang w:val="en-GB"/>
        </w:rPr>
      </w:pPr>
    </w:p>
    <w:sectPr w:rsidR="000C12F9" w:rsidRPr="00C13FE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237" w:rsidRDefault="008B4237" w:rsidP="00815E32">
      <w:pPr>
        <w:spacing w:after="0" w:line="240" w:lineRule="auto"/>
      </w:pPr>
      <w:r>
        <w:separator/>
      </w:r>
    </w:p>
  </w:endnote>
  <w:endnote w:type="continuationSeparator" w:id="0">
    <w:p w:rsidR="008B4237" w:rsidRDefault="008B4237" w:rsidP="0081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036635"/>
      <w:docPartObj>
        <w:docPartGallery w:val="Page Numbers (Bottom of Page)"/>
        <w:docPartUnique/>
      </w:docPartObj>
    </w:sdtPr>
    <w:sdtEndPr/>
    <w:sdtContent>
      <w:p w:rsidR="00815E32" w:rsidRDefault="00815E32">
        <w:pPr>
          <w:pStyle w:val="Footer"/>
          <w:jc w:val="center"/>
        </w:pPr>
        <w:r>
          <w:fldChar w:fldCharType="begin"/>
        </w:r>
        <w:r>
          <w:instrText>PAGE   \* MERGEFORMAT</w:instrText>
        </w:r>
        <w:r>
          <w:fldChar w:fldCharType="separate"/>
        </w:r>
        <w:r w:rsidR="00336ED3" w:rsidRPr="00336ED3">
          <w:rPr>
            <w:noProof/>
            <w:lang w:val="de-DE"/>
          </w:rPr>
          <w:t>4</w:t>
        </w:r>
        <w:r>
          <w:fldChar w:fldCharType="end"/>
        </w:r>
      </w:p>
    </w:sdtContent>
  </w:sdt>
  <w:p w:rsidR="00815E32" w:rsidRDefault="00815E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237" w:rsidRDefault="008B4237" w:rsidP="00815E32">
      <w:pPr>
        <w:spacing w:after="0" w:line="240" w:lineRule="auto"/>
      </w:pPr>
      <w:r>
        <w:separator/>
      </w:r>
    </w:p>
  </w:footnote>
  <w:footnote w:type="continuationSeparator" w:id="0">
    <w:p w:rsidR="008B4237" w:rsidRDefault="008B4237" w:rsidP="00815E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2F9"/>
    <w:rsid w:val="00064876"/>
    <w:rsid w:val="000C12F9"/>
    <w:rsid w:val="00187FD3"/>
    <w:rsid w:val="00220A1F"/>
    <w:rsid w:val="00286D90"/>
    <w:rsid w:val="00336ED3"/>
    <w:rsid w:val="004C5CCF"/>
    <w:rsid w:val="005B419B"/>
    <w:rsid w:val="007B748B"/>
    <w:rsid w:val="00815E32"/>
    <w:rsid w:val="008B4237"/>
    <w:rsid w:val="009447EC"/>
    <w:rsid w:val="00A45020"/>
    <w:rsid w:val="00B86A42"/>
    <w:rsid w:val="00BC7FB7"/>
    <w:rsid w:val="00C13FE0"/>
    <w:rsid w:val="00D20891"/>
    <w:rsid w:val="00E207AF"/>
    <w:rsid w:val="00FA2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AA9715-4FE0-4764-A377-9F513EB1E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2F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12F9"/>
    <w:rPr>
      <w:color w:val="0000FF"/>
      <w:u w:val="single"/>
    </w:rPr>
  </w:style>
  <w:style w:type="paragraph" w:styleId="Header">
    <w:name w:val="header"/>
    <w:basedOn w:val="Normal"/>
    <w:link w:val="HeaderChar"/>
    <w:uiPriority w:val="99"/>
    <w:unhideWhenUsed/>
    <w:rsid w:val="00815E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E32"/>
    <w:rPr>
      <w:lang w:val="en-US"/>
    </w:rPr>
  </w:style>
  <w:style w:type="paragraph" w:styleId="Footer">
    <w:name w:val="footer"/>
    <w:basedOn w:val="Normal"/>
    <w:link w:val="FooterChar"/>
    <w:uiPriority w:val="99"/>
    <w:unhideWhenUsed/>
    <w:rsid w:val="00815E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E32"/>
    <w:rPr>
      <w:lang w:val="en-US"/>
    </w:rPr>
  </w:style>
  <w:style w:type="paragraph" w:styleId="Bibliography">
    <w:name w:val="Bibliography"/>
    <w:basedOn w:val="Normal"/>
    <w:next w:val="Normal"/>
    <w:uiPriority w:val="37"/>
    <w:unhideWhenUsed/>
    <w:rsid w:val="00D20891"/>
    <w:pPr>
      <w:tabs>
        <w:tab w:val="left" w:pos="264"/>
      </w:tabs>
      <w:spacing w:after="0" w:line="48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rdocumentation.org/packages/statmod/versions/1.4.3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eleste.sassi@charite.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2354</Words>
  <Characters>13419</Characters>
  <Application>Microsoft Office Word</Application>
  <DocSecurity>0</DocSecurity>
  <Lines>111</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celete sassi</dc:creator>
  <cp:keywords/>
  <dc:description/>
  <cp:lastModifiedBy>celete sassi</cp:lastModifiedBy>
  <cp:revision>5</cp:revision>
  <cp:lastPrinted>2019-10-07T20:13:00Z</cp:lastPrinted>
  <dcterms:created xsi:type="dcterms:W3CDTF">2019-10-12T15:18:00Z</dcterms:created>
  <dcterms:modified xsi:type="dcterms:W3CDTF">2019-10-23T06:02:00Z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zotero-version="5.0.76"&gt;&lt;session id="GX2eQ4P4"/&gt;&lt;style id="http://www.zotero.org/styles/nature" hasBibliography="1" bibliographyStyleHasBeenSet="1"/&gt;&lt;prefs&gt;&lt;pref name="fieldType" value="Field"/&gt;&lt;/prefs&gt;&lt;/data&gt;</vt:lpwstr>
  </property>
</Properties>
</file>