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AD" w:rsidRDefault="00D830AD" w:rsidP="00D830AD">
      <w:pPr>
        <w:spacing w:after="0" w:line="240" w:lineRule="auto"/>
        <w:rPr>
          <w:b/>
          <w:sz w:val="20"/>
        </w:rPr>
      </w:pPr>
      <w:r>
        <w:rPr>
          <w:b/>
          <w:sz w:val="20"/>
        </w:rPr>
        <w:t>Supplementary Data</w:t>
      </w:r>
    </w:p>
    <w:p w:rsidR="00D830AD" w:rsidRDefault="00D830AD" w:rsidP="00D830AD">
      <w:pPr>
        <w:spacing w:after="0" w:line="240" w:lineRule="auto"/>
        <w:rPr>
          <w:b/>
          <w:sz w:val="20"/>
        </w:rPr>
      </w:pPr>
    </w:p>
    <w:p w:rsidR="008E19A3" w:rsidRDefault="008E19A3" w:rsidP="00D830AD">
      <w:pPr>
        <w:spacing w:after="0" w:line="240" w:lineRule="auto"/>
        <w:rPr>
          <w:sz w:val="20"/>
          <w:szCs w:val="20"/>
        </w:rPr>
      </w:pPr>
    </w:p>
    <w:p w:rsidR="008E19A3" w:rsidRDefault="008E19A3" w:rsidP="00D830A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Supplementary Figure </w:t>
      </w:r>
      <w:r w:rsidR="005A2CBF">
        <w:rPr>
          <w:b/>
          <w:sz w:val="20"/>
          <w:szCs w:val="20"/>
        </w:rPr>
        <w:t>1</w:t>
      </w:r>
      <w:r w:rsidRPr="00332E99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="00400757">
        <w:rPr>
          <w:b/>
          <w:sz w:val="20"/>
          <w:szCs w:val="20"/>
        </w:rPr>
        <w:t>EGFP expression in</w:t>
      </w:r>
      <w:r w:rsidR="00136166">
        <w:rPr>
          <w:b/>
          <w:sz w:val="20"/>
          <w:szCs w:val="20"/>
        </w:rPr>
        <w:t>dicates NF-</w:t>
      </w:r>
      <w:proofErr w:type="spellStart"/>
      <w:r w:rsidR="00136166">
        <w:rPr>
          <w:b/>
          <w:sz w:val="20"/>
          <w:szCs w:val="20"/>
        </w:rPr>
        <w:t>κB</w:t>
      </w:r>
      <w:proofErr w:type="spellEnd"/>
      <w:r w:rsidR="00136166">
        <w:rPr>
          <w:b/>
          <w:sz w:val="20"/>
          <w:szCs w:val="20"/>
        </w:rPr>
        <w:t xml:space="preserve"> activation in</w:t>
      </w:r>
      <w:r w:rsidR="00400757">
        <w:rPr>
          <w:b/>
          <w:sz w:val="20"/>
          <w:szCs w:val="20"/>
        </w:rPr>
        <w:t xml:space="preserve"> microglia, blood vessels and scarce astrocytes</w:t>
      </w:r>
      <w:r w:rsidR="00136166">
        <w:rPr>
          <w:b/>
          <w:sz w:val="20"/>
          <w:szCs w:val="20"/>
        </w:rPr>
        <w:t xml:space="preserve"> in addition to </w:t>
      </w:r>
      <w:proofErr w:type="spellStart"/>
      <w:r w:rsidR="00136166">
        <w:rPr>
          <w:b/>
          <w:sz w:val="20"/>
          <w:szCs w:val="20"/>
        </w:rPr>
        <w:t>tanycytes</w:t>
      </w:r>
      <w:proofErr w:type="spellEnd"/>
      <w:r w:rsidR="00400757">
        <w:rPr>
          <w:b/>
          <w:sz w:val="20"/>
          <w:szCs w:val="20"/>
        </w:rPr>
        <w:t xml:space="preserve">. </w:t>
      </w:r>
    </w:p>
    <w:p w:rsidR="008E19A3" w:rsidRPr="00332E99" w:rsidRDefault="004E7D66" w:rsidP="008E19A3">
      <w:pPr>
        <w:spacing w:after="0" w:line="240" w:lineRule="auto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Coronal sections of the </w:t>
      </w:r>
      <w:proofErr w:type="spellStart"/>
      <w:r w:rsidR="008E19A3">
        <w:rPr>
          <w:rFonts w:cs="Arial"/>
          <w:sz w:val="20"/>
          <w:szCs w:val="20"/>
        </w:rPr>
        <w:t>mediobasal</w:t>
      </w:r>
      <w:proofErr w:type="spellEnd"/>
      <w:r w:rsidR="008E19A3">
        <w:rPr>
          <w:rFonts w:cs="Arial"/>
          <w:sz w:val="20"/>
          <w:szCs w:val="20"/>
        </w:rPr>
        <w:t xml:space="preserve"> hypothalamus</w:t>
      </w:r>
      <w:r w:rsidR="008E19A3" w:rsidRPr="00332E99">
        <w:rPr>
          <w:sz w:val="20"/>
          <w:szCs w:val="20"/>
        </w:rPr>
        <w:t xml:space="preserve"> of κ-EGFP reporter mice </w:t>
      </w:r>
      <w:r>
        <w:rPr>
          <w:sz w:val="20"/>
          <w:szCs w:val="20"/>
        </w:rPr>
        <w:t xml:space="preserve">were investigated </w:t>
      </w:r>
      <w:r w:rsidR="008E19A3" w:rsidRPr="00332E99">
        <w:rPr>
          <w:sz w:val="20"/>
          <w:szCs w:val="20"/>
        </w:rPr>
        <w:t xml:space="preserve">8 h after </w:t>
      </w:r>
      <w:r>
        <w:rPr>
          <w:sz w:val="20"/>
          <w:szCs w:val="20"/>
        </w:rPr>
        <w:t xml:space="preserve">mice received </w:t>
      </w:r>
      <w:r w:rsidR="008E19A3" w:rsidRPr="00332E99">
        <w:rPr>
          <w:sz w:val="20"/>
          <w:szCs w:val="20"/>
        </w:rPr>
        <w:t xml:space="preserve">IL-1β (20 µg/kg, </w:t>
      </w:r>
      <w:proofErr w:type="spellStart"/>
      <w:r w:rsidR="008E19A3" w:rsidRPr="00332E99">
        <w:rPr>
          <w:sz w:val="20"/>
          <w:szCs w:val="20"/>
        </w:rPr>
        <w:t>i.v.</w:t>
      </w:r>
      <w:proofErr w:type="spellEnd"/>
      <w:r w:rsidR="008E19A3" w:rsidRPr="00332E99">
        <w:rPr>
          <w:sz w:val="20"/>
          <w:szCs w:val="20"/>
        </w:rPr>
        <w:t>)</w:t>
      </w:r>
      <w:r>
        <w:rPr>
          <w:sz w:val="20"/>
          <w:szCs w:val="20"/>
        </w:rPr>
        <w:t>.</w:t>
      </w:r>
      <w:r w:rsidR="008E19A3" w:rsidRPr="00332E99">
        <w:rPr>
          <w:sz w:val="20"/>
          <w:szCs w:val="20"/>
        </w:rPr>
        <w:t xml:space="preserve"> </w:t>
      </w:r>
      <w:r w:rsidRPr="00332E99">
        <w:rPr>
          <w:sz w:val="20"/>
          <w:szCs w:val="20"/>
        </w:rPr>
        <w:t xml:space="preserve">Representative </w:t>
      </w:r>
      <w:proofErr w:type="gramStart"/>
      <w:r w:rsidRPr="00332E99">
        <w:rPr>
          <w:sz w:val="20"/>
          <w:szCs w:val="20"/>
        </w:rPr>
        <w:t>immun</w:t>
      </w:r>
      <w:r>
        <w:rPr>
          <w:sz w:val="20"/>
          <w:szCs w:val="20"/>
        </w:rPr>
        <w:t>o</w:t>
      </w:r>
      <w:r>
        <w:rPr>
          <w:sz w:val="20"/>
          <w:szCs w:val="20"/>
        </w:rPr>
        <w:t>staining</w:t>
      </w:r>
      <w:r>
        <w:rPr>
          <w:sz w:val="20"/>
          <w:szCs w:val="20"/>
        </w:rPr>
        <w:t>s</w:t>
      </w:r>
      <w:proofErr w:type="gramEnd"/>
      <w:r w:rsidRPr="00332E99">
        <w:rPr>
          <w:sz w:val="20"/>
          <w:szCs w:val="20"/>
        </w:rPr>
        <w:t xml:space="preserve"> of </w:t>
      </w:r>
      <w:r>
        <w:rPr>
          <w:sz w:val="20"/>
          <w:szCs w:val="20"/>
        </w:rPr>
        <w:t xml:space="preserve">EGFP </w:t>
      </w:r>
      <w:r w:rsidR="00136166">
        <w:rPr>
          <w:sz w:val="20"/>
          <w:szCs w:val="20"/>
        </w:rPr>
        <w:t xml:space="preserve">(green, A-C) </w:t>
      </w:r>
      <w:r>
        <w:rPr>
          <w:sz w:val="20"/>
          <w:szCs w:val="20"/>
        </w:rPr>
        <w:t xml:space="preserve">and </w:t>
      </w:r>
      <w:r w:rsidRPr="00332E99">
        <w:rPr>
          <w:rFonts w:cs="Arial"/>
          <w:sz w:val="20"/>
          <w:szCs w:val="20"/>
        </w:rPr>
        <w:t xml:space="preserve">the </w:t>
      </w:r>
      <w:r>
        <w:rPr>
          <w:rFonts w:cs="Arial"/>
          <w:sz w:val="20"/>
          <w:szCs w:val="20"/>
        </w:rPr>
        <w:t xml:space="preserve">microglia/macrophage marker </w:t>
      </w:r>
      <w:r w:rsidR="00CC37E9">
        <w:rPr>
          <w:sz w:val="20"/>
          <w:szCs w:val="20"/>
        </w:rPr>
        <w:t>Iba1</w:t>
      </w:r>
      <w:r w:rsidR="008E19A3" w:rsidRPr="00332E99">
        <w:rPr>
          <w:sz w:val="20"/>
          <w:szCs w:val="20"/>
        </w:rPr>
        <w:t xml:space="preserve"> (</w:t>
      </w:r>
      <w:r w:rsidR="00CC37E9">
        <w:rPr>
          <w:sz w:val="20"/>
          <w:szCs w:val="20"/>
        </w:rPr>
        <w:t>red</w:t>
      </w:r>
      <w:r w:rsidR="008E19A3" w:rsidRPr="00332E99">
        <w:rPr>
          <w:sz w:val="20"/>
          <w:szCs w:val="20"/>
        </w:rPr>
        <w:t xml:space="preserve">, A), </w:t>
      </w:r>
      <w:r>
        <w:rPr>
          <w:sz w:val="20"/>
          <w:szCs w:val="20"/>
        </w:rPr>
        <w:t>the vessel marker c</w:t>
      </w:r>
      <w:r w:rsidR="00CC37E9">
        <w:rPr>
          <w:sz w:val="20"/>
          <w:szCs w:val="20"/>
        </w:rPr>
        <w:t>ollagen IV</w:t>
      </w:r>
      <w:r w:rsidR="008E19A3" w:rsidRPr="00332E99">
        <w:rPr>
          <w:sz w:val="20"/>
          <w:szCs w:val="20"/>
        </w:rPr>
        <w:t xml:space="preserve"> (red, B)</w:t>
      </w:r>
      <w:r w:rsidR="00CC37E9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="008E19A3" w:rsidRPr="00332E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astrocyte marker </w:t>
      </w:r>
      <w:r w:rsidR="008E19A3" w:rsidRPr="00332E99">
        <w:rPr>
          <w:sz w:val="20"/>
          <w:szCs w:val="20"/>
        </w:rPr>
        <w:t>GF</w:t>
      </w:r>
      <w:r w:rsidR="00CC37E9">
        <w:rPr>
          <w:sz w:val="20"/>
          <w:szCs w:val="20"/>
        </w:rPr>
        <w:t>A</w:t>
      </w:r>
      <w:r w:rsidR="008E19A3" w:rsidRPr="00332E99">
        <w:rPr>
          <w:sz w:val="20"/>
          <w:szCs w:val="20"/>
        </w:rPr>
        <w:t>P (</w:t>
      </w:r>
      <w:r w:rsidR="00CC37E9">
        <w:rPr>
          <w:sz w:val="20"/>
          <w:szCs w:val="20"/>
        </w:rPr>
        <w:t>red</w:t>
      </w:r>
      <w:r w:rsidR="008E19A3" w:rsidRPr="00332E99">
        <w:rPr>
          <w:sz w:val="20"/>
          <w:szCs w:val="20"/>
        </w:rPr>
        <w:t xml:space="preserve">, C) </w:t>
      </w:r>
      <w:r>
        <w:rPr>
          <w:sz w:val="20"/>
          <w:szCs w:val="20"/>
        </w:rPr>
        <w:t xml:space="preserve">are shown. Nuclei </w:t>
      </w:r>
      <w:r w:rsidR="003F6D4E">
        <w:rPr>
          <w:sz w:val="20"/>
          <w:szCs w:val="20"/>
        </w:rPr>
        <w:t>were</w:t>
      </w:r>
      <w:r>
        <w:rPr>
          <w:sz w:val="20"/>
          <w:szCs w:val="20"/>
        </w:rPr>
        <w:t xml:space="preserve"> stained by </w:t>
      </w:r>
      <w:proofErr w:type="spellStart"/>
      <w:r w:rsidR="008E19A3" w:rsidRPr="00332E99">
        <w:rPr>
          <w:sz w:val="20"/>
          <w:szCs w:val="20"/>
        </w:rPr>
        <w:t>Dapi</w:t>
      </w:r>
      <w:proofErr w:type="spellEnd"/>
      <w:r w:rsidR="008E19A3" w:rsidRPr="00332E99">
        <w:rPr>
          <w:sz w:val="20"/>
          <w:szCs w:val="20"/>
        </w:rPr>
        <w:t xml:space="preserve"> (blue</w:t>
      </w:r>
      <w:r w:rsidR="008E19A3">
        <w:rPr>
          <w:sz w:val="20"/>
          <w:szCs w:val="20"/>
        </w:rPr>
        <w:t>, A-C</w:t>
      </w:r>
      <w:r w:rsidR="008E19A3" w:rsidRPr="00332E99">
        <w:rPr>
          <w:sz w:val="20"/>
          <w:szCs w:val="20"/>
        </w:rPr>
        <w:t xml:space="preserve">). </w:t>
      </w:r>
      <w:r w:rsidR="00400757">
        <w:rPr>
          <w:sz w:val="20"/>
          <w:szCs w:val="20"/>
        </w:rPr>
        <w:t>Magnified areas are boxed in blue or yellow</w:t>
      </w:r>
      <w:r w:rsidR="00CC37E9">
        <w:rPr>
          <w:sz w:val="20"/>
          <w:szCs w:val="20"/>
        </w:rPr>
        <w:t xml:space="preserve">. </w:t>
      </w:r>
      <w:r w:rsidR="00136166">
        <w:rPr>
          <w:sz w:val="20"/>
          <w:szCs w:val="20"/>
        </w:rPr>
        <w:t xml:space="preserve">Arrowheads, </w:t>
      </w:r>
      <w:proofErr w:type="spellStart"/>
      <w:r w:rsidR="00136166">
        <w:rPr>
          <w:sz w:val="20"/>
          <w:szCs w:val="20"/>
        </w:rPr>
        <w:t>c</w:t>
      </w:r>
      <w:r w:rsidR="00CC37E9" w:rsidRPr="00332E99">
        <w:rPr>
          <w:sz w:val="20"/>
          <w:szCs w:val="20"/>
        </w:rPr>
        <w:t>olocalization</w:t>
      </w:r>
      <w:proofErr w:type="spellEnd"/>
      <w:r w:rsidR="008E19A3">
        <w:rPr>
          <w:sz w:val="20"/>
          <w:szCs w:val="20"/>
        </w:rPr>
        <w:t xml:space="preserve"> of the </w:t>
      </w:r>
      <w:proofErr w:type="spellStart"/>
      <w:r w:rsidR="008E19A3">
        <w:rPr>
          <w:sz w:val="20"/>
          <w:szCs w:val="20"/>
        </w:rPr>
        <w:t>stainings</w:t>
      </w:r>
      <w:proofErr w:type="spellEnd"/>
      <w:r w:rsidR="008E19A3" w:rsidRPr="00332E99">
        <w:rPr>
          <w:sz w:val="20"/>
          <w:szCs w:val="20"/>
        </w:rPr>
        <w:t>. Scale bar</w:t>
      </w:r>
      <w:r w:rsidR="00400757">
        <w:rPr>
          <w:sz w:val="20"/>
          <w:szCs w:val="20"/>
        </w:rPr>
        <w:t>,</w:t>
      </w:r>
      <w:r w:rsidR="008E19A3" w:rsidRPr="00332E99">
        <w:rPr>
          <w:sz w:val="20"/>
          <w:szCs w:val="20"/>
        </w:rPr>
        <w:t xml:space="preserve"> 100</w:t>
      </w:r>
      <w:r w:rsidR="00400757">
        <w:rPr>
          <w:sz w:val="20"/>
          <w:szCs w:val="20"/>
        </w:rPr>
        <w:t xml:space="preserve"> </w:t>
      </w:r>
      <w:r w:rsidR="008E19A3" w:rsidRPr="00332E99">
        <w:rPr>
          <w:sz w:val="20"/>
          <w:szCs w:val="20"/>
        </w:rPr>
        <w:t>µm</w:t>
      </w:r>
      <w:r w:rsidR="00CC37E9">
        <w:rPr>
          <w:sz w:val="20"/>
          <w:szCs w:val="20"/>
        </w:rPr>
        <w:t>; 20</w:t>
      </w:r>
      <w:r w:rsidR="00400757">
        <w:rPr>
          <w:sz w:val="20"/>
          <w:szCs w:val="20"/>
        </w:rPr>
        <w:t xml:space="preserve"> </w:t>
      </w:r>
      <w:r w:rsidR="00CC37E9">
        <w:rPr>
          <w:sz w:val="20"/>
          <w:szCs w:val="20"/>
        </w:rPr>
        <w:t xml:space="preserve">µm </w:t>
      </w:r>
      <w:r w:rsidR="00400757">
        <w:rPr>
          <w:sz w:val="20"/>
          <w:szCs w:val="20"/>
        </w:rPr>
        <w:t>(</w:t>
      </w:r>
      <w:r w:rsidR="00CC37E9">
        <w:rPr>
          <w:sz w:val="20"/>
          <w:szCs w:val="20"/>
        </w:rPr>
        <w:t xml:space="preserve">in </w:t>
      </w:r>
      <w:r w:rsidR="00400757">
        <w:rPr>
          <w:sz w:val="20"/>
          <w:szCs w:val="20"/>
        </w:rPr>
        <w:t>magnified fields)</w:t>
      </w:r>
      <w:r w:rsidR="008E19A3" w:rsidRPr="00332E99">
        <w:rPr>
          <w:sz w:val="20"/>
          <w:szCs w:val="20"/>
        </w:rPr>
        <w:t xml:space="preserve">.  </w:t>
      </w:r>
    </w:p>
    <w:p w:rsidR="00D830AD" w:rsidRPr="00332E99" w:rsidRDefault="00D830AD" w:rsidP="00D830AD">
      <w:pPr>
        <w:spacing w:after="0" w:line="240" w:lineRule="auto"/>
        <w:rPr>
          <w:b/>
          <w:sz w:val="20"/>
          <w:szCs w:val="20"/>
        </w:rPr>
      </w:pPr>
    </w:p>
    <w:p w:rsidR="00D830AD" w:rsidRPr="00332E99" w:rsidRDefault="00383280" w:rsidP="00D830AD">
      <w:pPr>
        <w:spacing w:after="0" w:line="240" w:lineRule="auto"/>
        <w:rPr>
          <w:b/>
          <w:sz w:val="20"/>
          <w:szCs w:val="20"/>
        </w:rPr>
      </w:pPr>
      <w:r w:rsidRPr="00332E99">
        <w:rPr>
          <w:b/>
          <w:sz w:val="20"/>
          <w:szCs w:val="20"/>
        </w:rPr>
        <w:t>Supplementary</w:t>
      </w:r>
      <w:r w:rsidR="00D830AD" w:rsidRPr="00332E99">
        <w:rPr>
          <w:b/>
          <w:sz w:val="20"/>
          <w:szCs w:val="20"/>
        </w:rPr>
        <w:t xml:space="preserve"> </w:t>
      </w:r>
      <w:r w:rsidR="009440C8" w:rsidRPr="00332E99">
        <w:rPr>
          <w:b/>
          <w:sz w:val="20"/>
          <w:szCs w:val="20"/>
        </w:rPr>
        <w:t xml:space="preserve">Figure </w:t>
      </w:r>
      <w:r w:rsidR="005A2CBF">
        <w:rPr>
          <w:b/>
          <w:sz w:val="20"/>
          <w:szCs w:val="20"/>
        </w:rPr>
        <w:t>2</w:t>
      </w:r>
      <w:r w:rsidRPr="00332E99">
        <w:rPr>
          <w:b/>
          <w:sz w:val="20"/>
          <w:szCs w:val="20"/>
        </w:rPr>
        <w:t>:</w:t>
      </w:r>
      <w:r w:rsidR="00D830AD" w:rsidRPr="00332E99">
        <w:rPr>
          <w:b/>
          <w:sz w:val="20"/>
          <w:szCs w:val="20"/>
        </w:rPr>
        <w:t xml:space="preserve"> Characterization of FACS-sorted cells</w:t>
      </w:r>
    </w:p>
    <w:p w:rsidR="00D830AD" w:rsidRPr="00332E99" w:rsidRDefault="00D830AD" w:rsidP="001B5EFF">
      <w:pPr>
        <w:spacing w:after="0" w:line="240" w:lineRule="auto"/>
        <w:rPr>
          <w:rFonts w:cs="AdvTTa9c1b374"/>
          <w:b/>
          <w:sz w:val="20"/>
          <w:szCs w:val="20"/>
        </w:rPr>
      </w:pPr>
      <w:proofErr w:type="gramStart"/>
      <w:r w:rsidRPr="00332E99">
        <w:rPr>
          <w:sz w:val="20"/>
          <w:szCs w:val="20"/>
        </w:rPr>
        <w:t>mRNA</w:t>
      </w:r>
      <w:proofErr w:type="gramEnd"/>
      <w:r w:rsidRPr="00332E99">
        <w:rPr>
          <w:sz w:val="20"/>
          <w:szCs w:val="20"/>
        </w:rPr>
        <w:t xml:space="preserve"> expression of </w:t>
      </w:r>
      <w:proofErr w:type="spellStart"/>
      <w:r w:rsidRPr="00332E99">
        <w:rPr>
          <w:sz w:val="20"/>
          <w:szCs w:val="20"/>
        </w:rPr>
        <w:t>tanycyte</w:t>
      </w:r>
      <w:proofErr w:type="spellEnd"/>
      <w:r w:rsidRPr="00332E99">
        <w:rPr>
          <w:sz w:val="20"/>
          <w:szCs w:val="20"/>
        </w:rPr>
        <w:t xml:space="preserve"> maker genes in FACS-sorted </w:t>
      </w:r>
      <w:proofErr w:type="spellStart"/>
      <w:r w:rsidRPr="00332E99">
        <w:rPr>
          <w:sz w:val="20"/>
          <w:szCs w:val="20"/>
        </w:rPr>
        <w:t>tanycytes</w:t>
      </w:r>
      <w:proofErr w:type="spellEnd"/>
      <w:r w:rsidRPr="00332E99">
        <w:rPr>
          <w:sz w:val="20"/>
          <w:szCs w:val="20"/>
        </w:rPr>
        <w:t xml:space="preserve"> (</w:t>
      </w:r>
      <w:proofErr w:type="spellStart"/>
      <w:r w:rsidRPr="00332E99">
        <w:rPr>
          <w:sz w:val="20"/>
          <w:szCs w:val="20"/>
        </w:rPr>
        <w:t>tdTomato</w:t>
      </w:r>
      <w:proofErr w:type="spellEnd"/>
      <w:r w:rsidRPr="00332E99">
        <w:rPr>
          <w:sz w:val="20"/>
          <w:szCs w:val="20"/>
        </w:rPr>
        <w:t xml:space="preserve"> positive, red) and non-</w:t>
      </w:r>
      <w:proofErr w:type="spellStart"/>
      <w:r w:rsidRPr="00332E99">
        <w:rPr>
          <w:sz w:val="20"/>
          <w:szCs w:val="20"/>
        </w:rPr>
        <w:t>tanycytic</w:t>
      </w:r>
      <w:proofErr w:type="spellEnd"/>
      <w:r w:rsidRPr="00332E99">
        <w:rPr>
          <w:sz w:val="20"/>
          <w:szCs w:val="20"/>
        </w:rPr>
        <w:t xml:space="preserve"> cells (</w:t>
      </w:r>
      <w:proofErr w:type="spellStart"/>
      <w:r w:rsidRPr="00332E99">
        <w:rPr>
          <w:sz w:val="20"/>
          <w:szCs w:val="20"/>
        </w:rPr>
        <w:t>tdTomato</w:t>
      </w:r>
      <w:proofErr w:type="spellEnd"/>
      <w:r w:rsidRPr="00332E99">
        <w:rPr>
          <w:sz w:val="20"/>
          <w:szCs w:val="20"/>
        </w:rPr>
        <w:t xml:space="preserve"> negative, gray) of the MBH in mice demonstrated the specificity of FACS sorting. </w:t>
      </w:r>
    </w:p>
    <w:p w:rsidR="005A2CBF" w:rsidRDefault="005A2CBF" w:rsidP="005A2CBF">
      <w:pPr>
        <w:spacing w:after="0" w:line="240" w:lineRule="auto"/>
        <w:rPr>
          <w:b/>
          <w:sz w:val="20"/>
        </w:rPr>
      </w:pPr>
    </w:p>
    <w:p w:rsidR="005A2CBF" w:rsidRDefault="005A2CBF" w:rsidP="005A2CBF">
      <w:pPr>
        <w:spacing w:after="0" w:line="240" w:lineRule="auto"/>
        <w:rPr>
          <w:b/>
          <w:sz w:val="20"/>
        </w:rPr>
      </w:pPr>
      <w:r>
        <w:rPr>
          <w:b/>
          <w:sz w:val="20"/>
        </w:rPr>
        <w:t xml:space="preserve">Supplementary Figure 3: </w:t>
      </w:r>
      <w:r w:rsidR="002C71B8">
        <w:rPr>
          <w:b/>
          <w:sz w:val="20"/>
        </w:rPr>
        <w:t>Cell-s</w:t>
      </w:r>
      <w:r>
        <w:rPr>
          <w:b/>
          <w:sz w:val="20"/>
        </w:rPr>
        <w:t>pecific</w:t>
      </w:r>
      <w:r w:rsidR="0001610C">
        <w:rPr>
          <w:b/>
          <w:sz w:val="20"/>
        </w:rPr>
        <w:t xml:space="preserve"> recombination in</w:t>
      </w:r>
      <w:r>
        <w:rPr>
          <w:b/>
          <w:sz w:val="20"/>
        </w:rPr>
        <w:t xml:space="preserve"> </w:t>
      </w:r>
      <w:r w:rsidRPr="0001610C">
        <w:rPr>
          <w:b/>
          <w:i/>
          <w:sz w:val="20"/>
        </w:rPr>
        <w:t>GlastCreER</w:t>
      </w:r>
      <w:r w:rsidRPr="0001610C">
        <w:rPr>
          <w:b/>
          <w:sz w:val="20"/>
          <w:vertAlign w:val="superscript"/>
        </w:rPr>
        <w:t>T2</w:t>
      </w:r>
      <w:r>
        <w:rPr>
          <w:b/>
          <w:sz w:val="20"/>
        </w:rPr>
        <w:t xml:space="preserve"> mice</w:t>
      </w:r>
    </w:p>
    <w:p w:rsidR="005A2CBF" w:rsidRDefault="005A2CBF" w:rsidP="005A2CBF">
      <w:pPr>
        <w:spacing w:after="0" w:line="240" w:lineRule="auto"/>
        <w:rPr>
          <w:sz w:val="20"/>
          <w:szCs w:val="20"/>
        </w:rPr>
      </w:pPr>
      <w:r w:rsidRPr="00332E99">
        <w:rPr>
          <w:sz w:val="20"/>
          <w:szCs w:val="20"/>
        </w:rPr>
        <w:t xml:space="preserve">Immunostaining of </w:t>
      </w:r>
      <w:r>
        <w:rPr>
          <w:sz w:val="20"/>
          <w:szCs w:val="20"/>
        </w:rPr>
        <w:t>PFA</w:t>
      </w:r>
      <w:r w:rsidR="003F6D4E">
        <w:rPr>
          <w:sz w:val="20"/>
          <w:szCs w:val="20"/>
        </w:rPr>
        <w:t>-</w:t>
      </w:r>
      <w:r>
        <w:rPr>
          <w:sz w:val="20"/>
          <w:szCs w:val="20"/>
        </w:rPr>
        <w:t>fix</w:t>
      </w:r>
      <w:r w:rsidR="0001610C">
        <w:rPr>
          <w:sz w:val="20"/>
          <w:szCs w:val="20"/>
        </w:rPr>
        <w:t>e</w:t>
      </w:r>
      <w:r>
        <w:rPr>
          <w:sz w:val="20"/>
          <w:szCs w:val="20"/>
        </w:rPr>
        <w:t>d</w:t>
      </w:r>
      <w:r w:rsidRPr="00332E99">
        <w:rPr>
          <w:sz w:val="20"/>
          <w:szCs w:val="20"/>
        </w:rPr>
        <w:t xml:space="preserve"> brain </w:t>
      </w:r>
      <w:r w:rsidR="0001610C">
        <w:rPr>
          <w:sz w:val="20"/>
          <w:szCs w:val="20"/>
        </w:rPr>
        <w:t>sections</w:t>
      </w:r>
      <w:r>
        <w:rPr>
          <w:sz w:val="20"/>
          <w:szCs w:val="20"/>
        </w:rPr>
        <w:t xml:space="preserve"> (50</w:t>
      </w:r>
      <w:r w:rsidR="0001610C">
        <w:rPr>
          <w:sz w:val="20"/>
          <w:szCs w:val="20"/>
        </w:rPr>
        <w:t xml:space="preserve"> </w:t>
      </w:r>
      <w:r>
        <w:rPr>
          <w:sz w:val="20"/>
          <w:szCs w:val="20"/>
        </w:rPr>
        <w:t>µm)</w:t>
      </w:r>
      <w:r w:rsidRPr="00332E99">
        <w:rPr>
          <w:sz w:val="20"/>
          <w:szCs w:val="20"/>
        </w:rPr>
        <w:t xml:space="preserve"> from </w:t>
      </w:r>
      <w:r w:rsidRPr="00332E99">
        <w:rPr>
          <w:i/>
          <w:sz w:val="20"/>
          <w:szCs w:val="20"/>
        </w:rPr>
        <w:t>GlastCreER</w:t>
      </w:r>
      <w:r w:rsidRPr="00332E99">
        <w:rPr>
          <w:i/>
          <w:sz w:val="20"/>
          <w:szCs w:val="20"/>
          <w:vertAlign w:val="superscript"/>
        </w:rPr>
        <w:t>T2</w:t>
      </w:r>
      <w:r w:rsidRPr="00332E99">
        <w:rPr>
          <w:sz w:val="20"/>
          <w:szCs w:val="20"/>
        </w:rPr>
        <w:t>::Ai14 mice</w:t>
      </w:r>
      <w:r>
        <w:rPr>
          <w:sz w:val="20"/>
          <w:szCs w:val="20"/>
        </w:rPr>
        <w:t xml:space="preserve"> two</w:t>
      </w:r>
      <w:r w:rsidRPr="00332E99">
        <w:rPr>
          <w:sz w:val="20"/>
          <w:szCs w:val="20"/>
        </w:rPr>
        <w:t xml:space="preserve"> weeks after tamoxifen injection. (A-C) </w:t>
      </w:r>
      <w:proofErr w:type="spellStart"/>
      <w:r>
        <w:rPr>
          <w:sz w:val="20"/>
          <w:szCs w:val="20"/>
        </w:rPr>
        <w:t>Costaining</w:t>
      </w:r>
      <w:proofErr w:type="spellEnd"/>
      <w:r>
        <w:rPr>
          <w:sz w:val="20"/>
          <w:szCs w:val="20"/>
        </w:rPr>
        <w:t xml:space="preserve"> of</w:t>
      </w:r>
      <w:r w:rsidRPr="00332E99">
        <w:rPr>
          <w:sz w:val="20"/>
          <w:szCs w:val="20"/>
        </w:rPr>
        <w:t xml:space="preserve"> </w:t>
      </w:r>
      <w:proofErr w:type="spellStart"/>
      <w:r w:rsidRPr="00332E99">
        <w:rPr>
          <w:sz w:val="20"/>
          <w:szCs w:val="20"/>
        </w:rPr>
        <w:t>tdTomato</w:t>
      </w:r>
      <w:proofErr w:type="spellEnd"/>
      <w:r w:rsidR="003F6D4E">
        <w:rPr>
          <w:sz w:val="20"/>
          <w:szCs w:val="20"/>
        </w:rPr>
        <w:t>-</w:t>
      </w:r>
      <w:r>
        <w:rPr>
          <w:sz w:val="20"/>
          <w:szCs w:val="20"/>
        </w:rPr>
        <w:t>positive cells</w:t>
      </w:r>
      <w:r w:rsidRPr="00332E99">
        <w:rPr>
          <w:sz w:val="20"/>
          <w:szCs w:val="20"/>
        </w:rPr>
        <w:t xml:space="preserve"> (red) with the microglial marker CD11b (green, A), the astrocytic marker GFAP (green, </w:t>
      </w:r>
      <w:r>
        <w:rPr>
          <w:sz w:val="20"/>
          <w:szCs w:val="20"/>
        </w:rPr>
        <w:t xml:space="preserve">B) and </w:t>
      </w:r>
      <w:r w:rsidRPr="00332E99">
        <w:rPr>
          <w:sz w:val="20"/>
          <w:szCs w:val="20"/>
        </w:rPr>
        <w:t xml:space="preserve">the neuronal marker </w:t>
      </w:r>
      <w:proofErr w:type="spellStart"/>
      <w:r w:rsidRPr="00332E99">
        <w:rPr>
          <w:sz w:val="20"/>
          <w:szCs w:val="20"/>
        </w:rPr>
        <w:t>NeuN</w:t>
      </w:r>
      <w:proofErr w:type="spellEnd"/>
      <w:r w:rsidRPr="00332E99">
        <w:rPr>
          <w:sz w:val="20"/>
          <w:szCs w:val="20"/>
        </w:rPr>
        <w:t xml:space="preserve"> (green, C) in the cortex. (D) </w:t>
      </w:r>
      <w:proofErr w:type="spellStart"/>
      <w:proofErr w:type="gramStart"/>
      <w:r w:rsidR="003F6D4E">
        <w:rPr>
          <w:sz w:val="20"/>
          <w:szCs w:val="20"/>
        </w:rPr>
        <w:t>tdTomato</w:t>
      </w:r>
      <w:proofErr w:type="spellEnd"/>
      <w:proofErr w:type="gramEnd"/>
      <w:r w:rsidR="003F6D4E">
        <w:rPr>
          <w:sz w:val="20"/>
          <w:szCs w:val="20"/>
        </w:rPr>
        <w:t xml:space="preserve"> expression indicated </w:t>
      </w:r>
      <w:proofErr w:type="spellStart"/>
      <w:r w:rsidRPr="00332E99">
        <w:rPr>
          <w:sz w:val="20"/>
          <w:szCs w:val="20"/>
        </w:rPr>
        <w:t>Cre</w:t>
      </w:r>
      <w:proofErr w:type="spellEnd"/>
      <w:r w:rsidR="003F6D4E">
        <w:rPr>
          <w:sz w:val="20"/>
          <w:szCs w:val="20"/>
        </w:rPr>
        <w:t>-mediated</w:t>
      </w:r>
      <w:r w:rsidRPr="00332E99">
        <w:rPr>
          <w:sz w:val="20"/>
          <w:szCs w:val="20"/>
        </w:rPr>
        <w:t xml:space="preserve"> recombina</w:t>
      </w:r>
      <w:r w:rsidR="003F6D4E">
        <w:rPr>
          <w:sz w:val="20"/>
          <w:szCs w:val="20"/>
        </w:rPr>
        <w:t>tion</w:t>
      </w:r>
      <w:r w:rsidRPr="00332E99">
        <w:rPr>
          <w:sz w:val="20"/>
          <w:szCs w:val="20"/>
        </w:rPr>
        <w:t xml:space="preserve"> in </w:t>
      </w:r>
      <w:r w:rsidRPr="00332E99">
        <w:rPr>
          <w:rFonts w:cs="Arial"/>
          <w:sz w:val="20"/>
          <w:szCs w:val="20"/>
        </w:rPr>
        <w:t>α</w:t>
      </w:r>
      <w:r w:rsidRPr="00332E99">
        <w:rPr>
          <w:sz w:val="20"/>
          <w:szCs w:val="20"/>
        </w:rPr>
        <w:t xml:space="preserve">- and </w:t>
      </w:r>
      <w:r w:rsidRPr="00332E99">
        <w:rPr>
          <w:rFonts w:cs="Arial"/>
          <w:sz w:val="20"/>
          <w:szCs w:val="20"/>
        </w:rPr>
        <w:t>β</w:t>
      </w:r>
      <w:r w:rsidRPr="00332E99">
        <w:rPr>
          <w:sz w:val="20"/>
          <w:szCs w:val="20"/>
        </w:rPr>
        <w:t>-tanycytes (red)</w:t>
      </w:r>
      <w:r>
        <w:rPr>
          <w:sz w:val="20"/>
          <w:szCs w:val="20"/>
        </w:rPr>
        <w:t>,</w:t>
      </w:r>
      <w:r w:rsidRPr="00332E99">
        <w:rPr>
          <w:sz w:val="20"/>
          <w:szCs w:val="20"/>
        </w:rPr>
        <w:t xml:space="preserve"> which have close contact</w:t>
      </w:r>
      <w:r w:rsidR="003F6D4E">
        <w:rPr>
          <w:sz w:val="20"/>
          <w:szCs w:val="20"/>
        </w:rPr>
        <w:t>s</w:t>
      </w:r>
      <w:r w:rsidRPr="00332E99">
        <w:rPr>
          <w:sz w:val="20"/>
          <w:szCs w:val="20"/>
        </w:rPr>
        <w:t xml:space="preserve"> to neuronal terminals of </w:t>
      </w:r>
      <w:proofErr w:type="spellStart"/>
      <w:r w:rsidRPr="00332E99">
        <w:rPr>
          <w:sz w:val="20"/>
          <w:szCs w:val="20"/>
        </w:rPr>
        <w:t>hypohysiotropic</w:t>
      </w:r>
      <w:proofErr w:type="spellEnd"/>
      <w:r w:rsidRPr="00332E99">
        <w:rPr>
          <w:sz w:val="20"/>
          <w:szCs w:val="20"/>
        </w:rPr>
        <w:t xml:space="preserve"> neurons in the median eminence (green, </w:t>
      </w:r>
      <w:proofErr w:type="spellStart"/>
      <w:r w:rsidRPr="00332E99">
        <w:rPr>
          <w:sz w:val="20"/>
          <w:szCs w:val="20"/>
        </w:rPr>
        <w:t>ppTR</w:t>
      </w:r>
      <w:r w:rsidR="003F6D4E" w:rsidRPr="00332E99">
        <w:rPr>
          <w:sz w:val="20"/>
          <w:szCs w:val="20"/>
        </w:rPr>
        <w:t>H</w:t>
      </w:r>
      <w:proofErr w:type="spellEnd"/>
      <w:r w:rsidRPr="00332E99">
        <w:rPr>
          <w:sz w:val="20"/>
          <w:szCs w:val="20"/>
        </w:rPr>
        <w:t xml:space="preserve">). Blue, </w:t>
      </w:r>
      <w:proofErr w:type="spellStart"/>
      <w:r w:rsidRPr="00332E99">
        <w:rPr>
          <w:sz w:val="20"/>
          <w:szCs w:val="20"/>
        </w:rPr>
        <w:t>Dapi</w:t>
      </w:r>
      <w:proofErr w:type="spellEnd"/>
      <w:r w:rsidR="003F6D4E">
        <w:rPr>
          <w:sz w:val="20"/>
          <w:szCs w:val="20"/>
        </w:rPr>
        <w:t xml:space="preserve"> staining</w:t>
      </w:r>
      <w:r w:rsidRPr="00332E99">
        <w:rPr>
          <w:sz w:val="20"/>
          <w:szCs w:val="20"/>
        </w:rPr>
        <w:t>; scale bar</w:t>
      </w:r>
      <w:r w:rsidR="003F6D4E">
        <w:rPr>
          <w:sz w:val="20"/>
          <w:szCs w:val="20"/>
        </w:rPr>
        <w:t>,</w:t>
      </w:r>
      <w:r w:rsidRPr="00332E99">
        <w:rPr>
          <w:sz w:val="20"/>
          <w:szCs w:val="20"/>
        </w:rPr>
        <w:t xml:space="preserve"> 20</w:t>
      </w:r>
      <w:r w:rsidR="003F6D4E">
        <w:rPr>
          <w:sz w:val="20"/>
          <w:szCs w:val="20"/>
        </w:rPr>
        <w:t xml:space="preserve"> </w:t>
      </w:r>
      <w:r w:rsidRPr="00332E99">
        <w:rPr>
          <w:sz w:val="20"/>
          <w:szCs w:val="20"/>
        </w:rPr>
        <w:t>µm</w:t>
      </w:r>
      <w:r>
        <w:rPr>
          <w:sz w:val="20"/>
          <w:szCs w:val="20"/>
        </w:rPr>
        <w:t>.</w:t>
      </w:r>
      <w:r w:rsidRPr="00332E99">
        <w:rPr>
          <w:sz w:val="20"/>
          <w:szCs w:val="20"/>
        </w:rPr>
        <w:t xml:space="preserve">    </w:t>
      </w:r>
    </w:p>
    <w:p w:rsidR="00D830AD" w:rsidRPr="00332E99" w:rsidRDefault="00D830AD" w:rsidP="00D830AD">
      <w:pPr>
        <w:spacing w:after="0" w:line="240" w:lineRule="auto"/>
        <w:rPr>
          <w:rFonts w:cs="AdvTTa9c1b374"/>
          <w:b/>
          <w:sz w:val="20"/>
          <w:szCs w:val="20"/>
        </w:rPr>
      </w:pPr>
    </w:p>
    <w:p w:rsidR="008748E3" w:rsidRPr="00332E99" w:rsidRDefault="008E19A3" w:rsidP="00D830A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Supplementary Figure 4</w:t>
      </w:r>
      <w:r w:rsidR="008748E3" w:rsidRPr="00332E99">
        <w:rPr>
          <w:b/>
          <w:sz w:val="20"/>
          <w:szCs w:val="20"/>
        </w:rPr>
        <w:t>:</w:t>
      </w:r>
      <w:r w:rsidR="00DF3A92">
        <w:rPr>
          <w:b/>
          <w:sz w:val="20"/>
          <w:szCs w:val="20"/>
        </w:rPr>
        <w:t xml:space="preserve"> </w:t>
      </w:r>
      <w:proofErr w:type="spellStart"/>
      <w:r w:rsidR="00DF3A92">
        <w:rPr>
          <w:b/>
          <w:sz w:val="20"/>
          <w:szCs w:val="20"/>
        </w:rPr>
        <w:t>Colocalisation</w:t>
      </w:r>
      <w:proofErr w:type="spellEnd"/>
      <w:r w:rsidR="00DF3A92">
        <w:rPr>
          <w:b/>
          <w:sz w:val="20"/>
          <w:szCs w:val="20"/>
        </w:rPr>
        <w:t xml:space="preserve"> of </w:t>
      </w:r>
      <w:r w:rsidR="00DF3A92" w:rsidRPr="00DF3A92">
        <w:rPr>
          <w:b/>
          <w:sz w:val="20"/>
          <w:szCs w:val="20"/>
        </w:rPr>
        <w:t>NF-</w:t>
      </w:r>
      <w:proofErr w:type="spellStart"/>
      <w:r w:rsidR="00DF3A92" w:rsidRPr="00DF3A92">
        <w:rPr>
          <w:b/>
          <w:sz w:val="20"/>
          <w:szCs w:val="20"/>
        </w:rPr>
        <w:t>κB</w:t>
      </w:r>
      <w:proofErr w:type="spellEnd"/>
      <w:r w:rsidR="004C6D85">
        <w:rPr>
          <w:b/>
          <w:sz w:val="20"/>
          <w:szCs w:val="20"/>
        </w:rPr>
        <w:t xml:space="preserve"> activity and</w:t>
      </w:r>
      <w:r>
        <w:rPr>
          <w:b/>
          <w:sz w:val="20"/>
          <w:szCs w:val="20"/>
        </w:rPr>
        <w:t xml:space="preserve"> V</w:t>
      </w:r>
      <w:r w:rsidR="00424698">
        <w:rPr>
          <w:b/>
          <w:sz w:val="20"/>
          <w:szCs w:val="20"/>
        </w:rPr>
        <w:t>CAM</w:t>
      </w:r>
      <w:r>
        <w:rPr>
          <w:b/>
          <w:sz w:val="20"/>
          <w:szCs w:val="20"/>
        </w:rPr>
        <w:t xml:space="preserve">1 </w:t>
      </w:r>
      <w:r w:rsidR="004C6D85">
        <w:rPr>
          <w:b/>
          <w:sz w:val="20"/>
          <w:szCs w:val="20"/>
        </w:rPr>
        <w:t xml:space="preserve">expression </w:t>
      </w:r>
      <w:r w:rsidR="00DF3A92">
        <w:rPr>
          <w:b/>
          <w:sz w:val="20"/>
          <w:szCs w:val="20"/>
        </w:rPr>
        <w:t xml:space="preserve">in </w:t>
      </w:r>
      <w:proofErr w:type="spellStart"/>
      <w:r w:rsidR="004C6D85">
        <w:rPr>
          <w:b/>
          <w:sz w:val="20"/>
          <w:szCs w:val="20"/>
        </w:rPr>
        <w:t>vimentin</w:t>
      </w:r>
      <w:proofErr w:type="spellEnd"/>
      <w:r w:rsidR="004C6D85">
        <w:rPr>
          <w:b/>
          <w:sz w:val="20"/>
          <w:szCs w:val="20"/>
        </w:rPr>
        <w:t xml:space="preserve">-positive </w:t>
      </w:r>
      <w:proofErr w:type="spellStart"/>
      <w:r w:rsidR="00DF3A92">
        <w:rPr>
          <w:b/>
          <w:sz w:val="20"/>
          <w:szCs w:val="20"/>
        </w:rPr>
        <w:t>tanycytes</w:t>
      </w:r>
      <w:proofErr w:type="spellEnd"/>
    </w:p>
    <w:p w:rsidR="00332E99" w:rsidRPr="00332E99" w:rsidRDefault="00D52CAA" w:rsidP="00D830AD">
      <w:pPr>
        <w:spacing w:after="0" w:line="240" w:lineRule="auto"/>
        <w:rPr>
          <w:sz w:val="20"/>
          <w:szCs w:val="20"/>
        </w:rPr>
      </w:pPr>
      <w:r w:rsidRPr="00332E99">
        <w:rPr>
          <w:sz w:val="20"/>
          <w:szCs w:val="20"/>
        </w:rPr>
        <w:t xml:space="preserve">Representative </w:t>
      </w:r>
      <w:proofErr w:type="gramStart"/>
      <w:r w:rsidR="00332E99" w:rsidRPr="00332E99">
        <w:rPr>
          <w:sz w:val="20"/>
          <w:szCs w:val="20"/>
        </w:rPr>
        <w:t>immun</w:t>
      </w:r>
      <w:r w:rsidR="004C6D85">
        <w:rPr>
          <w:sz w:val="20"/>
          <w:szCs w:val="20"/>
        </w:rPr>
        <w:t>o</w:t>
      </w:r>
      <w:r w:rsidR="00332E99">
        <w:rPr>
          <w:sz w:val="20"/>
          <w:szCs w:val="20"/>
        </w:rPr>
        <w:t>staining</w:t>
      </w:r>
      <w:r w:rsidR="004C6D85">
        <w:rPr>
          <w:sz w:val="20"/>
          <w:szCs w:val="20"/>
        </w:rPr>
        <w:t>s</w:t>
      </w:r>
      <w:proofErr w:type="gramEnd"/>
      <w:r w:rsidRPr="00332E99">
        <w:rPr>
          <w:sz w:val="20"/>
          <w:szCs w:val="20"/>
        </w:rPr>
        <w:t xml:space="preserve"> of </w:t>
      </w:r>
      <w:r w:rsidRPr="00332E99">
        <w:rPr>
          <w:rFonts w:cs="Arial"/>
          <w:sz w:val="20"/>
          <w:szCs w:val="20"/>
        </w:rPr>
        <w:t xml:space="preserve">the </w:t>
      </w:r>
      <w:proofErr w:type="spellStart"/>
      <w:r w:rsidR="00332E99">
        <w:rPr>
          <w:rFonts w:cs="Arial"/>
          <w:sz w:val="20"/>
          <w:szCs w:val="20"/>
        </w:rPr>
        <w:t>mediobasal</w:t>
      </w:r>
      <w:proofErr w:type="spellEnd"/>
      <w:r w:rsidR="00332E99">
        <w:rPr>
          <w:rFonts w:cs="Arial"/>
          <w:sz w:val="20"/>
          <w:szCs w:val="20"/>
        </w:rPr>
        <w:t xml:space="preserve"> hypothalamus</w:t>
      </w:r>
      <w:r w:rsidRPr="00332E99">
        <w:rPr>
          <w:sz w:val="20"/>
          <w:szCs w:val="20"/>
        </w:rPr>
        <w:t xml:space="preserve"> of κ-EGFP reporter mice 8 h after </w:t>
      </w:r>
      <w:r w:rsidR="004C6D85">
        <w:rPr>
          <w:sz w:val="20"/>
          <w:szCs w:val="20"/>
        </w:rPr>
        <w:t xml:space="preserve">mice received </w:t>
      </w:r>
      <w:r w:rsidRPr="00332E99">
        <w:rPr>
          <w:sz w:val="20"/>
          <w:szCs w:val="20"/>
        </w:rPr>
        <w:t xml:space="preserve">IL-1β (20 µg/kg, </w:t>
      </w:r>
      <w:proofErr w:type="spellStart"/>
      <w:r w:rsidRPr="00332E99">
        <w:rPr>
          <w:sz w:val="20"/>
          <w:szCs w:val="20"/>
        </w:rPr>
        <w:t>i.v.</w:t>
      </w:r>
      <w:proofErr w:type="spellEnd"/>
      <w:r w:rsidRPr="00332E99">
        <w:rPr>
          <w:sz w:val="20"/>
          <w:szCs w:val="20"/>
        </w:rPr>
        <w:t>)</w:t>
      </w:r>
      <w:r w:rsidR="004C6D85">
        <w:rPr>
          <w:sz w:val="20"/>
          <w:szCs w:val="20"/>
        </w:rPr>
        <w:t>.</w:t>
      </w:r>
      <w:r w:rsidRPr="00332E99">
        <w:rPr>
          <w:sz w:val="20"/>
          <w:szCs w:val="20"/>
        </w:rPr>
        <w:t xml:space="preserve"> </w:t>
      </w:r>
      <w:proofErr w:type="spellStart"/>
      <w:r w:rsidR="004C6D85">
        <w:rPr>
          <w:sz w:val="20"/>
          <w:szCs w:val="20"/>
        </w:rPr>
        <w:t>V</w:t>
      </w:r>
      <w:r w:rsidRPr="00332E99">
        <w:rPr>
          <w:sz w:val="20"/>
          <w:szCs w:val="20"/>
        </w:rPr>
        <w:t>imentin</w:t>
      </w:r>
      <w:proofErr w:type="spellEnd"/>
      <w:r w:rsidRPr="00332E99">
        <w:rPr>
          <w:sz w:val="20"/>
          <w:szCs w:val="20"/>
        </w:rPr>
        <w:t xml:space="preserve"> (gray, A), </w:t>
      </w:r>
      <w:r w:rsidR="000E4D45" w:rsidRPr="00332E99">
        <w:rPr>
          <w:sz w:val="20"/>
          <w:szCs w:val="20"/>
        </w:rPr>
        <w:t>VCAM1</w:t>
      </w:r>
      <w:r w:rsidRPr="00332E99">
        <w:rPr>
          <w:sz w:val="20"/>
          <w:szCs w:val="20"/>
        </w:rPr>
        <w:t xml:space="preserve"> (red, B)</w:t>
      </w:r>
      <w:r w:rsidR="00332E99">
        <w:rPr>
          <w:sz w:val="20"/>
          <w:szCs w:val="20"/>
        </w:rPr>
        <w:t>,</w:t>
      </w:r>
      <w:r w:rsidRPr="00332E99">
        <w:rPr>
          <w:sz w:val="20"/>
          <w:szCs w:val="20"/>
        </w:rPr>
        <w:t xml:space="preserve"> </w:t>
      </w:r>
      <w:r w:rsidR="004C6D85">
        <w:rPr>
          <w:sz w:val="20"/>
          <w:szCs w:val="20"/>
        </w:rPr>
        <w:t>E</w:t>
      </w:r>
      <w:r w:rsidRPr="00332E99">
        <w:rPr>
          <w:sz w:val="20"/>
          <w:szCs w:val="20"/>
        </w:rPr>
        <w:t xml:space="preserve">GFP (green, C) </w:t>
      </w:r>
      <w:r w:rsidR="00332E99">
        <w:rPr>
          <w:sz w:val="20"/>
          <w:szCs w:val="20"/>
        </w:rPr>
        <w:t>and</w:t>
      </w:r>
      <w:r w:rsidRPr="00332E99">
        <w:rPr>
          <w:sz w:val="20"/>
          <w:szCs w:val="20"/>
        </w:rPr>
        <w:t xml:space="preserve"> </w:t>
      </w:r>
      <w:proofErr w:type="spellStart"/>
      <w:r w:rsidRPr="00332E99">
        <w:rPr>
          <w:sz w:val="20"/>
          <w:szCs w:val="20"/>
        </w:rPr>
        <w:t>Dapi</w:t>
      </w:r>
      <w:proofErr w:type="spellEnd"/>
      <w:r w:rsidRPr="00332E99">
        <w:rPr>
          <w:sz w:val="20"/>
          <w:szCs w:val="20"/>
        </w:rPr>
        <w:t xml:space="preserve"> (blue</w:t>
      </w:r>
      <w:r w:rsidR="00332E99">
        <w:rPr>
          <w:sz w:val="20"/>
          <w:szCs w:val="20"/>
        </w:rPr>
        <w:t>, A-C</w:t>
      </w:r>
      <w:r w:rsidRPr="00332E99">
        <w:rPr>
          <w:sz w:val="20"/>
          <w:szCs w:val="20"/>
        </w:rPr>
        <w:t xml:space="preserve">). </w:t>
      </w:r>
      <w:r w:rsidR="00332E99">
        <w:rPr>
          <w:sz w:val="20"/>
          <w:szCs w:val="20"/>
        </w:rPr>
        <w:t>I</w:t>
      </w:r>
      <w:r w:rsidR="00332E99" w:rsidRPr="00332E99">
        <w:rPr>
          <w:sz w:val="20"/>
          <w:szCs w:val="20"/>
        </w:rPr>
        <w:t xml:space="preserve">n the overlay </w:t>
      </w:r>
      <w:r w:rsidR="00332E99">
        <w:rPr>
          <w:sz w:val="20"/>
          <w:szCs w:val="20"/>
        </w:rPr>
        <w:t>(D)</w:t>
      </w:r>
      <w:r w:rsidR="004C6D85">
        <w:rPr>
          <w:sz w:val="20"/>
          <w:szCs w:val="20"/>
        </w:rPr>
        <w:t>,</w:t>
      </w:r>
      <w:r w:rsidRPr="00332E99">
        <w:rPr>
          <w:sz w:val="20"/>
          <w:szCs w:val="20"/>
        </w:rPr>
        <w:t xml:space="preserve"> </w:t>
      </w:r>
      <w:proofErr w:type="spellStart"/>
      <w:r w:rsidRPr="00332E99">
        <w:rPr>
          <w:sz w:val="20"/>
          <w:szCs w:val="20"/>
        </w:rPr>
        <w:t>co</w:t>
      </w:r>
      <w:r w:rsidR="00332E99" w:rsidRPr="00332E99">
        <w:rPr>
          <w:sz w:val="20"/>
          <w:szCs w:val="20"/>
        </w:rPr>
        <w:t>localization</w:t>
      </w:r>
      <w:proofErr w:type="spellEnd"/>
      <w:r w:rsidR="00332E99">
        <w:rPr>
          <w:sz w:val="20"/>
          <w:szCs w:val="20"/>
        </w:rPr>
        <w:t xml:space="preserve"> of </w:t>
      </w:r>
      <w:r w:rsidR="004C6D85">
        <w:rPr>
          <w:sz w:val="20"/>
          <w:szCs w:val="20"/>
        </w:rPr>
        <w:t xml:space="preserve">EGFP and VCAM1 was </w:t>
      </w:r>
      <w:bookmarkStart w:id="0" w:name="_GoBack"/>
      <w:bookmarkEnd w:id="0"/>
      <w:r w:rsidR="00332E99" w:rsidRPr="00332E99">
        <w:rPr>
          <w:sz w:val="20"/>
          <w:szCs w:val="20"/>
        </w:rPr>
        <w:t>visible</w:t>
      </w:r>
      <w:r w:rsidRPr="00332E99">
        <w:rPr>
          <w:sz w:val="20"/>
          <w:szCs w:val="20"/>
        </w:rPr>
        <w:t xml:space="preserve"> in </w:t>
      </w:r>
      <w:r w:rsidRPr="00332E99">
        <w:rPr>
          <w:rFonts w:cs="Arial"/>
          <w:sz w:val="20"/>
          <w:szCs w:val="20"/>
        </w:rPr>
        <w:t>α</w:t>
      </w:r>
      <w:r w:rsidRPr="00332E99">
        <w:rPr>
          <w:sz w:val="20"/>
          <w:szCs w:val="20"/>
        </w:rPr>
        <w:t>-</w:t>
      </w:r>
      <w:proofErr w:type="spellStart"/>
      <w:r w:rsidRPr="00332E99">
        <w:rPr>
          <w:sz w:val="20"/>
          <w:szCs w:val="20"/>
        </w:rPr>
        <w:t>tanycytes</w:t>
      </w:r>
      <w:proofErr w:type="spellEnd"/>
      <w:r w:rsidRPr="00332E99">
        <w:rPr>
          <w:sz w:val="20"/>
          <w:szCs w:val="20"/>
        </w:rPr>
        <w:t xml:space="preserve"> (</w:t>
      </w:r>
      <w:r w:rsidR="00B26DEE" w:rsidRPr="00332E99">
        <w:rPr>
          <w:sz w:val="20"/>
          <w:szCs w:val="20"/>
        </w:rPr>
        <w:t>yellow</w:t>
      </w:r>
      <w:r w:rsidRPr="00332E99">
        <w:rPr>
          <w:sz w:val="20"/>
          <w:szCs w:val="20"/>
        </w:rPr>
        <w:t>)</w:t>
      </w:r>
      <w:r w:rsidR="00332E99" w:rsidRPr="00332E99">
        <w:rPr>
          <w:sz w:val="20"/>
          <w:szCs w:val="20"/>
        </w:rPr>
        <w:t>. Scale bar</w:t>
      </w:r>
      <w:r w:rsidR="00424698">
        <w:rPr>
          <w:sz w:val="20"/>
          <w:szCs w:val="20"/>
        </w:rPr>
        <w:t>,</w:t>
      </w:r>
      <w:r w:rsidR="00332E99" w:rsidRPr="00332E99">
        <w:rPr>
          <w:sz w:val="20"/>
          <w:szCs w:val="20"/>
        </w:rPr>
        <w:t xml:space="preserve"> 100</w:t>
      </w:r>
      <w:r w:rsidR="00424698">
        <w:rPr>
          <w:sz w:val="20"/>
          <w:szCs w:val="20"/>
        </w:rPr>
        <w:t xml:space="preserve"> </w:t>
      </w:r>
      <w:r w:rsidR="00332E99" w:rsidRPr="00332E99">
        <w:rPr>
          <w:sz w:val="20"/>
          <w:szCs w:val="20"/>
        </w:rPr>
        <w:t>µm.</w:t>
      </w:r>
      <w:r w:rsidRPr="00332E99">
        <w:rPr>
          <w:sz w:val="20"/>
          <w:szCs w:val="20"/>
        </w:rPr>
        <w:t xml:space="preserve"> </w:t>
      </w:r>
      <w:r w:rsidR="000E4D45" w:rsidRPr="00332E99">
        <w:rPr>
          <w:sz w:val="20"/>
          <w:szCs w:val="20"/>
        </w:rPr>
        <w:t xml:space="preserve"> </w:t>
      </w:r>
    </w:p>
    <w:p w:rsidR="00332E99" w:rsidRPr="00332E99" w:rsidRDefault="00332E99" w:rsidP="00D830AD">
      <w:pPr>
        <w:spacing w:after="0" w:line="240" w:lineRule="auto"/>
        <w:rPr>
          <w:sz w:val="20"/>
          <w:szCs w:val="20"/>
        </w:rPr>
      </w:pPr>
    </w:p>
    <w:p w:rsidR="00D830AD" w:rsidRPr="005342FB" w:rsidRDefault="00383280" w:rsidP="00D830AD">
      <w:pPr>
        <w:spacing w:after="0" w:line="240" w:lineRule="auto"/>
        <w:rPr>
          <w:sz w:val="20"/>
          <w:szCs w:val="20"/>
        </w:rPr>
      </w:pPr>
      <w:r w:rsidRPr="00332E99">
        <w:rPr>
          <w:rFonts w:cs="AdvTTa9c1b374"/>
          <w:b/>
          <w:sz w:val="20"/>
          <w:szCs w:val="20"/>
        </w:rPr>
        <w:t>Supplementary</w:t>
      </w:r>
      <w:r w:rsidR="00D830AD" w:rsidRPr="00332E99">
        <w:rPr>
          <w:rFonts w:cs="AdvTTa9c1b374"/>
          <w:b/>
          <w:sz w:val="20"/>
          <w:szCs w:val="20"/>
        </w:rPr>
        <w:t xml:space="preserve"> Figure </w:t>
      </w:r>
      <w:r w:rsidR="008E19A3">
        <w:rPr>
          <w:rFonts w:cs="AdvTTa9c1b374"/>
          <w:b/>
          <w:sz w:val="20"/>
          <w:szCs w:val="20"/>
        </w:rPr>
        <w:t>5</w:t>
      </w:r>
      <w:r w:rsidRPr="00332E99">
        <w:rPr>
          <w:rFonts w:cs="AdvTTa9c1b374"/>
          <w:b/>
          <w:sz w:val="20"/>
          <w:szCs w:val="20"/>
        </w:rPr>
        <w:t>:</w:t>
      </w:r>
      <w:r w:rsidR="00D830AD" w:rsidRPr="00332E99">
        <w:rPr>
          <w:b/>
          <w:sz w:val="20"/>
          <w:szCs w:val="20"/>
        </w:rPr>
        <w:t xml:space="preserve"> Basal parameters of </w:t>
      </w:r>
      <w:proofErr w:type="spellStart"/>
      <w:r w:rsidR="00D830AD" w:rsidRPr="00332E99">
        <w:rPr>
          <w:b/>
          <w:i/>
          <w:sz w:val="20"/>
          <w:szCs w:val="20"/>
        </w:rPr>
        <w:t>Nemo</w:t>
      </w:r>
      <w:r w:rsidR="00D830AD" w:rsidRPr="00332E99">
        <w:rPr>
          <w:b/>
          <w:sz w:val="20"/>
          <w:szCs w:val="20"/>
          <w:vertAlign w:val="superscript"/>
        </w:rPr>
        <w:t>F</w:t>
      </w:r>
      <w:r w:rsidR="00B940CD">
        <w:rPr>
          <w:b/>
          <w:sz w:val="20"/>
          <w:szCs w:val="20"/>
          <w:vertAlign w:val="superscript"/>
        </w:rPr>
        <w:t>L</w:t>
      </w:r>
      <w:proofErr w:type="spellEnd"/>
      <w:r w:rsidR="00D830AD" w:rsidRPr="00332E99">
        <w:rPr>
          <w:b/>
          <w:sz w:val="20"/>
          <w:szCs w:val="20"/>
        </w:rPr>
        <w:t xml:space="preserve"> and </w:t>
      </w:r>
      <w:proofErr w:type="spellStart"/>
      <w:r w:rsidR="00D830AD" w:rsidRPr="00332E99">
        <w:rPr>
          <w:b/>
          <w:i/>
          <w:sz w:val="20"/>
          <w:szCs w:val="20"/>
        </w:rPr>
        <w:t>Nemo</w:t>
      </w:r>
      <w:r w:rsidR="00D830AD" w:rsidRPr="00332E99">
        <w:rPr>
          <w:b/>
          <w:sz w:val="20"/>
          <w:szCs w:val="20"/>
          <w:vertAlign w:val="superscript"/>
        </w:rPr>
        <w:t>gliaKO</w:t>
      </w:r>
      <w:proofErr w:type="spellEnd"/>
      <w:r w:rsidR="005342FB">
        <w:rPr>
          <w:b/>
          <w:sz w:val="20"/>
          <w:szCs w:val="20"/>
        </w:rPr>
        <w:t xml:space="preserve"> mice</w:t>
      </w:r>
    </w:p>
    <w:p w:rsidR="00D830AD" w:rsidRPr="00332E99" w:rsidRDefault="009440C8" w:rsidP="009440C8">
      <w:pPr>
        <w:spacing w:after="0" w:line="240" w:lineRule="auto"/>
        <w:rPr>
          <w:sz w:val="20"/>
          <w:szCs w:val="20"/>
        </w:rPr>
      </w:pPr>
      <w:r w:rsidRPr="00332E99">
        <w:rPr>
          <w:sz w:val="20"/>
          <w:szCs w:val="20"/>
        </w:rPr>
        <w:t>(A) Changes in body</w:t>
      </w:r>
      <w:r w:rsidR="00B940CD">
        <w:rPr>
          <w:sz w:val="20"/>
          <w:szCs w:val="20"/>
        </w:rPr>
        <w:t xml:space="preserve"> </w:t>
      </w:r>
      <w:r w:rsidRPr="00332E99">
        <w:rPr>
          <w:sz w:val="20"/>
          <w:szCs w:val="20"/>
        </w:rPr>
        <w:t xml:space="preserve">weight </w:t>
      </w:r>
      <w:r w:rsidR="00B940CD">
        <w:rPr>
          <w:sz w:val="20"/>
          <w:szCs w:val="20"/>
        </w:rPr>
        <w:t>of</w:t>
      </w:r>
      <w:r w:rsidRPr="00332E99">
        <w:rPr>
          <w:sz w:val="20"/>
          <w:szCs w:val="20"/>
        </w:rPr>
        <w:t xml:space="preserve"> </w:t>
      </w:r>
      <w:proofErr w:type="spellStart"/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F</w:t>
      </w:r>
      <w:r w:rsidR="00956C04">
        <w:rPr>
          <w:sz w:val="20"/>
          <w:szCs w:val="20"/>
          <w:vertAlign w:val="superscript"/>
        </w:rPr>
        <w:t>L</w:t>
      </w:r>
      <w:proofErr w:type="spellEnd"/>
      <w:r w:rsidRPr="00332E99">
        <w:rPr>
          <w:sz w:val="20"/>
          <w:szCs w:val="20"/>
        </w:rPr>
        <w:t xml:space="preserve"> controls and </w:t>
      </w:r>
      <w:proofErr w:type="spellStart"/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gliaKO</w:t>
      </w:r>
      <w:proofErr w:type="spellEnd"/>
      <w:r w:rsidRPr="00332E99">
        <w:rPr>
          <w:sz w:val="20"/>
          <w:szCs w:val="20"/>
        </w:rPr>
        <w:t xml:space="preserve"> mice under tamoxifen treatment</w:t>
      </w:r>
      <w:r w:rsidR="00A0096F">
        <w:rPr>
          <w:sz w:val="20"/>
          <w:szCs w:val="20"/>
        </w:rPr>
        <w:t xml:space="preserve"> (gray area)</w:t>
      </w:r>
      <w:r w:rsidRPr="00332E99">
        <w:rPr>
          <w:sz w:val="20"/>
          <w:szCs w:val="20"/>
        </w:rPr>
        <w:t xml:space="preserve">. </w:t>
      </w:r>
      <w:r w:rsidR="00E34DE9">
        <w:rPr>
          <w:sz w:val="20"/>
          <w:szCs w:val="20"/>
        </w:rPr>
        <w:t>(B) Body</w:t>
      </w:r>
      <w:r w:rsidR="00956C04">
        <w:rPr>
          <w:sz w:val="20"/>
          <w:szCs w:val="20"/>
        </w:rPr>
        <w:t xml:space="preserve"> </w:t>
      </w:r>
      <w:r w:rsidR="00E34DE9">
        <w:rPr>
          <w:sz w:val="20"/>
          <w:szCs w:val="20"/>
        </w:rPr>
        <w:t xml:space="preserve">weight 3 weeks after induction of the knockout </w:t>
      </w:r>
      <w:r w:rsidR="00E34DE9" w:rsidRPr="00332E99">
        <w:rPr>
          <w:sz w:val="20"/>
          <w:szCs w:val="20"/>
        </w:rPr>
        <w:t xml:space="preserve">in </w:t>
      </w:r>
      <w:proofErr w:type="spellStart"/>
      <w:r w:rsidR="00E34DE9" w:rsidRPr="00332E99">
        <w:rPr>
          <w:i/>
          <w:sz w:val="20"/>
          <w:szCs w:val="20"/>
        </w:rPr>
        <w:t>Nemo</w:t>
      </w:r>
      <w:r w:rsidR="00E34DE9" w:rsidRPr="00332E99">
        <w:rPr>
          <w:sz w:val="20"/>
          <w:szCs w:val="20"/>
          <w:vertAlign w:val="superscript"/>
        </w:rPr>
        <w:t>F</w:t>
      </w:r>
      <w:r w:rsidR="00956C04">
        <w:rPr>
          <w:sz w:val="20"/>
          <w:szCs w:val="20"/>
          <w:vertAlign w:val="superscript"/>
        </w:rPr>
        <w:t>L</w:t>
      </w:r>
      <w:proofErr w:type="spellEnd"/>
      <w:r w:rsidR="00E34DE9" w:rsidRPr="00332E99">
        <w:rPr>
          <w:sz w:val="20"/>
          <w:szCs w:val="20"/>
        </w:rPr>
        <w:t xml:space="preserve"> controls and </w:t>
      </w:r>
      <w:proofErr w:type="spellStart"/>
      <w:r w:rsidR="00E34DE9" w:rsidRPr="00332E99">
        <w:rPr>
          <w:i/>
          <w:sz w:val="20"/>
          <w:szCs w:val="20"/>
        </w:rPr>
        <w:t>Nemo</w:t>
      </w:r>
      <w:r w:rsidR="00E34DE9" w:rsidRPr="00332E99">
        <w:rPr>
          <w:sz w:val="20"/>
          <w:szCs w:val="20"/>
          <w:vertAlign w:val="superscript"/>
        </w:rPr>
        <w:t>gliaKO</w:t>
      </w:r>
      <w:proofErr w:type="spellEnd"/>
      <w:r w:rsidR="00E34DE9" w:rsidRPr="00332E99">
        <w:rPr>
          <w:sz w:val="20"/>
          <w:szCs w:val="20"/>
        </w:rPr>
        <w:t xml:space="preserve"> mice </w:t>
      </w:r>
      <w:r w:rsidR="00E34DE9">
        <w:rPr>
          <w:sz w:val="20"/>
          <w:szCs w:val="20"/>
        </w:rPr>
        <w:t>(n=1</w:t>
      </w:r>
      <w:r w:rsidR="005342FB">
        <w:rPr>
          <w:sz w:val="20"/>
          <w:szCs w:val="20"/>
        </w:rPr>
        <w:t>1</w:t>
      </w:r>
      <w:r w:rsidR="00E34DE9">
        <w:rPr>
          <w:sz w:val="20"/>
          <w:szCs w:val="20"/>
        </w:rPr>
        <w:t>-1</w:t>
      </w:r>
      <w:r w:rsidR="005342FB">
        <w:rPr>
          <w:sz w:val="20"/>
          <w:szCs w:val="20"/>
        </w:rPr>
        <w:t>2</w:t>
      </w:r>
      <w:r w:rsidR="00E34DE9">
        <w:rPr>
          <w:sz w:val="20"/>
          <w:szCs w:val="20"/>
        </w:rPr>
        <w:t xml:space="preserve"> mice per group). (C) </w:t>
      </w:r>
      <w:proofErr w:type="gramStart"/>
      <w:r w:rsidR="00E34DE9">
        <w:rPr>
          <w:sz w:val="20"/>
          <w:szCs w:val="20"/>
        </w:rPr>
        <w:t>feed</w:t>
      </w:r>
      <w:r w:rsidR="00956C04">
        <w:rPr>
          <w:sz w:val="20"/>
          <w:szCs w:val="20"/>
        </w:rPr>
        <w:t>ing</w:t>
      </w:r>
      <w:proofErr w:type="gramEnd"/>
      <w:r w:rsidR="00956C04">
        <w:rPr>
          <w:sz w:val="20"/>
          <w:szCs w:val="20"/>
        </w:rPr>
        <w:t xml:space="preserve"> efficiency</w:t>
      </w:r>
      <w:r w:rsidR="00E34DE9">
        <w:rPr>
          <w:sz w:val="20"/>
          <w:szCs w:val="20"/>
        </w:rPr>
        <w:t xml:space="preserve"> (body</w:t>
      </w:r>
      <w:r w:rsidR="00956C04">
        <w:rPr>
          <w:sz w:val="20"/>
          <w:szCs w:val="20"/>
        </w:rPr>
        <w:t xml:space="preserve"> </w:t>
      </w:r>
      <w:r w:rsidR="00E34DE9">
        <w:rPr>
          <w:sz w:val="20"/>
          <w:szCs w:val="20"/>
        </w:rPr>
        <w:t xml:space="preserve">weight gain per </w:t>
      </w:r>
      <w:r w:rsidR="00424698">
        <w:rPr>
          <w:sz w:val="20"/>
          <w:szCs w:val="20"/>
        </w:rPr>
        <w:t>energy</w:t>
      </w:r>
      <w:r w:rsidR="00E34DE9">
        <w:rPr>
          <w:sz w:val="20"/>
          <w:szCs w:val="20"/>
        </w:rPr>
        <w:t xml:space="preserve"> intake) </w:t>
      </w:r>
      <w:r w:rsidR="00E34DE9" w:rsidRPr="00332E99">
        <w:rPr>
          <w:sz w:val="20"/>
          <w:szCs w:val="20"/>
        </w:rPr>
        <w:t xml:space="preserve">in </w:t>
      </w:r>
      <w:proofErr w:type="spellStart"/>
      <w:r w:rsidR="00E34DE9" w:rsidRPr="00332E99">
        <w:rPr>
          <w:i/>
          <w:sz w:val="20"/>
          <w:szCs w:val="20"/>
        </w:rPr>
        <w:t>Nemo</w:t>
      </w:r>
      <w:r w:rsidR="00E34DE9" w:rsidRPr="00332E99">
        <w:rPr>
          <w:sz w:val="20"/>
          <w:szCs w:val="20"/>
          <w:vertAlign w:val="superscript"/>
        </w:rPr>
        <w:t>F</w:t>
      </w:r>
      <w:r w:rsidR="00956C04">
        <w:rPr>
          <w:sz w:val="20"/>
          <w:szCs w:val="20"/>
          <w:vertAlign w:val="superscript"/>
        </w:rPr>
        <w:t>L</w:t>
      </w:r>
      <w:proofErr w:type="spellEnd"/>
      <w:r w:rsidR="00E34DE9" w:rsidRPr="00332E99">
        <w:rPr>
          <w:sz w:val="20"/>
          <w:szCs w:val="20"/>
        </w:rPr>
        <w:t xml:space="preserve"> controls and </w:t>
      </w:r>
      <w:proofErr w:type="spellStart"/>
      <w:r w:rsidR="00E34DE9" w:rsidRPr="00332E99">
        <w:rPr>
          <w:i/>
          <w:sz w:val="20"/>
          <w:szCs w:val="20"/>
        </w:rPr>
        <w:t>Nemo</w:t>
      </w:r>
      <w:r w:rsidR="00E34DE9" w:rsidRPr="00332E99">
        <w:rPr>
          <w:sz w:val="20"/>
          <w:szCs w:val="20"/>
          <w:vertAlign w:val="superscript"/>
        </w:rPr>
        <w:t>gliaKO</w:t>
      </w:r>
      <w:proofErr w:type="spellEnd"/>
      <w:r w:rsidR="00E34DE9" w:rsidRPr="00332E99">
        <w:rPr>
          <w:sz w:val="20"/>
          <w:szCs w:val="20"/>
        </w:rPr>
        <w:t xml:space="preserve"> mice </w:t>
      </w:r>
      <w:r w:rsidR="00E34DE9">
        <w:rPr>
          <w:sz w:val="20"/>
          <w:szCs w:val="20"/>
        </w:rPr>
        <w:t>(n=5-6 mice per group).</w:t>
      </w:r>
      <w:r w:rsidR="00D830AD" w:rsidRPr="00332E99">
        <w:rPr>
          <w:sz w:val="20"/>
          <w:szCs w:val="20"/>
        </w:rPr>
        <w:t xml:space="preserve"> </w:t>
      </w:r>
      <w:r w:rsidR="00E34DE9">
        <w:rPr>
          <w:sz w:val="20"/>
          <w:szCs w:val="20"/>
        </w:rPr>
        <w:t xml:space="preserve">(D-G) </w:t>
      </w:r>
      <w:r w:rsidR="00D830AD" w:rsidRPr="00332E99">
        <w:rPr>
          <w:sz w:val="20"/>
          <w:szCs w:val="20"/>
        </w:rPr>
        <w:t>Basal food intake (</w:t>
      </w:r>
      <w:r w:rsidR="00E34DE9">
        <w:rPr>
          <w:sz w:val="20"/>
          <w:szCs w:val="20"/>
        </w:rPr>
        <w:t>D</w:t>
      </w:r>
      <w:r w:rsidR="00D830AD" w:rsidRPr="00332E99">
        <w:rPr>
          <w:sz w:val="20"/>
          <w:szCs w:val="20"/>
        </w:rPr>
        <w:t>), water intake (</w:t>
      </w:r>
      <w:r w:rsidR="00E34DE9">
        <w:rPr>
          <w:sz w:val="20"/>
          <w:szCs w:val="20"/>
        </w:rPr>
        <w:t>E</w:t>
      </w:r>
      <w:r w:rsidR="00D830AD" w:rsidRPr="00332E99">
        <w:rPr>
          <w:sz w:val="20"/>
          <w:szCs w:val="20"/>
        </w:rPr>
        <w:t xml:space="preserve">), energy expenditure (EE, </w:t>
      </w:r>
      <w:r w:rsidR="00E34DE9">
        <w:rPr>
          <w:sz w:val="20"/>
          <w:szCs w:val="20"/>
        </w:rPr>
        <w:t>F</w:t>
      </w:r>
      <w:r w:rsidR="00D830AD" w:rsidRPr="00332E99">
        <w:rPr>
          <w:sz w:val="20"/>
          <w:szCs w:val="20"/>
        </w:rPr>
        <w:t xml:space="preserve">) and the respiratory exchange ratio (RER, </w:t>
      </w:r>
      <w:r w:rsidR="00E34DE9">
        <w:rPr>
          <w:sz w:val="20"/>
          <w:szCs w:val="20"/>
        </w:rPr>
        <w:t>G</w:t>
      </w:r>
      <w:r w:rsidR="00D830AD" w:rsidRPr="00332E99">
        <w:rPr>
          <w:sz w:val="20"/>
          <w:szCs w:val="20"/>
        </w:rPr>
        <w:t xml:space="preserve">) did not differ between </w:t>
      </w:r>
      <w:proofErr w:type="spellStart"/>
      <w:r w:rsidR="00D830AD" w:rsidRPr="00332E99">
        <w:rPr>
          <w:i/>
          <w:sz w:val="20"/>
          <w:szCs w:val="20"/>
        </w:rPr>
        <w:t>Nemo</w:t>
      </w:r>
      <w:r w:rsidR="00D830AD" w:rsidRPr="00332E99">
        <w:rPr>
          <w:sz w:val="20"/>
          <w:szCs w:val="20"/>
          <w:vertAlign w:val="superscript"/>
        </w:rPr>
        <w:t>F</w:t>
      </w:r>
      <w:r w:rsidR="00956C04">
        <w:rPr>
          <w:sz w:val="20"/>
          <w:szCs w:val="20"/>
          <w:vertAlign w:val="superscript"/>
        </w:rPr>
        <w:t>L</w:t>
      </w:r>
      <w:proofErr w:type="spellEnd"/>
      <w:r w:rsidR="00D830AD" w:rsidRPr="00332E99">
        <w:rPr>
          <w:sz w:val="20"/>
          <w:szCs w:val="20"/>
        </w:rPr>
        <w:t xml:space="preserve"> controls and </w:t>
      </w:r>
      <w:proofErr w:type="spellStart"/>
      <w:r w:rsidR="00D830AD" w:rsidRPr="00332E99">
        <w:rPr>
          <w:i/>
          <w:sz w:val="20"/>
          <w:szCs w:val="20"/>
        </w:rPr>
        <w:t>Nemo</w:t>
      </w:r>
      <w:r w:rsidR="00D830AD" w:rsidRPr="00332E99">
        <w:rPr>
          <w:sz w:val="20"/>
          <w:szCs w:val="20"/>
          <w:vertAlign w:val="superscript"/>
        </w:rPr>
        <w:t>gliaKO</w:t>
      </w:r>
      <w:proofErr w:type="spellEnd"/>
      <w:r w:rsidR="00D830AD" w:rsidRPr="00332E99">
        <w:rPr>
          <w:sz w:val="20"/>
          <w:szCs w:val="20"/>
        </w:rPr>
        <w:t xml:space="preserve"> mice (n=10-13 mice per group). Parameters were measured during the light (white) and dark phase (gr</w:t>
      </w:r>
      <w:r w:rsidR="00956C04">
        <w:rPr>
          <w:sz w:val="20"/>
          <w:szCs w:val="20"/>
        </w:rPr>
        <w:t>a</w:t>
      </w:r>
      <w:r w:rsidR="00D830AD" w:rsidRPr="00332E99">
        <w:rPr>
          <w:sz w:val="20"/>
          <w:szCs w:val="20"/>
        </w:rPr>
        <w:t>y).</w:t>
      </w:r>
    </w:p>
    <w:p w:rsidR="00E34DE9" w:rsidRDefault="00E34DE9" w:rsidP="00D830AD">
      <w:pPr>
        <w:pStyle w:val="EndNoteBibliography"/>
        <w:spacing w:after="0" w:line="240" w:lineRule="auto"/>
        <w:rPr>
          <w:sz w:val="20"/>
          <w:szCs w:val="20"/>
        </w:rPr>
      </w:pPr>
    </w:p>
    <w:p w:rsidR="00E34DE9" w:rsidRDefault="00E34DE9" w:rsidP="00D830AD">
      <w:pPr>
        <w:pStyle w:val="EndNoteBibliography"/>
        <w:spacing w:after="0" w:line="240" w:lineRule="auto"/>
        <w:rPr>
          <w:sz w:val="20"/>
          <w:szCs w:val="20"/>
        </w:rPr>
      </w:pPr>
    </w:p>
    <w:p w:rsidR="00E34DE9" w:rsidRDefault="00E34DE9" w:rsidP="00D830AD">
      <w:pPr>
        <w:pStyle w:val="EndNoteBibliography"/>
        <w:spacing w:after="0" w:line="240" w:lineRule="auto"/>
        <w:rPr>
          <w:sz w:val="20"/>
          <w:szCs w:val="20"/>
        </w:rPr>
      </w:pPr>
      <w:r w:rsidRPr="00332E99">
        <w:rPr>
          <w:rFonts w:cs="AdvTTa9c1b374"/>
          <w:b/>
          <w:sz w:val="20"/>
          <w:szCs w:val="20"/>
        </w:rPr>
        <w:t xml:space="preserve">Supplementary Figure </w:t>
      </w:r>
      <w:r w:rsidR="008E19A3">
        <w:rPr>
          <w:rFonts w:cs="AdvTTa9c1b374"/>
          <w:b/>
          <w:sz w:val="20"/>
          <w:szCs w:val="20"/>
        </w:rPr>
        <w:t>6</w:t>
      </w:r>
      <w:r w:rsidRPr="00332E99">
        <w:rPr>
          <w:rFonts w:cs="AdvTTa9c1b374"/>
          <w:b/>
          <w:sz w:val="20"/>
          <w:szCs w:val="20"/>
        </w:rPr>
        <w:t>:</w:t>
      </w:r>
      <w:r w:rsidRPr="00332E99">
        <w:rPr>
          <w:b/>
          <w:sz w:val="20"/>
          <w:szCs w:val="20"/>
        </w:rPr>
        <w:t xml:space="preserve"> Basal </w:t>
      </w:r>
      <w:r>
        <w:rPr>
          <w:b/>
          <w:sz w:val="20"/>
          <w:szCs w:val="20"/>
        </w:rPr>
        <w:t>body temperature and activity</w:t>
      </w:r>
      <w:r w:rsidRPr="00332E99">
        <w:rPr>
          <w:b/>
          <w:sz w:val="20"/>
          <w:szCs w:val="20"/>
        </w:rPr>
        <w:t xml:space="preserve"> of </w:t>
      </w:r>
      <w:r w:rsidRPr="00332E99">
        <w:rPr>
          <w:b/>
          <w:i/>
          <w:sz w:val="20"/>
          <w:szCs w:val="20"/>
        </w:rPr>
        <w:t>Nemo</w:t>
      </w:r>
      <w:r w:rsidRPr="00332E99">
        <w:rPr>
          <w:b/>
          <w:sz w:val="20"/>
          <w:szCs w:val="20"/>
          <w:vertAlign w:val="superscript"/>
        </w:rPr>
        <w:t>F</w:t>
      </w:r>
      <w:r w:rsidR="00B940CD">
        <w:rPr>
          <w:b/>
          <w:sz w:val="20"/>
          <w:szCs w:val="20"/>
          <w:vertAlign w:val="superscript"/>
        </w:rPr>
        <w:t>L</w:t>
      </w:r>
      <w:r w:rsidRPr="00332E99">
        <w:rPr>
          <w:b/>
          <w:sz w:val="20"/>
          <w:szCs w:val="20"/>
        </w:rPr>
        <w:t xml:space="preserve"> and </w:t>
      </w:r>
      <w:r w:rsidRPr="00332E99">
        <w:rPr>
          <w:b/>
          <w:i/>
          <w:sz w:val="20"/>
          <w:szCs w:val="20"/>
        </w:rPr>
        <w:t>Nemo</w:t>
      </w:r>
      <w:r w:rsidRPr="00332E99">
        <w:rPr>
          <w:b/>
          <w:sz w:val="20"/>
          <w:szCs w:val="20"/>
          <w:vertAlign w:val="superscript"/>
        </w:rPr>
        <w:t>gliaKO</w:t>
      </w:r>
    </w:p>
    <w:p w:rsidR="00D830AD" w:rsidRPr="00332E99" w:rsidRDefault="00D830AD" w:rsidP="00D830AD">
      <w:pPr>
        <w:pStyle w:val="EndNoteBibliography"/>
        <w:spacing w:after="0" w:line="240" w:lineRule="auto"/>
        <w:rPr>
          <w:sz w:val="20"/>
          <w:szCs w:val="20"/>
        </w:rPr>
      </w:pPr>
      <w:r w:rsidRPr="00332E99">
        <w:rPr>
          <w:sz w:val="20"/>
          <w:szCs w:val="20"/>
        </w:rPr>
        <w:t>(</w:t>
      </w:r>
      <w:r w:rsidR="00E34DE9">
        <w:rPr>
          <w:sz w:val="20"/>
          <w:szCs w:val="20"/>
        </w:rPr>
        <w:t>A, B</w:t>
      </w:r>
      <w:r w:rsidRPr="00332E99">
        <w:rPr>
          <w:sz w:val="20"/>
          <w:szCs w:val="20"/>
        </w:rPr>
        <w:t>) Basal body temperature (</w:t>
      </w:r>
      <w:r w:rsidR="00E34DE9">
        <w:rPr>
          <w:sz w:val="20"/>
          <w:szCs w:val="20"/>
        </w:rPr>
        <w:t>A</w:t>
      </w:r>
      <w:r w:rsidRPr="00332E99">
        <w:rPr>
          <w:sz w:val="20"/>
          <w:szCs w:val="20"/>
        </w:rPr>
        <w:t>) and locomotor activity (</w:t>
      </w:r>
      <w:r w:rsidR="00E34DE9">
        <w:rPr>
          <w:sz w:val="20"/>
          <w:szCs w:val="20"/>
        </w:rPr>
        <w:t>B</w:t>
      </w:r>
      <w:r w:rsidRPr="00332E99">
        <w:rPr>
          <w:sz w:val="20"/>
          <w:szCs w:val="20"/>
        </w:rPr>
        <w:t xml:space="preserve">) did not differ between </w:t>
      </w:r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Fl</w:t>
      </w:r>
      <w:r w:rsidRPr="00332E99">
        <w:rPr>
          <w:sz w:val="20"/>
          <w:szCs w:val="20"/>
        </w:rPr>
        <w:t xml:space="preserve"> controls and </w:t>
      </w:r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gliaKO</w:t>
      </w:r>
      <w:r w:rsidRPr="00332E99">
        <w:rPr>
          <w:sz w:val="20"/>
          <w:szCs w:val="20"/>
        </w:rPr>
        <w:t xml:space="preserve"> mice. Parameters were measured telemetrically during the light (white) and dark phase (gr</w:t>
      </w:r>
      <w:r w:rsidR="00424698">
        <w:rPr>
          <w:sz w:val="20"/>
          <w:szCs w:val="20"/>
        </w:rPr>
        <w:t>a</w:t>
      </w:r>
      <w:r w:rsidRPr="00332E99">
        <w:rPr>
          <w:sz w:val="20"/>
          <w:szCs w:val="20"/>
        </w:rPr>
        <w:t>y). Means of 4 consecutive days are depicted (n=9-11 mice per group), ns, non-significant.</w:t>
      </w:r>
    </w:p>
    <w:p w:rsidR="00D830AD" w:rsidRPr="00332E99" w:rsidRDefault="00D830AD" w:rsidP="00D830AD">
      <w:pPr>
        <w:spacing w:after="0" w:line="240" w:lineRule="auto"/>
        <w:rPr>
          <w:sz w:val="20"/>
          <w:szCs w:val="20"/>
        </w:rPr>
      </w:pPr>
      <w:r w:rsidRPr="00332E99">
        <w:rPr>
          <w:sz w:val="20"/>
          <w:szCs w:val="20"/>
        </w:rPr>
        <w:t>(</w:t>
      </w:r>
      <w:r w:rsidR="00E34DE9">
        <w:rPr>
          <w:sz w:val="20"/>
          <w:szCs w:val="20"/>
        </w:rPr>
        <w:t>C</w:t>
      </w:r>
      <w:r w:rsidR="009440C8" w:rsidRPr="00332E99">
        <w:rPr>
          <w:sz w:val="20"/>
          <w:szCs w:val="20"/>
        </w:rPr>
        <w:t xml:space="preserve">, </w:t>
      </w:r>
      <w:r w:rsidR="00E34DE9">
        <w:rPr>
          <w:sz w:val="20"/>
          <w:szCs w:val="20"/>
        </w:rPr>
        <w:t>D</w:t>
      </w:r>
      <w:r w:rsidRPr="00332E99">
        <w:rPr>
          <w:sz w:val="20"/>
          <w:szCs w:val="20"/>
        </w:rPr>
        <w:t>) Novelty stress had a similar effect on body temperature (</w:t>
      </w:r>
      <w:r w:rsidR="00E34DE9">
        <w:rPr>
          <w:sz w:val="20"/>
          <w:szCs w:val="20"/>
        </w:rPr>
        <w:t>C</w:t>
      </w:r>
      <w:r w:rsidRPr="00332E99">
        <w:rPr>
          <w:sz w:val="20"/>
          <w:szCs w:val="20"/>
        </w:rPr>
        <w:t>) and locomotor activity (</w:t>
      </w:r>
      <w:r w:rsidR="00E34DE9">
        <w:rPr>
          <w:sz w:val="20"/>
          <w:szCs w:val="20"/>
        </w:rPr>
        <w:t>D</w:t>
      </w:r>
      <w:r w:rsidRPr="00332E99">
        <w:rPr>
          <w:sz w:val="20"/>
          <w:szCs w:val="20"/>
        </w:rPr>
        <w:t xml:space="preserve">) in </w:t>
      </w:r>
      <w:proofErr w:type="spellStart"/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F</w:t>
      </w:r>
      <w:r w:rsidR="00956C04">
        <w:rPr>
          <w:sz w:val="20"/>
          <w:szCs w:val="20"/>
          <w:vertAlign w:val="superscript"/>
        </w:rPr>
        <w:t>L</w:t>
      </w:r>
      <w:proofErr w:type="spellEnd"/>
      <w:r w:rsidRPr="00332E99">
        <w:rPr>
          <w:sz w:val="20"/>
          <w:szCs w:val="20"/>
        </w:rPr>
        <w:t xml:space="preserve"> controls and </w:t>
      </w:r>
      <w:proofErr w:type="spellStart"/>
      <w:r w:rsidRPr="00332E99">
        <w:rPr>
          <w:i/>
          <w:sz w:val="20"/>
          <w:szCs w:val="20"/>
        </w:rPr>
        <w:t>Nemo</w:t>
      </w:r>
      <w:r w:rsidRPr="00332E99">
        <w:rPr>
          <w:sz w:val="20"/>
          <w:szCs w:val="20"/>
          <w:vertAlign w:val="superscript"/>
        </w:rPr>
        <w:t>gliaKO</w:t>
      </w:r>
      <w:proofErr w:type="spellEnd"/>
      <w:r w:rsidRPr="00332E99">
        <w:rPr>
          <w:sz w:val="20"/>
          <w:szCs w:val="20"/>
        </w:rPr>
        <w:t xml:space="preserve"> mice (n=5-6 mice per group). Dashed line, onset of novelty.</w:t>
      </w:r>
    </w:p>
    <w:p w:rsidR="00D830AD" w:rsidRPr="00332E99" w:rsidRDefault="00D830AD" w:rsidP="00D830AD">
      <w:pPr>
        <w:spacing w:line="276" w:lineRule="auto"/>
        <w:jc w:val="left"/>
        <w:rPr>
          <w:rFonts w:cs="AdvTTa9c1b374"/>
          <w:sz w:val="20"/>
          <w:szCs w:val="20"/>
        </w:rPr>
      </w:pPr>
    </w:p>
    <w:p w:rsidR="00D830AD" w:rsidRPr="005342FB" w:rsidRDefault="00383280" w:rsidP="001B5EFF">
      <w:pPr>
        <w:spacing w:after="0" w:line="276" w:lineRule="auto"/>
        <w:jc w:val="left"/>
        <w:rPr>
          <w:sz w:val="20"/>
          <w:szCs w:val="20"/>
        </w:rPr>
      </w:pPr>
      <w:r w:rsidRPr="00332E99">
        <w:rPr>
          <w:rFonts w:cs="AdvTTa9c1b374"/>
          <w:b/>
          <w:sz w:val="20"/>
          <w:szCs w:val="20"/>
        </w:rPr>
        <w:t>Supplementary</w:t>
      </w:r>
      <w:r w:rsidR="00D830AD" w:rsidRPr="00332E99">
        <w:rPr>
          <w:b/>
          <w:sz w:val="20"/>
          <w:szCs w:val="20"/>
        </w:rPr>
        <w:t xml:space="preserve"> Figure </w:t>
      </w:r>
      <w:r w:rsidR="008E19A3">
        <w:rPr>
          <w:rFonts w:cs="AdvTTa9c1b374"/>
          <w:b/>
          <w:sz w:val="20"/>
          <w:szCs w:val="20"/>
        </w:rPr>
        <w:t>7</w:t>
      </w:r>
      <w:r w:rsidRPr="00332E99">
        <w:rPr>
          <w:b/>
          <w:sz w:val="20"/>
          <w:szCs w:val="20"/>
        </w:rPr>
        <w:t>:</w:t>
      </w:r>
      <w:r w:rsidR="00D830AD" w:rsidRPr="00332E99">
        <w:rPr>
          <w:b/>
          <w:sz w:val="20"/>
          <w:szCs w:val="20"/>
        </w:rPr>
        <w:t xml:space="preserve"> Basal parameters of </w:t>
      </w:r>
      <w:proofErr w:type="spellStart"/>
      <w:r w:rsidR="00D830AD" w:rsidRPr="00332E99">
        <w:rPr>
          <w:b/>
          <w:i/>
          <w:sz w:val="20"/>
          <w:szCs w:val="20"/>
        </w:rPr>
        <w:t>Nemo</w:t>
      </w:r>
      <w:r w:rsidR="00D830AD" w:rsidRPr="00332E99">
        <w:rPr>
          <w:b/>
          <w:sz w:val="20"/>
          <w:szCs w:val="20"/>
          <w:vertAlign w:val="superscript"/>
        </w:rPr>
        <w:t>con</w:t>
      </w:r>
      <w:proofErr w:type="spellEnd"/>
      <w:r w:rsidR="00D830AD" w:rsidRPr="00332E99">
        <w:rPr>
          <w:b/>
          <w:sz w:val="20"/>
          <w:szCs w:val="20"/>
        </w:rPr>
        <w:t xml:space="preserve"> and </w:t>
      </w:r>
      <w:proofErr w:type="spellStart"/>
      <w:r w:rsidR="00D830AD" w:rsidRPr="00332E99">
        <w:rPr>
          <w:b/>
          <w:i/>
          <w:sz w:val="20"/>
          <w:szCs w:val="20"/>
        </w:rPr>
        <w:t>Nemo</w:t>
      </w:r>
      <w:r w:rsidR="00D830AD" w:rsidRPr="00332E99">
        <w:rPr>
          <w:b/>
          <w:sz w:val="20"/>
          <w:szCs w:val="20"/>
          <w:vertAlign w:val="superscript"/>
        </w:rPr>
        <w:t>tanKO</w:t>
      </w:r>
      <w:proofErr w:type="spellEnd"/>
      <w:r w:rsidR="005342FB">
        <w:rPr>
          <w:b/>
          <w:sz w:val="20"/>
          <w:szCs w:val="20"/>
          <w:vertAlign w:val="superscript"/>
        </w:rPr>
        <w:t xml:space="preserve"> </w:t>
      </w:r>
      <w:r w:rsidR="005342FB">
        <w:rPr>
          <w:b/>
          <w:sz w:val="20"/>
          <w:szCs w:val="20"/>
        </w:rPr>
        <w:t>mice</w:t>
      </w:r>
    </w:p>
    <w:p w:rsidR="00D830AD" w:rsidRPr="00332E99" w:rsidRDefault="00E34DE9" w:rsidP="00D830A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(A) Body</w:t>
      </w:r>
      <w:r w:rsidR="00B940C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weight </w:t>
      </w:r>
      <w:r w:rsidR="005342FB">
        <w:rPr>
          <w:sz w:val="20"/>
          <w:szCs w:val="20"/>
        </w:rPr>
        <w:t>of</w:t>
      </w:r>
      <w:r w:rsidRPr="00332E99">
        <w:rPr>
          <w:sz w:val="20"/>
          <w:szCs w:val="20"/>
        </w:rPr>
        <w:t xml:space="preserve"> </w:t>
      </w:r>
      <w:proofErr w:type="spellStart"/>
      <w:r w:rsidR="005342FB">
        <w:rPr>
          <w:i/>
          <w:sz w:val="20"/>
          <w:szCs w:val="20"/>
        </w:rPr>
        <w:t>Nemo</w:t>
      </w:r>
      <w:r w:rsidR="005342FB" w:rsidRPr="005342FB">
        <w:rPr>
          <w:i/>
          <w:sz w:val="20"/>
          <w:szCs w:val="20"/>
          <w:vertAlign w:val="superscript"/>
        </w:rPr>
        <w:t>con</w:t>
      </w:r>
      <w:proofErr w:type="spellEnd"/>
      <w:r w:rsidRPr="00332E99">
        <w:rPr>
          <w:sz w:val="20"/>
          <w:szCs w:val="20"/>
        </w:rPr>
        <w:t xml:space="preserve"> controls and </w:t>
      </w:r>
      <w:proofErr w:type="spellStart"/>
      <w:r w:rsidRPr="00332E99">
        <w:rPr>
          <w:i/>
          <w:sz w:val="20"/>
          <w:szCs w:val="20"/>
        </w:rPr>
        <w:t>Nemo</w:t>
      </w:r>
      <w:r w:rsidR="005342FB">
        <w:rPr>
          <w:sz w:val="20"/>
          <w:szCs w:val="20"/>
          <w:vertAlign w:val="superscript"/>
        </w:rPr>
        <w:t>tan</w:t>
      </w:r>
      <w:r w:rsidRPr="00332E99">
        <w:rPr>
          <w:sz w:val="20"/>
          <w:szCs w:val="20"/>
          <w:vertAlign w:val="superscript"/>
        </w:rPr>
        <w:t>KO</w:t>
      </w:r>
      <w:proofErr w:type="spellEnd"/>
      <w:r w:rsidRPr="00332E99">
        <w:rPr>
          <w:sz w:val="20"/>
          <w:szCs w:val="20"/>
        </w:rPr>
        <w:t xml:space="preserve"> mice </w:t>
      </w:r>
      <w:r w:rsidR="005342FB">
        <w:rPr>
          <w:sz w:val="20"/>
          <w:szCs w:val="20"/>
        </w:rPr>
        <w:t xml:space="preserve">3 weeks after </w:t>
      </w:r>
      <w:r w:rsidR="00B940CD">
        <w:rPr>
          <w:sz w:val="20"/>
          <w:szCs w:val="20"/>
        </w:rPr>
        <w:t>virus injection</w:t>
      </w:r>
      <w:r w:rsidR="005342FB">
        <w:rPr>
          <w:sz w:val="20"/>
          <w:szCs w:val="20"/>
        </w:rPr>
        <w:t xml:space="preserve"> </w:t>
      </w:r>
      <w:r>
        <w:rPr>
          <w:sz w:val="20"/>
          <w:szCs w:val="20"/>
        </w:rPr>
        <w:t>(n=</w:t>
      </w:r>
      <w:r w:rsidR="005342FB">
        <w:rPr>
          <w:sz w:val="20"/>
          <w:szCs w:val="20"/>
        </w:rPr>
        <w:t>9</w:t>
      </w:r>
      <w:r>
        <w:rPr>
          <w:sz w:val="20"/>
          <w:szCs w:val="20"/>
        </w:rPr>
        <w:t>-1</w:t>
      </w:r>
      <w:r w:rsidR="005342FB">
        <w:rPr>
          <w:sz w:val="20"/>
          <w:szCs w:val="20"/>
        </w:rPr>
        <w:t>1</w:t>
      </w:r>
      <w:r>
        <w:rPr>
          <w:sz w:val="20"/>
          <w:szCs w:val="20"/>
        </w:rPr>
        <w:t xml:space="preserve"> mice per group). </w:t>
      </w:r>
      <w:r w:rsidR="00D830AD" w:rsidRPr="00332E99">
        <w:rPr>
          <w:sz w:val="20"/>
          <w:szCs w:val="20"/>
        </w:rPr>
        <w:t>(</w:t>
      </w:r>
      <w:r>
        <w:rPr>
          <w:sz w:val="20"/>
          <w:szCs w:val="20"/>
        </w:rPr>
        <w:t>B</w:t>
      </w:r>
      <w:r w:rsidR="00D830AD" w:rsidRPr="00332E99">
        <w:rPr>
          <w:sz w:val="20"/>
          <w:szCs w:val="20"/>
        </w:rPr>
        <w:t>-</w:t>
      </w:r>
      <w:r>
        <w:rPr>
          <w:sz w:val="20"/>
          <w:szCs w:val="20"/>
        </w:rPr>
        <w:t>E</w:t>
      </w:r>
      <w:r w:rsidR="00D830AD" w:rsidRPr="00332E99">
        <w:rPr>
          <w:sz w:val="20"/>
          <w:szCs w:val="20"/>
        </w:rPr>
        <w:t>) Basal food intake (</w:t>
      </w:r>
      <w:r w:rsidR="005342FB">
        <w:rPr>
          <w:sz w:val="20"/>
          <w:szCs w:val="20"/>
        </w:rPr>
        <w:t>B</w:t>
      </w:r>
      <w:r w:rsidR="00D830AD" w:rsidRPr="00332E99">
        <w:rPr>
          <w:sz w:val="20"/>
          <w:szCs w:val="20"/>
        </w:rPr>
        <w:t>), water intake (</w:t>
      </w:r>
      <w:r w:rsidR="005342FB">
        <w:rPr>
          <w:sz w:val="20"/>
          <w:szCs w:val="20"/>
        </w:rPr>
        <w:t>C</w:t>
      </w:r>
      <w:r w:rsidR="00D830AD" w:rsidRPr="00332E99">
        <w:rPr>
          <w:sz w:val="20"/>
          <w:szCs w:val="20"/>
        </w:rPr>
        <w:t xml:space="preserve">), energy expenditure (EE, </w:t>
      </w:r>
      <w:r w:rsidR="005342FB">
        <w:rPr>
          <w:sz w:val="20"/>
          <w:szCs w:val="20"/>
        </w:rPr>
        <w:t>D</w:t>
      </w:r>
      <w:r w:rsidR="00D830AD" w:rsidRPr="00332E99">
        <w:rPr>
          <w:sz w:val="20"/>
          <w:szCs w:val="20"/>
        </w:rPr>
        <w:t xml:space="preserve">) and the respiratory exchange ratio (RER, </w:t>
      </w:r>
      <w:r w:rsidR="005342FB">
        <w:rPr>
          <w:sz w:val="20"/>
          <w:szCs w:val="20"/>
        </w:rPr>
        <w:t>E</w:t>
      </w:r>
      <w:r w:rsidR="00D830AD" w:rsidRPr="00332E99">
        <w:rPr>
          <w:sz w:val="20"/>
          <w:szCs w:val="20"/>
        </w:rPr>
        <w:t xml:space="preserve">) did not differ between </w:t>
      </w:r>
      <w:proofErr w:type="spellStart"/>
      <w:r w:rsidR="00D830AD" w:rsidRPr="00026F76">
        <w:rPr>
          <w:i/>
          <w:sz w:val="20"/>
          <w:szCs w:val="20"/>
        </w:rPr>
        <w:t>Nemo</w:t>
      </w:r>
      <w:r w:rsidR="00D830AD" w:rsidRPr="00026F76">
        <w:rPr>
          <w:sz w:val="20"/>
          <w:szCs w:val="20"/>
          <w:vertAlign w:val="superscript"/>
        </w:rPr>
        <w:t>con</w:t>
      </w:r>
      <w:proofErr w:type="spellEnd"/>
      <w:r w:rsidR="00D830AD" w:rsidRPr="00332E99">
        <w:rPr>
          <w:sz w:val="20"/>
          <w:szCs w:val="20"/>
        </w:rPr>
        <w:t xml:space="preserve"> and </w:t>
      </w:r>
      <w:proofErr w:type="spellStart"/>
      <w:r w:rsidR="00D830AD" w:rsidRPr="00026F76">
        <w:rPr>
          <w:i/>
          <w:sz w:val="20"/>
          <w:szCs w:val="20"/>
        </w:rPr>
        <w:t>Nemo</w:t>
      </w:r>
      <w:r w:rsidR="00D830AD" w:rsidRPr="00026F76">
        <w:rPr>
          <w:sz w:val="20"/>
          <w:szCs w:val="20"/>
          <w:vertAlign w:val="superscript"/>
        </w:rPr>
        <w:t>tanKO</w:t>
      </w:r>
      <w:proofErr w:type="spellEnd"/>
      <w:r w:rsidR="00D830AD" w:rsidRPr="00332E99">
        <w:rPr>
          <w:sz w:val="20"/>
          <w:szCs w:val="20"/>
        </w:rPr>
        <w:t xml:space="preserve"> mice (n=8-11 mice per group).</w:t>
      </w:r>
    </w:p>
    <w:p w:rsidR="000211B6" w:rsidRPr="00332E99" w:rsidRDefault="001F5914">
      <w:pPr>
        <w:rPr>
          <w:sz w:val="20"/>
          <w:szCs w:val="20"/>
        </w:rPr>
      </w:pPr>
    </w:p>
    <w:sectPr w:rsidR="000211B6" w:rsidRPr="00332E99" w:rsidSect="00197C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Ta9c1b374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B400F"/>
    <w:multiLevelType w:val="hybridMultilevel"/>
    <w:tmpl w:val="04FEFAB0"/>
    <w:lvl w:ilvl="0" w:tplc="3E268E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0AD"/>
    <w:rsid w:val="0001610C"/>
    <w:rsid w:val="00026F76"/>
    <w:rsid w:val="000E4D45"/>
    <w:rsid w:val="00136166"/>
    <w:rsid w:val="00197C37"/>
    <w:rsid w:val="001B5EFF"/>
    <w:rsid w:val="001F5914"/>
    <w:rsid w:val="002C71B8"/>
    <w:rsid w:val="00332E99"/>
    <w:rsid w:val="00383280"/>
    <w:rsid w:val="003F6D4E"/>
    <w:rsid w:val="00400757"/>
    <w:rsid w:val="00424698"/>
    <w:rsid w:val="004C6D85"/>
    <w:rsid w:val="004E7D66"/>
    <w:rsid w:val="00526385"/>
    <w:rsid w:val="005342FB"/>
    <w:rsid w:val="005A2CBF"/>
    <w:rsid w:val="007F34EA"/>
    <w:rsid w:val="008413F1"/>
    <w:rsid w:val="00857BA7"/>
    <w:rsid w:val="008748E3"/>
    <w:rsid w:val="008E19A3"/>
    <w:rsid w:val="009440C8"/>
    <w:rsid w:val="00956C04"/>
    <w:rsid w:val="00A0096F"/>
    <w:rsid w:val="00A96499"/>
    <w:rsid w:val="00B26DEE"/>
    <w:rsid w:val="00B940CD"/>
    <w:rsid w:val="00CC37E9"/>
    <w:rsid w:val="00D14006"/>
    <w:rsid w:val="00D52CAA"/>
    <w:rsid w:val="00D830AD"/>
    <w:rsid w:val="00DF3A92"/>
    <w:rsid w:val="00E34DE9"/>
    <w:rsid w:val="00E71CCC"/>
    <w:rsid w:val="00EC42B9"/>
    <w:rsid w:val="00F9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7C65"/>
  <w15:docId w15:val="{5BB6E43F-4A2F-47FE-84AB-2A122693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30AD"/>
    <w:pPr>
      <w:spacing w:after="200" w:line="480" w:lineRule="auto"/>
      <w:jc w:val="both"/>
    </w:pPr>
    <w:rPr>
      <w:rFonts w:ascii="Arial" w:hAnsi="Arial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">
    <w:name w:val="EndNote Bibliography"/>
    <w:basedOn w:val="Standard"/>
    <w:link w:val="EndNoteBibliographyZchn"/>
    <w:rsid w:val="00D830AD"/>
    <w:rPr>
      <w:rFonts w:cs="Arial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D830AD"/>
    <w:rPr>
      <w:rFonts w:ascii="Arial" w:hAnsi="Arial" w:cs="Arial"/>
      <w:noProof/>
      <w:lang w:val="en-US"/>
    </w:rPr>
  </w:style>
  <w:style w:type="paragraph" w:styleId="Listenabsatz">
    <w:name w:val="List Paragraph"/>
    <w:basedOn w:val="Standard"/>
    <w:uiPriority w:val="34"/>
    <w:qFormat/>
    <w:rsid w:val="00944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Schwaninger</dc:creator>
  <cp:lastModifiedBy>Markus Schwaninger</cp:lastModifiedBy>
  <cp:revision>6</cp:revision>
  <dcterms:created xsi:type="dcterms:W3CDTF">2020-05-05T15:48:00Z</dcterms:created>
  <dcterms:modified xsi:type="dcterms:W3CDTF">2020-05-05T16:36:00Z</dcterms:modified>
</cp:coreProperties>
</file>