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0618" w14:textId="77777777" w:rsidR="00D34C9F" w:rsidRPr="0054777C" w:rsidRDefault="00D34C9F" w:rsidP="00F17F9D">
      <w:pPr>
        <w:jc w:val="center"/>
      </w:pPr>
      <w:bookmarkStart w:id="0" w:name="_GoBack"/>
      <w:bookmarkEnd w:id="0"/>
      <w:r w:rsidRPr="0054777C">
        <w:rPr>
          <w:b/>
          <w:bCs/>
        </w:rPr>
        <w:t>Video Files to accompany Figure 2 from the manuscript.</w:t>
      </w:r>
    </w:p>
    <w:p w14:paraId="5713795F" w14:textId="17746A69" w:rsidR="00D34C9F" w:rsidRPr="0054777C" w:rsidRDefault="00D34C9F" w:rsidP="00F17F9D">
      <w:pPr>
        <w:spacing w:after="0" w:line="480" w:lineRule="auto"/>
      </w:pPr>
      <w:r w:rsidRPr="0054777C">
        <w:rPr>
          <w:b/>
          <w:bCs/>
        </w:rPr>
        <w:t xml:space="preserve">Video 1. </w:t>
      </w:r>
      <w:r w:rsidRPr="0054777C">
        <w:t xml:space="preserve">Summarizes stress perfusion on the top row and rest perfusion on the bottom row for the patient in figure 2. This version of the video has motion corrected perfusion images. Filename: </w:t>
      </w:r>
      <w:r w:rsidR="00E9679B" w:rsidRPr="0054777C">
        <w:rPr>
          <w:b/>
          <w:bCs/>
        </w:rPr>
        <w:t>Video1_GadaCAD_perfusion_MOCO.mp4</w:t>
      </w:r>
    </w:p>
    <w:p w14:paraId="21240343" w14:textId="77777777" w:rsidR="00F17F9D" w:rsidRPr="0054777C" w:rsidRDefault="00F17F9D" w:rsidP="00F17F9D">
      <w:pPr>
        <w:spacing w:after="0" w:line="480" w:lineRule="auto"/>
        <w:rPr>
          <w:b/>
          <w:bCs/>
        </w:rPr>
      </w:pPr>
    </w:p>
    <w:p w14:paraId="7D9DDB55" w14:textId="22E66C8B" w:rsidR="00D34C9F" w:rsidRPr="0054777C" w:rsidRDefault="00D34C9F" w:rsidP="00F17F9D">
      <w:pPr>
        <w:spacing w:after="0" w:line="480" w:lineRule="auto"/>
      </w:pPr>
      <w:r w:rsidRPr="0054777C">
        <w:rPr>
          <w:b/>
          <w:bCs/>
        </w:rPr>
        <w:t xml:space="preserve">Video 2. </w:t>
      </w:r>
      <w:r w:rsidRPr="0054777C">
        <w:t xml:space="preserve">Summarizes stress perfusion on the top row and rest perfusion on the bottom row for the patient in figure 2. This version of the video has the raw perfusion images prior to motion correction. Filename: </w:t>
      </w:r>
      <w:r w:rsidR="00E9679B" w:rsidRPr="0054777C">
        <w:t xml:space="preserve">Video2_GadaCAD_perfusion.mp4 </w:t>
      </w:r>
    </w:p>
    <w:p w14:paraId="2BF43C59" w14:textId="77777777" w:rsidR="00F17F9D" w:rsidRPr="0054777C" w:rsidRDefault="00F17F9D" w:rsidP="00F17F9D">
      <w:pPr>
        <w:spacing w:after="0" w:line="480" w:lineRule="auto"/>
        <w:rPr>
          <w:b/>
          <w:bCs/>
        </w:rPr>
      </w:pPr>
    </w:p>
    <w:p w14:paraId="53BBEE89" w14:textId="7CDED7AD" w:rsidR="00D34C9F" w:rsidRPr="0054777C" w:rsidRDefault="00D34C9F" w:rsidP="00F17F9D">
      <w:pPr>
        <w:spacing w:after="0" w:line="480" w:lineRule="auto"/>
      </w:pPr>
      <w:r w:rsidRPr="0054777C">
        <w:rPr>
          <w:b/>
          <w:bCs/>
        </w:rPr>
        <w:t xml:space="preserve">Video 3. </w:t>
      </w:r>
      <w:r w:rsidRPr="0054777C">
        <w:t xml:space="preserve">Summarizes the cine CMR includes 8 slices out of the volumetric short axis acquisition for the patient in figure 2. Filename: </w:t>
      </w:r>
      <w:r w:rsidR="00E9679B" w:rsidRPr="0054777C">
        <w:t xml:space="preserve">Video3_GadaCAD_cineCMR.mp4 </w:t>
      </w:r>
    </w:p>
    <w:p w14:paraId="6BBACD31" w14:textId="77777777" w:rsidR="00F17F9D" w:rsidRPr="0054777C" w:rsidRDefault="00F17F9D" w:rsidP="00F17F9D">
      <w:pPr>
        <w:spacing w:after="0" w:line="480" w:lineRule="auto"/>
        <w:rPr>
          <w:b/>
          <w:bCs/>
        </w:rPr>
      </w:pPr>
    </w:p>
    <w:p w14:paraId="785EBF51" w14:textId="0C04F71F" w:rsidR="00D34C9F" w:rsidRPr="0054777C" w:rsidRDefault="00D34C9F" w:rsidP="00F17F9D">
      <w:pPr>
        <w:spacing w:after="0" w:line="480" w:lineRule="auto"/>
      </w:pPr>
      <w:r w:rsidRPr="0054777C">
        <w:rPr>
          <w:b/>
          <w:bCs/>
        </w:rPr>
        <w:t xml:space="preserve">Video 4. </w:t>
      </w:r>
      <w:r w:rsidRPr="0054777C">
        <w:t>Is the 4-chamber cine CMR</w:t>
      </w:r>
      <w:r w:rsidRPr="0054777C">
        <w:rPr>
          <w:b/>
          <w:bCs/>
        </w:rPr>
        <w:t xml:space="preserve"> </w:t>
      </w:r>
      <w:r w:rsidRPr="0054777C">
        <w:t>for the patient in figure 2.</w:t>
      </w:r>
      <w:r w:rsidRPr="0054777C">
        <w:rPr>
          <w:b/>
          <w:bCs/>
        </w:rPr>
        <w:t xml:space="preserve"> </w:t>
      </w:r>
      <w:r w:rsidR="009371EB" w:rsidRPr="0054777C">
        <w:t xml:space="preserve">Filename: </w:t>
      </w:r>
      <w:r w:rsidR="00E9679B" w:rsidRPr="0054777C">
        <w:rPr>
          <w:b/>
          <w:bCs/>
        </w:rPr>
        <w:t>Video4_GadaCAD_cineCMR_4ch.mp4</w:t>
      </w:r>
    </w:p>
    <w:p w14:paraId="65DE83A1" w14:textId="77777777" w:rsidR="00F17F9D" w:rsidRPr="0054777C" w:rsidRDefault="00F17F9D" w:rsidP="00F17F9D">
      <w:pPr>
        <w:spacing w:after="0" w:line="480" w:lineRule="auto"/>
        <w:rPr>
          <w:b/>
          <w:bCs/>
        </w:rPr>
      </w:pPr>
    </w:p>
    <w:p w14:paraId="246CA569" w14:textId="358909B3" w:rsidR="00D34C9F" w:rsidRPr="0054777C" w:rsidRDefault="00D34C9F" w:rsidP="00F17F9D">
      <w:pPr>
        <w:spacing w:after="0" w:line="480" w:lineRule="auto"/>
      </w:pPr>
      <w:r w:rsidRPr="0054777C">
        <w:rPr>
          <w:b/>
          <w:bCs/>
        </w:rPr>
        <w:t xml:space="preserve">Video 5. </w:t>
      </w:r>
      <w:r w:rsidR="009371EB" w:rsidRPr="0054777C">
        <w:t xml:space="preserve">Is the 3-chamber cine CMR for the patient in figure 2. Filename: </w:t>
      </w:r>
      <w:r w:rsidR="00E9679B" w:rsidRPr="0054777C">
        <w:rPr>
          <w:b/>
          <w:bCs/>
        </w:rPr>
        <w:t>Video5_GadaCAD_cineCMR_3ch.mp4</w:t>
      </w:r>
    </w:p>
    <w:p w14:paraId="77127286" w14:textId="77777777" w:rsidR="00F17F9D" w:rsidRPr="0054777C" w:rsidRDefault="00F17F9D" w:rsidP="00F17F9D">
      <w:pPr>
        <w:spacing w:after="0" w:line="480" w:lineRule="auto"/>
        <w:rPr>
          <w:b/>
          <w:bCs/>
        </w:rPr>
      </w:pPr>
    </w:p>
    <w:p w14:paraId="19C08687" w14:textId="442F27EB" w:rsidR="008A4E25" w:rsidRPr="0054777C" w:rsidRDefault="009371EB" w:rsidP="00F17F9D">
      <w:pPr>
        <w:spacing w:after="0" w:line="480" w:lineRule="auto"/>
        <w:rPr>
          <w:b/>
          <w:bCs/>
        </w:rPr>
      </w:pPr>
      <w:r w:rsidRPr="0054777C">
        <w:rPr>
          <w:b/>
          <w:bCs/>
        </w:rPr>
        <w:t>Video 6.</w:t>
      </w:r>
      <w:r w:rsidRPr="0054777C">
        <w:t xml:space="preserve"> Is the 2-chamber cine CMR for the patient in figure 2. Filename: </w:t>
      </w:r>
      <w:r w:rsidR="00E9679B" w:rsidRPr="0054777C">
        <w:rPr>
          <w:b/>
          <w:bCs/>
        </w:rPr>
        <w:t>Video6_GadaCAD_cineCMR_2ch.mp4</w:t>
      </w:r>
    </w:p>
    <w:p w14:paraId="09F5A8A9" w14:textId="77777777" w:rsidR="004C584B" w:rsidRPr="0054777C" w:rsidRDefault="004C584B">
      <w:pPr>
        <w:rPr>
          <w:b/>
          <w:bCs/>
        </w:rPr>
      </w:pPr>
      <w:r w:rsidRPr="0054777C">
        <w:rPr>
          <w:b/>
          <w:bCs/>
        </w:rPr>
        <w:br w:type="page"/>
      </w:r>
    </w:p>
    <w:p w14:paraId="3054170A" w14:textId="77777777" w:rsidR="00F17F9D" w:rsidRPr="0054777C" w:rsidRDefault="00F17F9D" w:rsidP="004C584B">
      <w:pPr>
        <w:rPr>
          <w:b/>
          <w:bCs/>
        </w:rPr>
        <w:sectPr w:rsidR="00F17F9D" w:rsidRPr="0054777C" w:rsidSect="009416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14:paraId="2504A497" w14:textId="77777777" w:rsidR="004C584B" w:rsidRPr="0054777C" w:rsidRDefault="004C584B" w:rsidP="00F17F9D">
      <w:pPr>
        <w:jc w:val="center"/>
      </w:pPr>
      <w:r w:rsidRPr="0054777C">
        <w:rPr>
          <w:b/>
          <w:bCs/>
        </w:rPr>
        <w:lastRenderedPageBreak/>
        <w:t>Participating Centers and Principal Investigators</w:t>
      </w:r>
    </w:p>
    <w:p w14:paraId="3E2AF30C" w14:textId="77777777" w:rsidR="00F17F9D" w:rsidRPr="0054777C" w:rsidRDefault="00F17F9D" w:rsidP="00F17F9D">
      <w:pPr>
        <w:spacing w:after="0" w:line="240" w:lineRule="auto"/>
        <w:jc w:val="center"/>
        <w:rPr>
          <w:b/>
          <w:bCs/>
        </w:rPr>
        <w:sectPr w:rsidR="00F17F9D" w:rsidRPr="0054777C" w:rsidSect="00F17F9D">
          <w:type w:val="continuous"/>
          <w:pgSz w:w="12240" w:h="15840" w:code="1"/>
          <w:pgMar w:top="1440" w:right="1440" w:bottom="1440" w:left="1440" w:header="720" w:footer="720" w:gutter="0"/>
          <w:cols w:space="720"/>
          <w:docGrid w:linePitch="360"/>
        </w:sectPr>
      </w:pPr>
    </w:p>
    <w:p w14:paraId="10BAE40F" w14:textId="77777777" w:rsidR="004C584B" w:rsidRPr="0054777C" w:rsidRDefault="004C584B" w:rsidP="00F17F9D">
      <w:pPr>
        <w:spacing w:after="0" w:line="360" w:lineRule="auto"/>
      </w:pPr>
      <w:r w:rsidRPr="0054777C">
        <w:rPr>
          <w:b/>
          <w:bCs/>
        </w:rPr>
        <w:t xml:space="preserve">GadaCAD1 </w:t>
      </w:r>
    </w:p>
    <w:p w14:paraId="6CCBDEF9" w14:textId="77777777" w:rsidR="004C584B" w:rsidRPr="0054777C" w:rsidRDefault="004C584B" w:rsidP="00F17F9D">
      <w:pPr>
        <w:spacing w:after="0" w:line="360" w:lineRule="auto"/>
      </w:pPr>
      <w:r w:rsidRPr="0054777C">
        <w:t xml:space="preserve">Dudley Pennell (Principal Investigator), UK </w:t>
      </w:r>
    </w:p>
    <w:p w14:paraId="6435FA41" w14:textId="77777777" w:rsidR="004C584B" w:rsidRPr="0054777C" w:rsidRDefault="004C584B" w:rsidP="00F17F9D">
      <w:pPr>
        <w:spacing w:after="0" w:line="360" w:lineRule="auto"/>
      </w:pPr>
      <w:r w:rsidRPr="0054777C">
        <w:t xml:space="preserve">Jeanette Schulz-Menger (Coordinating Investigator), Germany </w:t>
      </w:r>
    </w:p>
    <w:p w14:paraId="05CE7CF0" w14:textId="77777777" w:rsidR="004C584B" w:rsidRPr="0054777C" w:rsidRDefault="004C584B" w:rsidP="00F17F9D">
      <w:pPr>
        <w:spacing w:after="0" w:line="360" w:lineRule="auto"/>
      </w:pPr>
      <w:r w:rsidRPr="0054777C">
        <w:t xml:space="preserve">Heiko Mahrholdt, Germany </w:t>
      </w:r>
    </w:p>
    <w:p w14:paraId="5D9BB730" w14:textId="77777777" w:rsidR="004C584B" w:rsidRPr="0054777C" w:rsidRDefault="004C584B" w:rsidP="00F17F9D">
      <w:pPr>
        <w:spacing w:after="0" w:line="360" w:lineRule="auto"/>
      </w:pPr>
      <w:r w:rsidRPr="0054777C">
        <w:t xml:space="preserve">Matthias Gutberlet, Germany </w:t>
      </w:r>
    </w:p>
    <w:p w14:paraId="39CF8886" w14:textId="77777777" w:rsidR="004C584B" w:rsidRPr="0054777C" w:rsidRDefault="004C584B" w:rsidP="00F17F9D">
      <w:pPr>
        <w:spacing w:after="0" w:line="360" w:lineRule="auto"/>
      </w:pPr>
      <w:r w:rsidRPr="0054777C">
        <w:t xml:space="preserve">Ulrich Kramer, Germany </w:t>
      </w:r>
    </w:p>
    <w:p w14:paraId="69B55F95" w14:textId="77777777" w:rsidR="004C584B" w:rsidRPr="0054777C" w:rsidRDefault="004C584B" w:rsidP="00F17F9D">
      <w:pPr>
        <w:spacing w:after="0" w:line="360" w:lineRule="auto"/>
      </w:pPr>
      <w:r w:rsidRPr="0054777C">
        <w:t xml:space="preserve">Giso von der Recke, Germany </w:t>
      </w:r>
    </w:p>
    <w:p w14:paraId="6E20CE56" w14:textId="77777777" w:rsidR="004C584B" w:rsidRPr="0054777C" w:rsidRDefault="004C584B" w:rsidP="00F17F9D">
      <w:pPr>
        <w:spacing w:after="0" w:line="360" w:lineRule="auto"/>
      </w:pPr>
      <w:r w:rsidRPr="0054777C">
        <w:t xml:space="preserve">Kai Nassenstein, Germany </w:t>
      </w:r>
    </w:p>
    <w:p w14:paraId="7B98B911" w14:textId="77777777" w:rsidR="004C584B" w:rsidRPr="0054777C" w:rsidRDefault="004C584B" w:rsidP="00F17F9D">
      <w:pPr>
        <w:spacing w:after="0" w:line="360" w:lineRule="auto"/>
      </w:pPr>
      <w:r w:rsidRPr="0054777C">
        <w:t xml:space="preserve">Christoph Tillmanns, Germany </w:t>
      </w:r>
    </w:p>
    <w:p w14:paraId="2D00BCE2" w14:textId="77777777" w:rsidR="004C584B" w:rsidRPr="0054777C" w:rsidRDefault="004C584B" w:rsidP="00F17F9D">
      <w:pPr>
        <w:spacing w:after="0" w:line="360" w:lineRule="auto"/>
      </w:pPr>
      <w:r w:rsidRPr="0054777C">
        <w:t xml:space="preserve">Matthias Taupitz, Germany </w:t>
      </w:r>
    </w:p>
    <w:p w14:paraId="105AFFBF" w14:textId="77777777" w:rsidR="004C584B" w:rsidRPr="0054777C" w:rsidRDefault="004C584B" w:rsidP="00F17F9D">
      <w:pPr>
        <w:spacing w:after="0" w:line="360" w:lineRule="auto"/>
      </w:pPr>
      <w:r w:rsidRPr="0054777C">
        <w:t xml:space="preserve">Gregor Pache, Germany </w:t>
      </w:r>
    </w:p>
    <w:p w14:paraId="0E120D78" w14:textId="77777777" w:rsidR="004C584B" w:rsidRPr="0054777C" w:rsidRDefault="004C584B" w:rsidP="00F17F9D">
      <w:pPr>
        <w:spacing w:after="0" w:line="360" w:lineRule="auto"/>
      </w:pPr>
      <w:r w:rsidRPr="0054777C">
        <w:t xml:space="preserve">Oliver Mohrs, Germany </w:t>
      </w:r>
    </w:p>
    <w:p w14:paraId="659B6838" w14:textId="77777777" w:rsidR="004C584B" w:rsidRPr="0054777C" w:rsidRDefault="004C584B" w:rsidP="00F17F9D">
      <w:pPr>
        <w:spacing w:after="0" w:line="360" w:lineRule="auto"/>
      </w:pPr>
      <w:r w:rsidRPr="0054777C">
        <w:t xml:space="preserve">Joachim Lotz, Germany </w:t>
      </w:r>
    </w:p>
    <w:p w14:paraId="15FA0BF5" w14:textId="77777777" w:rsidR="004C584B" w:rsidRPr="0054777C" w:rsidRDefault="004C584B" w:rsidP="00F17F9D">
      <w:pPr>
        <w:spacing w:after="0" w:line="360" w:lineRule="auto"/>
      </w:pPr>
      <w:r w:rsidRPr="0054777C">
        <w:t xml:space="preserve">Sung-Min Ko, Korea </w:t>
      </w:r>
    </w:p>
    <w:p w14:paraId="34A960CA" w14:textId="77777777" w:rsidR="004C584B" w:rsidRPr="0054777C" w:rsidRDefault="004C584B" w:rsidP="00F17F9D">
      <w:pPr>
        <w:spacing w:after="0" w:line="360" w:lineRule="auto"/>
      </w:pPr>
      <w:r w:rsidRPr="0054777C">
        <w:t xml:space="preserve">Ki Seok Choo, Korea </w:t>
      </w:r>
    </w:p>
    <w:p w14:paraId="60F2F45B" w14:textId="77777777" w:rsidR="004C584B" w:rsidRPr="0054777C" w:rsidRDefault="004C584B" w:rsidP="00F17F9D">
      <w:pPr>
        <w:spacing w:after="0" w:line="360" w:lineRule="auto"/>
      </w:pPr>
      <w:r w:rsidRPr="0054777C">
        <w:t xml:space="preserve">Yon Mi Sung, Korea </w:t>
      </w:r>
    </w:p>
    <w:p w14:paraId="63953221" w14:textId="77777777" w:rsidR="004C584B" w:rsidRPr="0054777C" w:rsidRDefault="004C584B" w:rsidP="00F17F9D">
      <w:pPr>
        <w:spacing w:after="0" w:line="360" w:lineRule="auto"/>
      </w:pPr>
      <w:r w:rsidRPr="0054777C">
        <w:t xml:space="preserve">Joon-Won Kang, Korea </w:t>
      </w:r>
    </w:p>
    <w:p w14:paraId="6DB10B7B" w14:textId="77777777" w:rsidR="004C584B" w:rsidRPr="0054777C" w:rsidRDefault="004C584B" w:rsidP="00F17F9D">
      <w:pPr>
        <w:spacing w:after="0" w:line="360" w:lineRule="auto"/>
      </w:pPr>
      <w:r w:rsidRPr="0054777C">
        <w:t xml:space="preserve">Stefano Muzzarelli, Switzerland </w:t>
      </w:r>
    </w:p>
    <w:p w14:paraId="3C125250" w14:textId="77777777" w:rsidR="004C584B" w:rsidRPr="0054777C" w:rsidRDefault="004C584B" w:rsidP="00F17F9D">
      <w:pPr>
        <w:spacing w:after="0" w:line="360" w:lineRule="auto"/>
      </w:pPr>
      <w:r w:rsidRPr="0054777C">
        <w:t xml:space="preserve">Uma Valeti, USA </w:t>
      </w:r>
    </w:p>
    <w:p w14:paraId="25EC9ECE" w14:textId="77777777" w:rsidR="004C584B" w:rsidRPr="0054777C" w:rsidRDefault="004C584B" w:rsidP="00F17F9D">
      <w:pPr>
        <w:spacing w:after="0" w:line="360" w:lineRule="auto"/>
      </w:pPr>
      <w:r w:rsidRPr="0054777C">
        <w:t xml:space="preserve">Gerry McCann, UK </w:t>
      </w:r>
    </w:p>
    <w:p w14:paraId="01951337" w14:textId="77777777" w:rsidR="004C584B" w:rsidRPr="0054777C" w:rsidRDefault="004C584B" w:rsidP="00F17F9D">
      <w:pPr>
        <w:spacing w:after="0" w:line="360" w:lineRule="auto"/>
      </w:pPr>
      <w:r w:rsidRPr="0054777C">
        <w:t xml:space="preserve">Sukumaran Binukrishnam, UK </w:t>
      </w:r>
    </w:p>
    <w:p w14:paraId="4F0ED84E" w14:textId="77777777" w:rsidR="004C584B" w:rsidRPr="0054777C" w:rsidRDefault="004C584B" w:rsidP="00F17F9D">
      <w:pPr>
        <w:spacing w:after="0" w:line="360" w:lineRule="auto"/>
      </w:pPr>
      <w:r w:rsidRPr="0054777C">
        <w:t xml:space="preserve">Pierre Croisille, France </w:t>
      </w:r>
    </w:p>
    <w:p w14:paraId="078D1270" w14:textId="77777777" w:rsidR="004C584B" w:rsidRPr="0054777C" w:rsidRDefault="004C584B" w:rsidP="00F17F9D">
      <w:pPr>
        <w:spacing w:after="0" w:line="360" w:lineRule="auto"/>
      </w:pPr>
      <w:r w:rsidRPr="0054777C">
        <w:t xml:space="preserve">Alexis Jacquier, France </w:t>
      </w:r>
    </w:p>
    <w:p w14:paraId="4A09196B" w14:textId="77777777" w:rsidR="004C584B" w:rsidRPr="0054777C" w:rsidRDefault="004C584B" w:rsidP="00F17F9D">
      <w:pPr>
        <w:spacing w:after="0" w:line="360" w:lineRule="auto"/>
      </w:pPr>
      <w:r w:rsidRPr="0054777C">
        <w:t>Brett Cowan, New Zealand</w:t>
      </w:r>
      <w:r w:rsidRPr="0054777C">
        <w:br w:type="column"/>
      </w:r>
      <w:r w:rsidRPr="0054777C">
        <w:rPr>
          <w:b/>
          <w:bCs/>
        </w:rPr>
        <w:t xml:space="preserve">GadaCAD2 </w:t>
      </w:r>
    </w:p>
    <w:p w14:paraId="5A2109B1" w14:textId="77777777" w:rsidR="004C584B" w:rsidRPr="0054777C" w:rsidRDefault="004C584B" w:rsidP="00F17F9D">
      <w:pPr>
        <w:spacing w:after="0" w:line="360" w:lineRule="auto"/>
      </w:pPr>
      <w:r w:rsidRPr="0054777C">
        <w:t xml:space="preserve">Andrew Arai (Principal Investigator), USA </w:t>
      </w:r>
    </w:p>
    <w:p w14:paraId="407DB3C0" w14:textId="77777777" w:rsidR="004C584B" w:rsidRPr="0054777C" w:rsidRDefault="004C584B" w:rsidP="00F17F9D">
      <w:pPr>
        <w:spacing w:after="0" w:line="360" w:lineRule="auto"/>
      </w:pPr>
      <w:r w:rsidRPr="0054777C">
        <w:t xml:space="preserve">Daniel Berman (Consultant), USA </w:t>
      </w:r>
    </w:p>
    <w:p w14:paraId="3165AE88" w14:textId="77777777" w:rsidR="004C584B" w:rsidRPr="0054777C" w:rsidRDefault="004C584B" w:rsidP="00F17F9D">
      <w:pPr>
        <w:spacing w:after="0" w:line="360" w:lineRule="auto"/>
      </w:pPr>
      <w:r w:rsidRPr="0054777C">
        <w:t xml:space="preserve">Dipan Shah, USA </w:t>
      </w:r>
    </w:p>
    <w:p w14:paraId="24E572D2" w14:textId="77777777" w:rsidR="004C584B" w:rsidRPr="0054777C" w:rsidRDefault="004C584B" w:rsidP="00F17F9D">
      <w:pPr>
        <w:spacing w:after="0" w:line="360" w:lineRule="auto"/>
      </w:pPr>
      <w:r w:rsidRPr="0054777C">
        <w:t xml:space="preserve">W. Patricia Bandettini, USA </w:t>
      </w:r>
    </w:p>
    <w:p w14:paraId="1172ACD9" w14:textId="77777777" w:rsidR="004C584B" w:rsidRPr="0054777C" w:rsidRDefault="004C584B" w:rsidP="00F17F9D">
      <w:pPr>
        <w:spacing w:after="0" w:line="360" w:lineRule="auto"/>
      </w:pPr>
      <w:r w:rsidRPr="0054777C">
        <w:t xml:space="preserve">Yuchi Han, USA </w:t>
      </w:r>
    </w:p>
    <w:p w14:paraId="775DAA0A" w14:textId="77777777" w:rsidR="004C584B" w:rsidRPr="0054777C" w:rsidRDefault="004C584B" w:rsidP="00F17F9D">
      <w:pPr>
        <w:spacing w:after="0" w:line="360" w:lineRule="auto"/>
      </w:pPr>
      <w:r w:rsidRPr="0054777C">
        <w:t xml:space="preserve">Pamela Woodard, USA </w:t>
      </w:r>
    </w:p>
    <w:p w14:paraId="5F513E16" w14:textId="77777777" w:rsidR="004C584B" w:rsidRPr="0054777C" w:rsidRDefault="004C584B" w:rsidP="00F17F9D">
      <w:pPr>
        <w:spacing w:after="0" w:line="360" w:lineRule="auto"/>
      </w:pPr>
      <w:r w:rsidRPr="0054777C">
        <w:t xml:space="preserve">Ryan Avery, USA </w:t>
      </w:r>
    </w:p>
    <w:p w14:paraId="4AC7C6F4" w14:textId="77777777" w:rsidR="004C584B" w:rsidRPr="0054777C" w:rsidRDefault="004C584B" w:rsidP="00F17F9D">
      <w:pPr>
        <w:spacing w:after="0" w:line="360" w:lineRule="auto"/>
      </w:pPr>
      <w:r w:rsidRPr="0054777C">
        <w:t xml:space="preserve">Joseph Schoepf, USA </w:t>
      </w:r>
    </w:p>
    <w:p w14:paraId="6D286D3B" w14:textId="77777777" w:rsidR="004C584B" w:rsidRPr="0054777C" w:rsidRDefault="004C584B" w:rsidP="00F17F9D">
      <w:pPr>
        <w:spacing w:after="0" w:line="360" w:lineRule="auto"/>
      </w:pPr>
      <w:r w:rsidRPr="0054777C">
        <w:t xml:space="preserve">James Carr, USA </w:t>
      </w:r>
    </w:p>
    <w:p w14:paraId="42F37488" w14:textId="77777777" w:rsidR="004C584B" w:rsidRPr="0054777C" w:rsidRDefault="004C584B" w:rsidP="00F17F9D">
      <w:pPr>
        <w:spacing w:after="0" w:line="360" w:lineRule="auto"/>
      </w:pPr>
      <w:r w:rsidRPr="0054777C">
        <w:t xml:space="preserve">Christopher Kramer, USA </w:t>
      </w:r>
    </w:p>
    <w:p w14:paraId="10CA683D" w14:textId="77777777" w:rsidR="004C584B" w:rsidRPr="0054777C" w:rsidRDefault="004C584B" w:rsidP="00F17F9D">
      <w:pPr>
        <w:spacing w:after="0" w:line="360" w:lineRule="auto"/>
      </w:pPr>
      <w:r w:rsidRPr="0054777C">
        <w:t xml:space="preserve">Scott Flamm, USA </w:t>
      </w:r>
    </w:p>
    <w:p w14:paraId="400DB60A" w14:textId="77777777" w:rsidR="004C584B" w:rsidRPr="0054777C" w:rsidRDefault="004C584B" w:rsidP="00F17F9D">
      <w:pPr>
        <w:spacing w:after="0" w:line="360" w:lineRule="auto"/>
      </w:pPr>
      <w:r w:rsidRPr="0054777C">
        <w:t xml:space="preserve">Mukesh Harsinghani, USA </w:t>
      </w:r>
    </w:p>
    <w:p w14:paraId="690D7B37" w14:textId="77777777" w:rsidR="004C584B" w:rsidRPr="0054777C" w:rsidRDefault="004C584B" w:rsidP="00F17F9D">
      <w:pPr>
        <w:spacing w:after="0" w:line="360" w:lineRule="auto"/>
      </w:pPr>
      <w:r w:rsidRPr="0054777C">
        <w:t xml:space="preserve">Stamitios Lerakis, USA </w:t>
      </w:r>
    </w:p>
    <w:p w14:paraId="453CE82A" w14:textId="77777777" w:rsidR="004C584B" w:rsidRPr="0054777C" w:rsidRDefault="004C584B" w:rsidP="00F17F9D">
      <w:pPr>
        <w:spacing w:after="0" w:line="360" w:lineRule="auto"/>
      </w:pPr>
      <w:r w:rsidRPr="0054777C">
        <w:t xml:space="preserve">Raymond Kim, USA </w:t>
      </w:r>
    </w:p>
    <w:p w14:paraId="4CA35E69" w14:textId="77777777" w:rsidR="004C584B" w:rsidRPr="0054777C" w:rsidRDefault="004C584B" w:rsidP="00F17F9D">
      <w:pPr>
        <w:spacing w:after="0" w:line="360" w:lineRule="auto"/>
      </w:pPr>
      <w:r w:rsidRPr="0054777C">
        <w:t xml:space="preserve">Subha Raman, USA </w:t>
      </w:r>
    </w:p>
    <w:p w14:paraId="3269C31A" w14:textId="77777777" w:rsidR="004C584B" w:rsidRPr="0054777C" w:rsidRDefault="004C584B" w:rsidP="00F17F9D">
      <w:pPr>
        <w:spacing w:after="0" w:line="360" w:lineRule="auto"/>
      </w:pPr>
      <w:r w:rsidRPr="0054777C">
        <w:t xml:space="preserve">Francois Marcotte, Canada </w:t>
      </w:r>
    </w:p>
    <w:p w14:paraId="1E6E97EF" w14:textId="77777777" w:rsidR="004C584B" w:rsidRPr="0054777C" w:rsidRDefault="004C584B" w:rsidP="00F17F9D">
      <w:pPr>
        <w:spacing w:after="0" w:line="360" w:lineRule="auto"/>
      </w:pPr>
      <w:r w:rsidRPr="0054777C">
        <w:t xml:space="preserve">Ali Islam, Canada </w:t>
      </w:r>
    </w:p>
    <w:p w14:paraId="13C77D59" w14:textId="77777777" w:rsidR="004C584B" w:rsidRPr="0054777C" w:rsidRDefault="004C584B" w:rsidP="00F17F9D">
      <w:pPr>
        <w:spacing w:after="0" w:line="360" w:lineRule="auto"/>
      </w:pPr>
      <w:r w:rsidRPr="0054777C">
        <w:t xml:space="preserve">Matthias Friedrich, Canada </w:t>
      </w:r>
    </w:p>
    <w:p w14:paraId="67208AC8" w14:textId="77777777" w:rsidR="004C584B" w:rsidRPr="0054777C" w:rsidRDefault="004C584B" w:rsidP="00F17F9D">
      <w:pPr>
        <w:spacing w:after="0" w:line="360" w:lineRule="auto"/>
      </w:pPr>
      <w:r w:rsidRPr="0054777C">
        <w:t xml:space="preserve">Arun Abraham, Australia </w:t>
      </w:r>
    </w:p>
    <w:p w14:paraId="6679177C" w14:textId="77777777" w:rsidR="004C584B" w:rsidRPr="0054777C" w:rsidRDefault="004C584B" w:rsidP="00F17F9D">
      <w:pPr>
        <w:spacing w:after="0" w:line="360" w:lineRule="auto"/>
      </w:pPr>
      <w:r w:rsidRPr="0054777C">
        <w:t xml:space="preserve">Joseph Selvanayagam, Australia </w:t>
      </w:r>
    </w:p>
    <w:p w14:paraId="4E86E16A" w14:textId="77777777" w:rsidR="004C584B" w:rsidRPr="0054777C" w:rsidRDefault="004C584B" w:rsidP="00F17F9D">
      <w:pPr>
        <w:spacing w:after="0" w:line="360" w:lineRule="auto"/>
      </w:pPr>
      <w:r w:rsidRPr="0054777C">
        <w:t xml:space="preserve">Christian Hamilton-Craig, Australia </w:t>
      </w:r>
    </w:p>
    <w:p w14:paraId="27827288" w14:textId="77777777" w:rsidR="004C584B" w:rsidRPr="0054777C" w:rsidRDefault="004C584B" w:rsidP="00F17F9D">
      <w:pPr>
        <w:spacing w:after="0" w:line="360" w:lineRule="auto"/>
      </w:pPr>
      <w:r w:rsidRPr="0054777C">
        <w:t xml:space="preserve">Woon Kit Chong, Australia </w:t>
      </w:r>
    </w:p>
    <w:p w14:paraId="527088C6" w14:textId="77777777" w:rsidR="004C584B" w:rsidRPr="0054777C" w:rsidRDefault="004C584B" w:rsidP="00F17F9D">
      <w:pPr>
        <w:spacing w:after="0" w:line="360" w:lineRule="auto"/>
      </w:pPr>
      <w:r w:rsidRPr="0054777C">
        <w:t xml:space="preserve">Li San Lynette Teo, Singapore </w:t>
      </w:r>
    </w:p>
    <w:p w14:paraId="423BE4B4" w14:textId="77777777" w:rsidR="004C584B" w:rsidRPr="0054777C" w:rsidRDefault="004C584B" w:rsidP="00F17F9D">
      <w:pPr>
        <w:spacing w:after="0" w:line="360" w:lineRule="auto"/>
      </w:pPr>
      <w:r w:rsidRPr="0054777C">
        <w:t>Ru San Tan, Singapore</w:t>
      </w:r>
    </w:p>
    <w:p w14:paraId="0EC19FE4" w14:textId="77777777" w:rsidR="004C584B" w:rsidRPr="0054777C" w:rsidRDefault="004C584B" w:rsidP="004C584B">
      <w:pPr>
        <w:spacing w:after="0" w:line="240" w:lineRule="auto"/>
        <w:sectPr w:rsidR="004C584B" w:rsidRPr="0054777C" w:rsidSect="00F17F9D">
          <w:type w:val="continuous"/>
          <w:pgSz w:w="12240" w:h="15840" w:code="1"/>
          <w:pgMar w:top="1440" w:right="1440" w:bottom="1440" w:left="1440" w:header="720" w:footer="720" w:gutter="0"/>
          <w:cols w:num="2" w:space="720"/>
          <w:docGrid w:linePitch="360"/>
        </w:sectPr>
      </w:pPr>
    </w:p>
    <w:p w14:paraId="351FA0C8" w14:textId="77777777" w:rsidR="00544A9E" w:rsidRPr="0054777C" w:rsidRDefault="00544A9E" w:rsidP="00544A9E">
      <w:pPr>
        <w:spacing w:after="0" w:line="240" w:lineRule="auto"/>
      </w:pPr>
      <w:r w:rsidRPr="0054777C">
        <w:rPr>
          <w:b/>
          <w:bCs/>
        </w:rPr>
        <w:lastRenderedPageBreak/>
        <w:t xml:space="preserve">Practical and Technical Considerations for CMR imaging with Single Dose Contrast </w:t>
      </w:r>
    </w:p>
    <w:p w14:paraId="1967DFEA" w14:textId="77777777" w:rsidR="00544A9E" w:rsidRPr="0054777C" w:rsidRDefault="00544A9E" w:rsidP="00544A9E">
      <w:pPr>
        <w:spacing w:after="0" w:line="240" w:lineRule="auto"/>
      </w:pPr>
    </w:p>
    <w:p w14:paraId="4105E3E2" w14:textId="77777777" w:rsidR="00544A9E" w:rsidRPr="0054777C" w:rsidRDefault="00544A9E" w:rsidP="00544A9E">
      <w:pPr>
        <w:spacing w:after="0" w:line="240" w:lineRule="auto"/>
      </w:pPr>
      <w:r w:rsidRPr="0054777C">
        <w:t xml:space="preserve">The American College of Radiology recommends that, “…multiple factors need to be considered when selecting a GBCA, including diagnostic efficacy, relaxivity, rate of adverse reactions, dosing/concentration, and propensity to deposit in more sensitive organs such as the brain.”(1) </w:t>
      </w:r>
    </w:p>
    <w:p w14:paraId="1A0420B5" w14:textId="77777777" w:rsidR="00544A9E" w:rsidRPr="0054777C" w:rsidRDefault="00544A9E" w:rsidP="00544A9E">
      <w:pPr>
        <w:spacing w:after="0" w:line="240" w:lineRule="auto"/>
      </w:pPr>
      <w:r w:rsidRPr="0054777C">
        <w:t xml:space="preserve">The protocol for image acquisition and stress testing was created to increase odds of successful imaging when using a gadobutrol dosing scheme aimed at 0.1 mmol/kg body weight. For example, SSFP perfusion was used at 1.5T to benefit from higher signal to noise ratio than other perfusion methods but FLASH perfusion was used at 3T to avoid potential artifacts.(2) The timing allowed about 10 minutes between stress and rest perfusion imaging and started LGE imaging about 5 minutes after the second dose of contrast. Use of other GBCA should consider the relative relaxivity and other agent specific characteristics that might alter the dose of GBCA selected. </w:t>
      </w:r>
    </w:p>
    <w:p w14:paraId="2B677DCC" w14:textId="77777777" w:rsidR="00544A9E" w:rsidRPr="0054777C" w:rsidRDefault="00544A9E" w:rsidP="00544A9E">
      <w:pPr>
        <w:spacing w:after="0" w:line="240" w:lineRule="auto"/>
      </w:pPr>
    </w:p>
    <w:p w14:paraId="3C51BDDF" w14:textId="77777777" w:rsidR="00544A9E" w:rsidRPr="0054777C" w:rsidRDefault="00544A9E" w:rsidP="00544A9E">
      <w:pPr>
        <w:spacing w:after="0" w:line="240" w:lineRule="auto"/>
      </w:pPr>
      <w:r w:rsidRPr="0054777C">
        <w:t xml:space="preserve">When using low doses of GBCAs for CMR, it is important to carefully manage time between the contrast administration and the LGE imaging for optimizing the contrast-to-noise ratio. A fixed inversion time (TI) for LGE imaging was used to reduce the need for a technologist to adjust TI as the time to make adjustments may have allowed the contrast to washout before good quality LGE images were obtained. </w:t>
      </w:r>
    </w:p>
    <w:p w14:paraId="26EDE7C9" w14:textId="77777777" w:rsidR="00544A9E" w:rsidRPr="0054777C" w:rsidRDefault="00544A9E" w:rsidP="00544A9E">
      <w:pPr>
        <w:spacing w:after="0" w:line="240" w:lineRule="auto"/>
      </w:pPr>
      <w:r w:rsidRPr="0054777C">
        <w:t xml:space="preserve">Gadobutrol has a relatively high relaxivity,(3) a term that describes the strength of a GBCA. A higher relaxivity leads to a shorter T1 and thus generally translates to higher signal intensity on a heavily T1-weighted perfusion sequence as used in CMR stress tests. From the perspective of different GBCAs, the relaxivity of gadoterate meglumine (Dotarem™) is approximately 40% lower than Gadobutrol (Gadavist™)(4) and thus might be expected to require a higher dose for equivalent effect on a T1 weighted sequence like perfusion or LGE imaging. Gadobutrol also has relatively high stability.(5) </w:t>
      </w:r>
    </w:p>
    <w:p w14:paraId="0FE1C059" w14:textId="77777777" w:rsidR="00544A9E" w:rsidRPr="0054777C" w:rsidRDefault="00544A9E" w:rsidP="00544A9E">
      <w:pPr>
        <w:spacing w:after="0" w:line="240" w:lineRule="auto"/>
      </w:pPr>
      <w:r w:rsidRPr="0054777C">
        <w:t xml:space="preserve">The GadaCAD LGE image acquisition protocol also included both conventional magnitude (6) and phase sensitive inversion recovery (PSIR) reconstructions(7). With a correct inversion time, the magnitude and PSIR LGE images look similar. When the inversion time is too long or too short, magnitude images may be non-diagnostic but the same data can produce diagnostic quality PSIR LGE images even if the inversion time were off by 100 ms. </w:t>
      </w:r>
    </w:p>
    <w:p w14:paraId="629CBDE4" w14:textId="77777777" w:rsidR="00544A9E" w:rsidRPr="0054777C" w:rsidRDefault="00544A9E" w:rsidP="00544A9E">
      <w:pPr>
        <w:spacing w:after="0" w:line="240" w:lineRule="auto"/>
      </w:pPr>
    </w:p>
    <w:p w14:paraId="322DD06F" w14:textId="77777777" w:rsidR="00544A9E" w:rsidRPr="0054777C" w:rsidRDefault="00544A9E" w:rsidP="00544A9E">
      <w:pPr>
        <w:spacing w:after="0" w:line="240" w:lineRule="auto"/>
      </w:pPr>
      <w:r w:rsidRPr="0054777C">
        <w:t xml:space="preserve">During review of the GadaCAD studies, the availability of 4 types of LGE images (single shot magnitude IR, single shot PSIR, high resolution magnitude IR and high resolution PSIR) meant that diagnostic quality images could be obtained in the great majority of participants. Single shot images are often better than the high resolution in patients who cannot hold their breath well, who have arrhythmias, or have poor ECG gating. PSIR images, either single shot or high resolution, are typically better than magnitude LGE images when the inversion time is incorrect. When the inversion time is correct, the segmented magnitude IR LGE images are frequently the best LGE images. </w:t>
      </w:r>
    </w:p>
    <w:p w14:paraId="22A20ECA" w14:textId="77777777" w:rsidR="00544A9E" w:rsidRPr="0054777C" w:rsidRDefault="00544A9E" w:rsidP="00544A9E">
      <w:pPr>
        <w:spacing w:after="0" w:line="240" w:lineRule="auto"/>
      </w:pPr>
    </w:p>
    <w:p w14:paraId="3E1E1467" w14:textId="77777777" w:rsidR="004C584B" w:rsidRPr="0054777C" w:rsidRDefault="00544A9E" w:rsidP="00544A9E">
      <w:pPr>
        <w:spacing w:after="0" w:line="240" w:lineRule="auto"/>
      </w:pPr>
      <w:r w:rsidRPr="0054777C">
        <w:t>Excluding patients with an acute MI within the prior 14 days may have helped avoid possible overestimation of infarct transmurality due to edema (8). Overestimation of MI size by early gadolinium enhanced imaging is a controversial issue that may occur in non-STEMI when starting LGE imaging 5 minutes after a dose of contrast. Other carefully controlled studies have not seen overestimation of MI size when imaged 5 minutes after administration of gadolinium-based contrast agents (9,10).</w:t>
      </w:r>
    </w:p>
    <w:p w14:paraId="23019607" w14:textId="77777777" w:rsidR="00544A9E" w:rsidRPr="0054777C" w:rsidRDefault="00544A9E" w:rsidP="00544A9E">
      <w:pPr>
        <w:spacing w:after="0" w:line="240" w:lineRule="auto"/>
      </w:pPr>
    </w:p>
    <w:p w14:paraId="0EE53F85" w14:textId="77777777" w:rsidR="00544A9E" w:rsidRPr="0054777C" w:rsidRDefault="00544A9E" w:rsidP="00544A9E">
      <w:pPr>
        <w:spacing w:after="0" w:line="240" w:lineRule="auto"/>
        <w:rPr>
          <w:b/>
          <w:bCs/>
        </w:rPr>
      </w:pPr>
      <w:r w:rsidRPr="0054777C">
        <w:rPr>
          <w:b/>
          <w:bCs/>
        </w:rPr>
        <w:t xml:space="preserve">References for this page: </w:t>
      </w:r>
    </w:p>
    <w:p w14:paraId="0BC294E8" w14:textId="77777777" w:rsidR="00544A9E" w:rsidRPr="0054777C" w:rsidRDefault="00544A9E" w:rsidP="00544A9E">
      <w:pPr>
        <w:spacing w:after="0" w:line="240" w:lineRule="auto"/>
      </w:pPr>
    </w:p>
    <w:p w14:paraId="42D7359D" w14:textId="77777777" w:rsidR="00544A9E" w:rsidRPr="0054777C" w:rsidRDefault="00544A9E" w:rsidP="00544A9E">
      <w:pPr>
        <w:spacing w:after="0" w:line="240" w:lineRule="auto"/>
        <w:ind w:left="360" w:hanging="360"/>
      </w:pPr>
      <w:r w:rsidRPr="0054777C">
        <w:t xml:space="preserve">1. ACR Committee on Drugs and Contrast Media. ACR Manual on Contrast Media, Version 10.3.Copyright 2018 American College of Radiology. ISBN: 978-1-55903-012-0 2018 </w:t>
      </w:r>
    </w:p>
    <w:p w14:paraId="55309DC1" w14:textId="77777777" w:rsidR="00544A9E" w:rsidRPr="0054777C" w:rsidRDefault="00544A9E" w:rsidP="00544A9E">
      <w:pPr>
        <w:spacing w:after="0" w:line="240" w:lineRule="auto"/>
        <w:ind w:left="360" w:hanging="360"/>
      </w:pPr>
      <w:r w:rsidRPr="0054777C">
        <w:lastRenderedPageBreak/>
        <w:t xml:space="preserve">2. Kellman P, Arai AE. Imaging sequences for first pass perfusion --a review. J Cardiovasc Magn Reson 2007;9:525-37. </w:t>
      </w:r>
    </w:p>
    <w:p w14:paraId="4520C729" w14:textId="77777777" w:rsidR="00544A9E" w:rsidRPr="0054777C" w:rsidRDefault="00544A9E" w:rsidP="00544A9E">
      <w:pPr>
        <w:spacing w:after="0" w:line="240" w:lineRule="auto"/>
        <w:ind w:left="360" w:hanging="360"/>
      </w:pPr>
      <w:r w:rsidRPr="0054777C">
        <w:t xml:space="preserve">3. Frenzel T, Lengsfeld P, Schirmer H, Hutter J, Weinmann HJ. Stability of gadolinium-based magnetic resonance imaging contrast agents in human serum at 37 degrees C. Invest Radiol. 2008 Dec;43(12):817-28. </w:t>
      </w:r>
    </w:p>
    <w:p w14:paraId="158545C4" w14:textId="77777777" w:rsidR="00544A9E" w:rsidRPr="0054777C" w:rsidRDefault="00544A9E" w:rsidP="00544A9E">
      <w:pPr>
        <w:spacing w:after="0" w:line="240" w:lineRule="auto"/>
        <w:ind w:left="360" w:hanging="360"/>
      </w:pPr>
      <w:r w:rsidRPr="0054777C">
        <w:t xml:space="preserve">4. Hao, D., Ai, T., Goerner, F., Hu, X., Runge, V. M., Tweedle, M. MRI contrast agents: basic chemistry and safety. J Magn Reson Imaging2012;36:1060-71. </w:t>
      </w:r>
    </w:p>
    <w:p w14:paraId="34D229D3" w14:textId="77777777" w:rsidR="00544A9E" w:rsidRPr="0054777C" w:rsidRDefault="00544A9E" w:rsidP="00544A9E">
      <w:pPr>
        <w:spacing w:after="0" w:line="240" w:lineRule="auto"/>
        <w:ind w:left="360" w:hanging="360"/>
      </w:pPr>
      <w:r w:rsidRPr="0054777C">
        <w:t xml:space="preserve">5. Szomolanyi : Szomolanyi P, Rohrer M, Frenzel T, et al. Comparison of the relaxivities of macrocyclic gadolinium-based contrast agents in human plasma at 1, 5, 3, and 7T, and blood at 3T. (Invest Radiol. 2019 Sep;54(9):559-564. </w:t>
      </w:r>
    </w:p>
    <w:p w14:paraId="7D9B5146" w14:textId="77777777" w:rsidR="00544A9E" w:rsidRPr="0054777C" w:rsidRDefault="00544A9E" w:rsidP="00544A9E">
      <w:pPr>
        <w:spacing w:after="0" w:line="240" w:lineRule="auto"/>
        <w:ind w:left="360" w:hanging="360"/>
      </w:pPr>
      <w:r w:rsidRPr="0054777C">
        <w:t xml:space="preserve">6. Simonetti OP, Kim RJ, Fieno DS et al. An improved MR imaging technique for the visualization of myocardial infarction. Radiology 2001;218:215-23. </w:t>
      </w:r>
    </w:p>
    <w:p w14:paraId="4A89F186" w14:textId="77777777" w:rsidR="00544A9E" w:rsidRPr="0054777C" w:rsidRDefault="00544A9E" w:rsidP="00544A9E">
      <w:pPr>
        <w:spacing w:after="0" w:line="240" w:lineRule="auto"/>
        <w:ind w:left="360" w:hanging="360"/>
      </w:pPr>
      <w:r w:rsidRPr="0054777C">
        <w:t xml:space="preserve">7. Kellman P, Arai AE, McVeigh ER, Aletras AH. Phase-sensitive inversion recovery for detecting myocardial infarction using gadolinium-delayed hyperenhancement. Magn Reson Med 2002;47:372-83. </w:t>
      </w:r>
    </w:p>
    <w:p w14:paraId="29038EB4" w14:textId="77777777" w:rsidR="00544A9E" w:rsidRPr="0054777C" w:rsidRDefault="00544A9E" w:rsidP="00544A9E">
      <w:pPr>
        <w:spacing w:after="0" w:line="240" w:lineRule="auto"/>
        <w:ind w:left="360" w:hanging="360"/>
      </w:pPr>
      <w:r w:rsidRPr="0054777C">
        <w:t xml:space="preserve">8. Hammer-Hansen S, Bandettini WP, Hsu LY et al. Mechanisms for overestimating acute myocardial infarct size with gadolinium-enhanced cardiovascular magnetic resonance imaging in humans: a quantitative and kinetic study. Eur Heart J Cardiovasc Imaging 2016;17:76-84. </w:t>
      </w:r>
    </w:p>
    <w:p w14:paraId="08864DE2" w14:textId="77777777" w:rsidR="00544A9E" w:rsidRPr="0054777C" w:rsidRDefault="00544A9E" w:rsidP="00544A9E">
      <w:pPr>
        <w:spacing w:after="0" w:line="240" w:lineRule="auto"/>
        <w:ind w:left="360" w:hanging="360"/>
      </w:pPr>
      <w:r w:rsidRPr="0054777C">
        <w:t xml:space="preserve">9. Kim HW, Van Assche L, Jennings RB et al. Relationship of T2-Weighted MRI Myocardial Hyperintensity and the Ischemic Area-At-Risk. Circ Res 2015;117:254-65. </w:t>
      </w:r>
    </w:p>
    <w:p w14:paraId="23669D50" w14:textId="77777777" w:rsidR="00544A9E" w:rsidRPr="0054777C" w:rsidRDefault="00544A9E" w:rsidP="00544A9E">
      <w:pPr>
        <w:spacing w:after="0" w:line="240" w:lineRule="auto"/>
        <w:ind w:left="360" w:hanging="360"/>
      </w:pPr>
      <w:r w:rsidRPr="0054777C">
        <w:t xml:space="preserve">10. Wagner A, Mahrholdt H, Thomson L et al. Effects of time, dose, and inversion time for acute myocardial infarct size measurements based on magnetic resonance imaging-delayed contrast enhancement. J Am Coll Cardiol 2006;47:2027-33. </w:t>
      </w:r>
    </w:p>
    <w:p w14:paraId="32ADC11B" w14:textId="77777777" w:rsidR="00C22D16" w:rsidRPr="0054777C" w:rsidRDefault="00C22D16">
      <w:r w:rsidRPr="0054777C">
        <w:br w:type="page"/>
      </w:r>
    </w:p>
    <w:p w14:paraId="4ED607BE" w14:textId="77777777" w:rsidR="002B0F60" w:rsidRPr="0054777C" w:rsidRDefault="002B0F60">
      <w:pPr>
        <w:rPr>
          <w:b/>
          <w:bCs/>
        </w:rPr>
      </w:pPr>
      <w:r w:rsidRPr="0054777C">
        <w:rPr>
          <w:b/>
          <w:bCs/>
        </w:rPr>
        <w:lastRenderedPageBreak/>
        <w:t>Supplementary Table 1</w:t>
      </w:r>
    </w:p>
    <w:p w14:paraId="03F3E330" w14:textId="77777777" w:rsidR="00F246EA" w:rsidRPr="0054777C" w:rsidRDefault="00F246EA">
      <w:pPr>
        <w:rPr>
          <w:b/>
          <w:bCs/>
        </w:rPr>
      </w:pPr>
      <w:r w:rsidRPr="0054777C">
        <w:rPr>
          <w:b/>
          <w:bCs/>
        </w:rPr>
        <w:t>Inclusion Criteria</w:t>
      </w:r>
    </w:p>
    <w:p w14:paraId="3E5F4FC6" w14:textId="77777777" w:rsidR="009B0626" w:rsidRPr="0054777C" w:rsidRDefault="009B0626" w:rsidP="009B0626">
      <w:r w:rsidRPr="0054777C">
        <w:t xml:space="preserve">1) Male or female subjects aged </w:t>
      </w:r>
      <w:r w:rsidRPr="0054777C">
        <w:t>18 years.</w:t>
      </w:r>
    </w:p>
    <w:p w14:paraId="698446A1" w14:textId="77777777" w:rsidR="009B0626" w:rsidRPr="0054777C" w:rsidRDefault="009B0626" w:rsidP="009B0626">
      <w:r w:rsidRPr="0054777C">
        <w:t>2) Subjects with suspected or known CAD based on signs and/or (typical or atypical) chest pain who:</w:t>
      </w:r>
    </w:p>
    <w:p w14:paraId="12967751" w14:textId="77777777" w:rsidR="009B0626" w:rsidRPr="0054777C" w:rsidRDefault="009B0626" w:rsidP="002044EB">
      <w:pPr>
        <w:ind w:left="720"/>
      </w:pPr>
      <w:r w:rsidRPr="0054777C">
        <w:t>a) have undergone routine CA without intervention within 4 weeks prior to gadobutrol enhanced</w:t>
      </w:r>
    </w:p>
    <w:p w14:paraId="316C1653" w14:textId="77777777" w:rsidR="009B0626" w:rsidRPr="0054777C" w:rsidRDefault="009B0626" w:rsidP="002044EB">
      <w:pPr>
        <w:ind w:left="720"/>
      </w:pPr>
      <w:r w:rsidRPr="0054777C">
        <w:t>CMRI or</w:t>
      </w:r>
    </w:p>
    <w:p w14:paraId="1AA134F6" w14:textId="77777777" w:rsidR="009B0626" w:rsidRPr="0054777C" w:rsidRDefault="009B0626" w:rsidP="002044EB">
      <w:pPr>
        <w:ind w:left="720"/>
      </w:pPr>
      <w:r w:rsidRPr="0054777C">
        <w:t>b) are scheduled for routine CA within 4 weeks after gadobutrol-enhanced CMRI or</w:t>
      </w:r>
    </w:p>
    <w:p w14:paraId="35798DCC" w14:textId="77777777" w:rsidR="009B0626" w:rsidRPr="0054777C" w:rsidRDefault="009B0626" w:rsidP="002044EB">
      <w:pPr>
        <w:ind w:left="720"/>
      </w:pPr>
      <w:r w:rsidRPr="0054777C">
        <w:t>c) are at low risk for CAD and have undergone / are scheduled for routine CTA for the clinical purpose of exclusion of CAD within ± 4 weeks of gadobutrol-enhanced</w:t>
      </w:r>
      <w:r w:rsidR="00E9679B" w:rsidRPr="0054777C">
        <w:t xml:space="preserve"> CMRI.</w:t>
      </w:r>
    </w:p>
    <w:p w14:paraId="13418914" w14:textId="77777777" w:rsidR="009B0626" w:rsidRPr="0054777C" w:rsidRDefault="009B0626" w:rsidP="009B0626">
      <w:r w:rsidRPr="0054777C">
        <w:t>1) A subject is included if CTA excludes significant CAD.</w:t>
      </w:r>
    </w:p>
    <w:p w14:paraId="5434800F" w14:textId="77777777" w:rsidR="009B0626" w:rsidRPr="0054777C" w:rsidRDefault="009B0626" w:rsidP="009B0626">
      <w:r w:rsidRPr="0054777C">
        <w:t>2) In case of an equivocal or positive CTA, the subject is included only if CA is available for that particular subject either within 4 weeks prior to gadobutrol enhanced CMRI or up to 6 weeks after gadobutrol-enhanced CMRI.</w:t>
      </w:r>
    </w:p>
    <w:p w14:paraId="7D219756" w14:textId="77777777" w:rsidR="009B0626" w:rsidRPr="0054777C" w:rsidRDefault="009B0626" w:rsidP="009B0626">
      <w:r w:rsidRPr="0054777C">
        <w:t>3) Subjects who are scheduled for / have undergone routine GSPECT or undergo GSPECT</w:t>
      </w:r>
      <w:r w:rsidR="002044EB" w:rsidRPr="0054777C">
        <w:t xml:space="preserve"> </w:t>
      </w:r>
      <w:r w:rsidRPr="0054777C">
        <w:t>as a study procedure at stress and at rest within ± 4 weeks of gadobutrol-enhanced CMRI.</w:t>
      </w:r>
      <w:r w:rsidR="002044EB" w:rsidRPr="0054777C">
        <w:t xml:space="preserve"> This only applied to GadaCAD2</w:t>
      </w:r>
    </w:p>
    <w:p w14:paraId="0CB7C0EC" w14:textId="77777777" w:rsidR="009B0626" w:rsidRPr="0054777C" w:rsidRDefault="009B0626" w:rsidP="009B0626">
      <w:r w:rsidRPr="0054777C">
        <w:t>4) Willingness to undergo unenhanced wall motion and gadobutrol-enhanced CMRI at</w:t>
      </w:r>
      <w:r w:rsidR="002044EB" w:rsidRPr="0054777C">
        <w:t xml:space="preserve"> </w:t>
      </w:r>
      <w:r w:rsidRPr="0054777C">
        <w:t>stress/rest and GSPECT (if GSPECT will be a study procedure).</w:t>
      </w:r>
      <w:r w:rsidR="002044EB" w:rsidRPr="0054777C">
        <w:t xml:space="preserve"> This only applied to GadaCAD2</w:t>
      </w:r>
    </w:p>
    <w:p w14:paraId="0070C8D3" w14:textId="77777777" w:rsidR="009B0626" w:rsidRPr="0054777C" w:rsidRDefault="009B0626" w:rsidP="009B0626">
      <w:r w:rsidRPr="0054777C">
        <w:t>5) Willingness and ability to follow directions and complete all study procedures as specified</w:t>
      </w:r>
      <w:r w:rsidR="002044EB" w:rsidRPr="0054777C">
        <w:t xml:space="preserve"> </w:t>
      </w:r>
      <w:r w:rsidRPr="0054777C">
        <w:t>in the protocol.</w:t>
      </w:r>
    </w:p>
    <w:p w14:paraId="01D4E4C7" w14:textId="77777777" w:rsidR="009B0626" w:rsidRPr="0054777C" w:rsidRDefault="009B0626" w:rsidP="009B0626">
      <w:r w:rsidRPr="0054777C">
        <w:t>6) Women of childbearing potential only: use of any medically accepted means of</w:t>
      </w:r>
      <w:r w:rsidR="002044EB" w:rsidRPr="0054777C">
        <w:t xml:space="preserve"> </w:t>
      </w:r>
      <w:r w:rsidRPr="0054777C">
        <w:t>contraception and a negative pregnancy test on the day of gadobutrol-enhanced CMRI</w:t>
      </w:r>
      <w:r w:rsidR="002044EB" w:rsidRPr="0054777C">
        <w:t xml:space="preserve"> </w:t>
      </w:r>
      <w:r w:rsidRPr="0054777C">
        <w:t>prior to administration of study drug.</w:t>
      </w:r>
    </w:p>
    <w:p w14:paraId="5F595A84" w14:textId="77777777" w:rsidR="009B0626" w:rsidRPr="0054777C" w:rsidRDefault="009B0626" w:rsidP="009B0626">
      <w:r w:rsidRPr="0054777C">
        <w:t>Women without childbearing potential only: one or more of the following has to apply:</w:t>
      </w:r>
      <w:r w:rsidR="002044EB" w:rsidRPr="0054777C">
        <w:t xml:space="preserve"> </w:t>
      </w:r>
    </w:p>
    <w:p w14:paraId="01F27673" w14:textId="77777777" w:rsidR="009B0626" w:rsidRPr="0054777C" w:rsidRDefault="009B0626" w:rsidP="009B0626">
      <w:r w:rsidRPr="0054777C">
        <w:t>age ≥ 60 / history of surgical sterilization or hysterectomy / last spontaneous bleeding at</w:t>
      </w:r>
      <w:r w:rsidR="002044EB" w:rsidRPr="0054777C">
        <w:t xml:space="preserve"> </w:t>
      </w:r>
      <w:r w:rsidRPr="0054777C">
        <w:t>least 2 years prior to study.</w:t>
      </w:r>
    </w:p>
    <w:p w14:paraId="4DB6C1A4" w14:textId="77777777" w:rsidR="009B0626" w:rsidRPr="0054777C" w:rsidRDefault="009B0626" w:rsidP="009B0626">
      <w:r w:rsidRPr="0054777C">
        <w:t>7) Written informed consent (IC), including information about the provisions of the Health</w:t>
      </w:r>
      <w:r w:rsidR="002044EB" w:rsidRPr="0054777C">
        <w:t xml:space="preserve"> </w:t>
      </w:r>
      <w:r w:rsidRPr="0054777C">
        <w:t>Insurance Portability and Accountability Act (HIPAA) as applicable.</w:t>
      </w:r>
    </w:p>
    <w:p w14:paraId="772F7C54" w14:textId="77777777" w:rsidR="002044EB" w:rsidRPr="0054777C" w:rsidRDefault="009B0626" w:rsidP="009B0626">
      <w:pPr>
        <w:rPr>
          <w:b/>
          <w:bCs/>
        </w:rPr>
      </w:pPr>
      <w:r w:rsidRPr="0054777C">
        <w:rPr>
          <w:b/>
          <w:bCs/>
        </w:rPr>
        <w:t>Exclusion Criteria</w:t>
      </w:r>
    </w:p>
    <w:p w14:paraId="73C1ABDB" w14:textId="77777777" w:rsidR="002044EB" w:rsidRPr="0054777C" w:rsidRDefault="002044EB" w:rsidP="002044EB">
      <w:r w:rsidRPr="0054777C">
        <w:t>1) Pregnant or nursing (including pumping for storage and feeding).</w:t>
      </w:r>
    </w:p>
    <w:p w14:paraId="67EAEED0" w14:textId="77777777" w:rsidR="002044EB" w:rsidRPr="0054777C" w:rsidRDefault="002044EB" w:rsidP="002044EB">
      <w:r w:rsidRPr="0054777C">
        <w:t>2) Received any other investigational product or participation in any other interventional clinical study within 15 days prior to enrollment in this study.</w:t>
      </w:r>
    </w:p>
    <w:p w14:paraId="3AD87DF3" w14:textId="77777777" w:rsidR="002044EB" w:rsidRPr="0054777C" w:rsidRDefault="002044EB" w:rsidP="002044EB">
      <w:r w:rsidRPr="0054777C">
        <w:lastRenderedPageBreak/>
        <w:t>3) Suspected clinical instability or unpredictability of the clinical course during the study period (e.g. due to previous surgery or acute stroke).</w:t>
      </w:r>
    </w:p>
    <w:p w14:paraId="1E64ABB2" w14:textId="77777777" w:rsidR="002044EB" w:rsidRPr="0054777C" w:rsidRDefault="002044EB" w:rsidP="002044EB">
      <w:r w:rsidRPr="0054777C">
        <w:t xml:space="preserve">4) Any scheduled procedure such as interventional (PCI, stenting) or surgical treatment that may alter / may have altered the cardiac condition regarding myocardial perfusion status and / or stenosis degree between CMRI, GSPECT, and CA or CTA. </w:t>
      </w:r>
      <w:bookmarkStart w:id="1" w:name="_Hlk38290917"/>
      <w:r w:rsidRPr="0054777C">
        <w:t>GSPECT criterion only applied to GadaCAD2</w:t>
      </w:r>
      <w:bookmarkEnd w:id="1"/>
    </w:p>
    <w:p w14:paraId="171B8C08" w14:textId="77777777" w:rsidR="002044EB" w:rsidRPr="0054777C" w:rsidRDefault="002044EB" w:rsidP="002044EB">
      <w:r w:rsidRPr="0054777C">
        <w:t>5) Any contrast agent ± 24 h prior to or after gadobutrol-enhanced CMRI (i.e. ensure minimum interval of 24 h between the SoR and the CMRI). This does not apply to the nuclear tracer needed for GSPECT and for emergency CA. GSPECT criterion only applied to GadaCAD2</w:t>
      </w:r>
    </w:p>
    <w:p w14:paraId="16D7C382" w14:textId="77777777" w:rsidR="002044EB" w:rsidRPr="0054777C" w:rsidRDefault="002044EB" w:rsidP="002044EB">
      <w:r w:rsidRPr="0054777C">
        <w:t>6) Contraindication to the cardiac MRI examination (e.g. inability to hold breath; severe arrhythmias preventing gated acquisition; very low cardiac output, severe claustrophobia, defibrillators, or other metallic devices not approved for MRI, e.g. pace makers).</w:t>
      </w:r>
    </w:p>
    <w:p w14:paraId="6E741955" w14:textId="77777777" w:rsidR="002044EB" w:rsidRPr="0054777C" w:rsidRDefault="002044EB" w:rsidP="002044EB">
      <w:r w:rsidRPr="0054777C">
        <w:t>7) History of severe allergic or anaphylactoid reaction to any allergen including drugs and contrast agents according to the investigator’s assessment / judgment.</w:t>
      </w:r>
    </w:p>
    <w:p w14:paraId="76FCBA2D" w14:textId="77777777" w:rsidR="002044EB" w:rsidRPr="0054777C" w:rsidRDefault="002044EB" w:rsidP="002044EB">
      <w:r w:rsidRPr="0054777C">
        <w:t>8) Estimated glomerular filtration rate (eGFR) value &lt;30 mL/min/1.73 m2 derived from a serum / blood creatinine result within 2 weeks prior to gadobutrol injection. Any subject on hemodialysis or peritoneal dialysis is excluded from enrollment. Note: if there are multiple eGFR values, the value obtained prior to and closest to the time of the gadobutrol-enhanced CMRI should be used.</w:t>
      </w:r>
    </w:p>
    <w:p w14:paraId="587F4A8E" w14:textId="77777777" w:rsidR="002044EB" w:rsidRPr="0054777C" w:rsidRDefault="002044EB" w:rsidP="002044EB">
      <w:r w:rsidRPr="0054777C">
        <w:t>9) Acute renal insufficiency of any intensity.</w:t>
      </w:r>
    </w:p>
    <w:p w14:paraId="265C0D51" w14:textId="77777777" w:rsidR="002044EB" w:rsidRPr="0054777C" w:rsidRDefault="002044EB" w:rsidP="002044EB">
      <w:r w:rsidRPr="0054777C">
        <w:t>10) Previous enrollment into this study or any other Bayer-sponsored study using gadobutrol.</w:t>
      </w:r>
    </w:p>
    <w:p w14:paraId="3477AD33" w14:textId="77777777" w:rsidR="002044EB" w:rsidRPr="0054777C" w:rsidRDefault="002044EB" w:rsidP="002044EB">
      <w:r w:rsidRPr="0054777C">
        <w:t>11) Coronary artery bypass grafting (CABG).</w:t>
      </w:r>
    </w:p>
    <w:p w14:paraId="6E3C5005" w14:textId="77777777" w:rsidR="002044EB" w:rsidRPr="0054777C" w:rsidRDefault="002044EB" w:rsidP="002044EB">
      <w:r w:rsidRPr="0054777C">
        <w:t>12) Acute myocardial infarction (&lt; 14 days prior to inclusion), unstable angina / acute coronary syndrome, severe congestive heart failure (New York Heart Association Class IV), decompensated heart failure with ejection fraction &lt;35%.</w:t>
      </w:r>
    </w:p>
    <w:p w14:paraId="1AD6CF7F" w14:textId="74E552F9" w:rsidR="002044EB" w:rsidRPr="0054777C" w:rsidRDefault="002044EB" w:rsidP="002044EB">
      <w:r w:rsidRPr="0054777C">
        <w:t>13) Irregular heart rhythm preventing gating for gadobutrol-enhanced CMRI (e.g.</w:t>
      </w:r>
      <w:r w:rsidR="0054777C">
        <w:t xml:space="preserve"> </w:t>
      </w:r>
      <w:r w:rsidRPr="0054777C">
        <w:t>absolute arrhythmia) and/or CTA.</w:t>
      </w:r>
    </w:p>
    <w:p w14:paraId="3DE30265" w14:textId="77777777" w:rsidR="002044EB" w:rsidRPr="0054777C" w:rsidRDefault="002044EB" w:rsidP="002044EB">
      <w:r w:rsidRPr="0054777C">
        <w:t>14) Sinus node disease (e.g. SA block) or symptomatic bradycardia, second or third degree atrioventricular (AV) block.</w:t>
      </w:r>
    </w:p>
    <w:p w14:paraId="48DFAC91" w14:textId="77777777" w:rsidR="002044EB" w:rsidRPr="0054777C" w:rsidRDefault="002044EB" w:rsidP="002044EB">
      <w:r w:rsidRPr="0054777C">
        <w:t>15) Pre-existing obstructive lung disease (e.g. asthma) that precludes the safe administration of the pharmacological stressor according to the approved label.</w:t>
      </w:r>
    </w:p>
    <w:p w14:paraId="47EC0247" w14:textId="77777777" w:rsidR="002044EB" w:rsidRPr="0054777C" w:rsidRDefault="002044EB" w:rsidP="002044EB">
      <w:r w:rsidRPr="0054777C">
        <w:t>16) Uncontrolled and severe hypertension (e.g. systolic blood pressure &gt;200 mmHg, diastolic blood pressure &gt;110 mmHg) (warnings in regadenoson and adenosine product information).</w:t>
      </w:r>
    </w:p>
    <w:p w14:paraId="44204232" w14:textId="77777777" w:rsidR="002044EB" w:rsidRPr="0054777C" w:rsidRDefault="002044EB" w:rsidP="002044EB">
      <w:r w:rsidRPr="0054777C">
        <w:t>17) Baseline hypotension (e.g. systolic blood pressure &lt; 90 mmHg, diastolic blood pressure &lt;50 mmHg) (warnings in regadenoson and adenosine product information).</w:t>
      </w:r>
    </w:p>
    <w:p w14:paraId="2498614A" w14:textId="77777777" w:rsidR="00F246EA" w:rsidRPr="0054777C" w:rsidRDefault="002044EB" w:rsidP="002044EB">
      <w:pPr>
        <w:rPr>
          <w:b/>
          <w:bCs/>
        </w:rPr>
      </w:pPr>
      <w:r w:rsidRPr="0054777C">
        <w:t xml:space="preserve">18) Subject has a close affiliation with the investigational site; e.g. </w:t>
      </w:r>
      <w:bookmarkStart w:id="2" w:name="_Hlk38291055"/>
      <w:r w:rsidRPr="0054777C">
        <w:t>a relative of the investigator, or a dependent person (e.g. employee or student of the investigational site)</w:t>
      </w:r>
      <w:bookmarkEnd w:id="2"/>
      <w:r w:rsidRPr="0054777C">
        <w:t>.</w:t>
      </w:r>
      <w:r w:rsidR="00F246EA" w:rsidRPr="0054777C">
        <w:rPr>
          <w:b/>
          <w:bCs/>
        </w:rPr>
        <w:br w:type="page"/>
      </w:r>
    </w:p>
    <w:p w14:paraId="04D927A8" w14:textId="77777777" w:rsidR="00C22D16" w:rsidRPr="0054777C" w:rsidRDefault="00C22D16">
      <w:pPr>
        <w:rPr>
          <w:b/>
          <w:bCs/>
        </w:rPr>
      </w:pPr>
      <w:r w:rsidRPr="0054777C">
        <w:rPr>
          <w:b/>
          <w:bCs/>
        </w:rPr>
        <w:lastRenderedPageBreak/>
        <w:t>Additional Statistical references for the main paper:</w:t>
      </w:r>
    </w:p>
    <w:p w14:paraId="19D30E5B" w14:textId="77777777" w:rsidR="00C22D16" w:rsidRPr="0054777C" w:rsidRDefault="00C22D16" w:rsidP="00C22D16">
      <w:r w:rsidRPr="0054777C">
        <w:t>We calculated the confidence limits with methods described by Blyth and Still. (Blyth CR, Still HA. Binomial confidence intervals. Journal of the American Statistical Association. 1983 Mar 1;78(381):108-16.).</w:t>
      </w:r>
    </w:p>
    <w:p w14:paraId="50DA86FC" w14:textId="77777777" w:rsidR="00C22D16" w:rsidRPr="0054777C" w:rsidRDefault="00C22D16" w:rsidP="00C22D16">
      <w:r w:rsidRPr="0054777C">
        <w:t>AUC comparisons were performed using the method developed by DeLong; within each trial, AUCs for each reader were compared to each other using pairwise comparisons. DeLong ER, DeLong DM, Clarke-Pearson DL. Comparing the areas under two or more correlated receiver operating characteristic curves: a nonparametric approach. Biometrics. 1988 Sep 1:837-45.</w:t>
      </w:r>
    </w:p>
    <w:p w14:paraId="6A7947C9" w14:textId="77777777" w:rsidR="00C22D16" w:rsidRPr="0054777C" w:rsidRDefault="00C22D16">
      <w:r w:rsidRPr="0054777C">
        <w:br w:type="page"/>
      </w:r>
    </w:p>
    <w:p w14:paraId="49C3ECD8" w14:textId="77777777" w:rsidR="00BA7773" w:rsidRPr="0054777C" w:rsidRDefault="00BA7773">
      <w:pPr>
        <w:sectPr w:rsidR="00BA7773" w:rsidRPr="0054777C" w:rsidSect="00544A9E">
          <w:pgSz w:w="12240" w:h="15840" w:code="1"/>
          <w:pgMar w:top="1440" w:right="1440" w:bottom="1440" w:left="1440" w:header="720" w:footer="720" w:gutter="0"/>
          <w:cols w:space="720"/>
          <w:docGrid w:linePitch="360"/>
        </w:sectPr>
      </w:pPr>
    </w:p>
    <w:p w14:paraId="7C61F9D9" w14:textId="77777777" w:rsidR="002B0F60" w:rsidRPr="0054777C" w:rsidRDefault="002B0F60">
      <w:pPr>
        <w:rPr>
          <w:b/>
          <w:bCs/>
        </w:rPr>
      </w:pPr>
    </w:p>
    <w:p w14:paraId="55BB02CD" w14:textId="77777777" w:rsidR="00BA7773" w:rsidRPr="0054777C" w:rsidRDefault="00BA7773">
      <w:r w:rsidRPr="0054777C">
        <w:rPr>
          <w:b/>
          <w:bCs/>
        </w:rPr>
        <w:t xml:space="preserve">Supplementary Table </w:t>
      </w:r>
      <w:r w:rsidR="002B0F60" w:rsidRPr="0054777C">
        <w:rPr>
          <w:b/>
          <w:bCs/>
        </w:rPr>
        <w:t>2</w:t>
      </w:r>
      <w:r w:rsidRPr="0054777C">
        <w:rPr>
          <w:b/>
          <w:bCs/>
        </w:rPr>
        <w:t>.</w:t>
      </w:r>
      <w:r w:rsidRPr="0054777C">
        <w:t xml:space="preserve"> Study Enrollment </w:t>
      </w:r>
      <w:r w:rsidR="003F77FD" w:rsidRPr="0054777C">
        <w:t>Summary for</w:t>
      </w:r>
      <w:r w:rsidRPr="0054777C">
        <w:t xml:space="preserve"> GadaCAD1 and GadaCAD2</w:t>
      </w:r>
    </w:p>
    <w:tbl>
      <w:tblPr>
        <w:tblStyle w:val="TableGrid"/>
        <w:tblW w:w="1296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1360"/>
        <w:gridCol w:w="1266"/>
        <w:gridCol w:w="8039"/>
      </w:tblGrid>
      <w:tr w:rsidR="00C024B9" w:rsidRPr="0054777C" w14:paraId="7DB69438" w14:textId="77777777" w:rsidTr="009461C0">
        <w:trPr>
          <w:trHeight w:val="288"/>
        </w:trPr>
        <w:tc>
          <w:tcPr>
            <w:tcW w:w="2475" w:type="dxa"/>
            <w:tcBorders>
              <w:top w:val="single" w:sz="12" w:space="0" w:color="auto"/>
              <w:bottom w:val="single" w:sz="12" w:space="0" w:color="auto"/>
            </w:tcBorders>
            <w:vAlign w:val="center"/>
          </w:tcPr>
          <w:p w14:paraId="02674DD0" w14:textId="77777777" w:rsidR="00C024B9" w:rsidRPr="0054777C" w:rsidRDefault="00C024B9" w:rsidP="0037541D">
            <w:pPr>
              <w:jc w:val="center"/>
              <w:rPr>
                <w:b/>
                <w:bCs/>
              </w:rPr>
            </w:pPr>
            <w:r w:rsidRPr="0054777C">
              <w:rPr>
                <w:b/>
                <w:bCs/>
              </w:rPr>
              <w:t>GadaCAD1 Enrollment</w:t>
            </w:r>
          </w:p>
        </w:tc>
        <w:tc>
          <w:tcPr>
            <w:tcW w:w="1424" w:type="dxa"/>
            <w:tcBorders>
              <w:top w:val="single" w:sz="12" w:space="0" w:color="auto"/>
              <w:bottom w:val="single" w:sz="12" w:space="0" w:color="auto"/>
            </w:tcBorders>
            <w:vAlign w:val="center"/>
          </w:tcPr>
          <w:p w14:paraId="5020E826" w14:textId="77777777" w:rsidR="00C024B9" w:rsidRPr="0054777C" w:rsidRDefault="00C024B9" w:rsidP="0037541D">
            <w:pPr>
              <w:jc w:val="center"/>
              <w:rPr>
                <w:b/>
                <w:bCs/>
              </w:rPr>
            </w:pPr>
            <w:r w:rsidRPr="0054777C">
              <w:rPr>
                <w:b/>
                <w:bCs/>
              </w:rPr>
              <w:t>Subjects</w:t>
            </w:r>
          </w:p>
        </w:tc>
        <w:tc>
          <w:tcPr>
            <w:tcW w:w="10501" w:type="dxa"/>
            <w:gridSpan w:val="2"/>
            <w:tcBorders>
              <w:top w:val="single" w:sz="12" w:space="0" w:color="auto"/>
              <w:bottom w:val="single" w:sz="12" w:space="0" w:color="auto"/>
            </w:tcBorders>
            <w:vAlign w:val="center"/>
          </w:tcPr>
          <w:p w14:paraId="1976CD81" w14:textId="77777777" w:rsidR="00C024B9" w:rsidRPr="0054777C" w:rsidRDefault="00C024B9" w:rsidP="0037541D">
            <w:pPr>
              <w:rPr>
                <w:b/>
                <w:bCs/>
              </w:rPr>
            </w:pPr>
            <w:r w:rsidRPr="0054777C">
              <w:rPr>
                <w:b/>
                <w:bCs/>
              </w:rPr>
              <w:t>Reasons Subjects were excluded from study</w:t>
            </w:r>
          </w:p>
        </w:tc>
      </w:tr>
      <w:tr w:rsidR="00BA7773" w:rsidRPr="0054777C" w14:paraId="11B21361" w14:textId="77777777" w:rsidTr="009461C0">
        <w:trPr>
          <w:trHeight w:val="288"/>
        </w:trPr>
        <w:tc>
          <w:tcPr>
            <w:tcW w:w="2475" w:type="dxa"/>
            <w:tcBorders>
              <w:top w:val="single" w:sz="12" w:space="0" w:color="auto"/>
            </w:tcBorders>
            <w:vAlign w:val="center"/>
          </w:tcPr>
          <w:p w14:paraId="606117B0" w14:textId="77777777" w:rsidR="00BA7773" w:rsidRPr="0054777C" w:rsidRDefault="00BA7773" w:rsidP="0037541D">
            <w:pPr>
              <w:jc w:val="center"/>
            </w:pPr>
            <w:r w:rsidRPr="0054777C">
              <w:t>Initial Enrollment</w:t>
            </w:r>
          </w:p>
        </w:tc>
        <w:tc>
          <w:tcPr>
            <w:tcW w:w="1424" w:type="dxa"/>
            <w:tcBorders>
              <w:top w:val="single" w:sz="12" w:space="0" w:color="auto"/>
            </w:tcBorders>
            <w:vAlign w:val="center"/>
          </w:tcPr>
          <w:p w14:paraId="07D691C8" w14:textId="77777777" w:rsidR="00BA7773" w:rsidRPr="0054777C" w:rsidRDefault="00BA7773" w:rsidP="0037541D">
            <w:pPr>
              <w:jc w:val="center"/>
            </w:pPr>
            <w:r w:rsidRPr="0054777C">
              <w:t>456</w:t>
            </w:r>
          </w:p>
        </w:tc>
        <w:tc>
          <w:tcPr>
            <w:tcW w:w="1405" w:type="dxa"/>
            <w:tcBorders>
              <w:top w:val="single" w:sz="12" w:space="0" w:color="auto"/>
            </w:tcBorders>
            <w:vAlign w:val="center"/>
          </w:tcPr>
          <w:p w14:paraId="4DA36D23" w14:textId="77777777" w:rsidR="00BA7773" w:rsidRPr="0054777C" w:rsidRDefault="00BA7773" w:rsidP="0037541D">
            <w:pPr>
              <w:jc w:val="center"/>
            </w:pPr>
          </w:p>
        </w:tc>
        <w:tc>
          <w:tcPr>
            <w:tcW w:w="9096" w:type="dxa"/>
            <w:tcBorders>
              <w:top w:val="single" w:sz="12" w:space="0" w:color="auto"/>
            </w:tcBorders>
            <w:vAlign w:val="center"/>
          </w:tcPr>
          <w:p w14:paraId="119EBC7F" w14:textId="77777777" w:rsidR="00BA7773" w:rsidRPr="0054777C" w:rsidRDefault="00BA7773" w:rsidP="0037541D"/>
        </w:tc>
      </w:tr>
      <w:tr w:rsidR="00C024B9" w:rsidRPr="0054777C" w14:paraId="3E86858C" w14:textId="77777777" w:rsidTr="009461C0">
        <w:trPr>
          <w:trHeight w:val="288"/>
        </w:trPr>
        <w:tc>
          <w:tcPr>
            <w:tcW w:w="2475" w:type="dxa"/>
            <w:vAlign w:val="center"/>
          </w:tcPr>
          <w:p w14:paraId="779E2F66" w14:textId="77777777" w:rsidR="00C024B9" w:rsidRPr="0054777C" w:rsidRDefault="00C024B9" w:rsidP="0037541D">
            <w:pPr>
              <w:jc w:val="center"/>
            </w:pPr>
          </w:p>
        </w:tc>
        <w:tc>
          <w:tcPr>
            <w:tcW w:w="1424" w:type="dxa"/>
            <w:vAlign w:val="center"/>
          </w:tcPr>
          <w:p w14:paraId="0A8D60FB" w14:textId="77777777" w:rsidR="00C024B9" w:rsidRPr="0054777C" w:rsidRDefault="00C024B9" w:rsidP="0037541D">
            <w:pPr>
              <w:jc w:val="center"/>
            </w:pPr>
          </w:p>
        </w:tc>
        <w:tc>
          <w:tcPr>
            <w:tcW w:w="10501" w:type="dxa"/>
            <w:gridSpan w:val="2"/>
            <w:vAlign w:val="center"/>
          </w:tcPr>
          <w:p w14:paraId="6CCE39A6" w14:textId="121DBB8E" w:rsidR="00C024B9" w:rsidRPr="0054777C" w:rsidRDefault="00C024B9" w:rsidP="0037541D">
            <w:r w:rsidRPr="0054777C">
              <w:t xml:space="preserve">Did not receive </w:t>
            </w:r>
            <w:r w:rsidR="0054777C" w:rsidRPr="0054777C">
              <w:t>Gadobutrol</w:t>
            </w:r>
          </w:p>
        </w:tc>
      </w:tr>
      <w:tr w:rsidR="00BA7773" w:rsidRPr="0054777C" w14:paraId="0647DA07" w14:textId="77777777" w:rsidTr="009461C0">
        <w:trPr>
          <w:trHeight w:val="288"/>
        </w:trPr>
        <w:tc>
          <w:tcPr>
            <w:tcW w:w="2475" w:type="dxa"/>
            <w:vAlign w:val="center"/>
          </w:tcPr>
          <w:p w14:paraId="49BE2998" w14:textId="77777777" w:rsidR="00BA7773" w:rsidRPr="0054777C" w:rsidRDefault="00BA7773" w:rsidP="0037541D">
            <w:pPr>
              <w:jc w:val="center"/>
            </w:pPr>
          </w:p>
        </w:tc>
        <w:tc>
          <w:tcPr>
            <w:tcW w:w="1424" w:type="dxa"/>
            <w:vAlign w:val="center"/>
          </w:tcPr>
          <w:p w14:paraId="1F4E8EFA" w14:textId="77777777" w:rsidR="00BA7773" w:rsidRPr="0054777C" w:rsidRDefault="00BA7773" w:rsidP="0037541D">
            <w:pPr>
              <w:jc w:val="center"/>
            </w:pPr>
          </w:p>
        </w:tc>
        <w:tc>
          <w:tcPr>
            <w:tcW w:w="1405" w:type="dxa"/>
            <w:vAlign w:val="center"/>
          </w:tcPr>
          <w:p w14:paraId="23CFCFBC" w14:textId="77777777" w:rsidR="00BA7773" w:rsidRPr="0054777C" w:rsidRDefault="00BA7773" w:rsidP="0037541D">
            <w:pPr>
              <w:jc w:val="center"/>
            </w:pPr>
            <w:r w:rsidRPr="0054777C">
              <w:t>6</w:t>
            </w:r>
          </w:p>
        </w:tc>
        <w:tc>
          <w:tcPr>
            <w:tcW w:w="9096" w:type="dxa"/>
            <w:vAlign w:val="center"/>
          </w:tcPr>
          <w:p w14:paraId="76611AA3" w14:textId="77777777" w:rsidR="00BA7773" w:rsidRPr="0054777C" w:rsidRDefault="00BA7773" w:rsidP="0037541D">
            <w:r w:rsidRPr="0054777C">
              <w:t>Screening failures</w:t>
            </w:r>
          </w:p>
        </w:tc>
      </w:tr>
      <w:tr w:rsidR="00BA7773" w:rsidRPr="0054777C" w14:paraId="2590652C" w14:textId="77777777" w:rsidTr="009461C0">
        <w:trPr>
          <w:trHeight w:val="288"/>
        </w:trPr>
        <w:tc>
          <w:tcPr>
            <w:tcW w:w="2475" w:type="dxa"/>
            <w:vAlign w:val="center"/>
          </w:tcPr>
          <w:p w14:paraId="0D83E6EF" w14:textId="77777777" w:rsidR="00BA7773" w:rsidRPr="0054777C" w:rsidRDefault="00BA7773" w:rsidP="0037541D">
            <w:pPr>
              <w:jc w:val="center"/>
            </w:pPr>
          </w:p>
        </w:tc>
        <w:tc>
          <w:tcPr>
            <w:tcW w:w="1424" w:type="dxa"/>
            <w:vAlign w:val="center"/>
          </w:tcPr>
          <w:p w14:paraId="183F0EA2" w14:textId="77777777" w:rsidR="00BA7773" w:rsidRPr="0054777C" w:rsidRDefault="00BA7773" w:rsidP="0037541D">
            <w:pPr>
              <w:jc w:val="center"/>
            </w:pPr>
          </w:p>
        </w:tc>
        <w:tc>
          <w:tcPr>
            <w:tcW w:w="1405" w:type="dxa"/>
            <w:vAlign w:val="center"/>
          </w:tcPr>
          <w:p w14:paraId="46210BFB" w14:textId="77777777" w:rsidR="00BA7773" w:rsidRPr="0054777C" w:rsidRDefault="00BA7773" w:rsidP="0037541D">
            <w:pPr>
              <w:jc w:val="center"/>
            </w:pPr>
            <w:r w:rsidRPr="0054777C">
              <w:t>13</w:t>
            </w:r>
          </w:p>
        </w:tc>
        <w:tc>
          <w:tcPr>
            <w:tcW w:w="9096" w:type="dxa"/>
            <w:vAlign w:val="center"/>
          </w:tcPr>
          <w:p w14:paraId="7CD57FAF" w14:textId="77777777" w:rsidR="00BA7773" w:rsidRPr="0054777C" w:rsidRDefault="00BA7773" w:rsidP="0037541D">
            <w:r w:rsidRPr="0054777C">
              <w:t>Dropped out of study</w:t>
            </w:r>
          </w:p>
        </w:tc>
      </w:tr>
      <w:tr w:rsidR="00BA7773" w:rsidRPr="0054777C" w14:paraId="71C41A1F" w14:textId="77777777" w:rsidTr="009461C0">
        <w:trPr>
          <w:trHeight w:val="288"/>
        </w:trPr>
        <w:tc>
          <w:tcPr>
            <w:tcW w:w="2475" w:type="dxa"/>
            <w:vAlign w:val="center"/>
          </w:tcPr>
          <w:p w14:paraId="2F86018E" w14:textId="77777777" w:rsidR="00BA7773" w:rsidRPr="0054777C" w:rsidRDefault="00BA7773" w:rsidP="0037541D">
            <w:pPr>
              <w:jc w:val="center"/>
            </w:pPr>
            <w:r w:rsidRPr="0054777C">
              <w:t>Safety Analysis Set</w:t>
            </w:r>
          </w:p>
        </w:tc>
        <w:tc>
          <w:tcPr>
            <w:tcW w:w="1424" w:type="dxa"/>
            <w:vAlign w:val="center"/>
          </w:tcPr>
          <w:p w14:paraId="42F683BF" w14:textId="77777777" w:rsidR="00BA7773" w:rsidRPr="0054777C" w:rsidRDefault="00BA7773" w:rsidP="0037541D">
            <w:pPr>
              <w:jc w:val="center"/>
            </w:pPr>
            <w:r w:rsidRPr="0054777C">
              <w:t>426</w:t>
            </w:r>
          </w:p>
        </w:tc>
        <w:tc>
          <w:tcPr>
            <w:tcW w:w="1405" w:type="dxa"/>
            <w:vAlign w:val="center"/>
          </w:tcPr>
          <w:p w14:paraId="06290417" w14:textId="77777777" w:rsidR="00BA7773" w:rsidRPr="0054777C" w:rsidRDefault="00BA7773" w:rsidP="0037541D">
            <w:pPr>
              <w:jc w:val="center"/>
            </w:pPr>
          </w:p>
        </w:tc>
        <w:tc>
          <w:tcPr>
            <w:tcW w:w="9096" w:type="dxa"/>
            <w:vAlign w:val="center"/>
          </w:tcPr>
          <w:p w14:paraId="6E8EA7B1" w14:textId="77777777" w:rsidR="00BA7773" w:rsidRPr="0054777C" w:rsidRDefault="00BA7773" w:rsidP="0037541D"/>
        </w:tc>
      </w:tr>
      <w:tr w:rsidR="00C024B9" w:rsidRPr="0054777C" w14:paraId="5797DEFB" w14:textId="77777777" w:rsidTr="009461C0">
        <w:trPr>
          <w:trHeight w:val="288"/>
        </w:trPr>
        <w:tc>
          <w:tcPr>
            <w:tcW w:w="2475" w:type="dxa"/>
            <w:vAlign w:val="center"/>
          </w:tcPr>
          <w:p w14:paraId="0B2B1BF7" w14:textId="77777777" w:rsidR="00C024B9" w:rsidRPr="0054777C" w:rsidRDefault="00C024B9" w:rsidP="0037541D">
            <w:pPr>
              <w:jc w:val="center"/>
            </w:pPr>
          </w:p>
        </w:tc>
        <w:tc>
          <w:tcPr>
            <w:tcW w:w="1424" w:type="dxa"/>
            <w:vAlign w:val="center"/>
          </w:tcPr>
          <w:p w14:paraId="0FDC7A39" w14:textId="77777777" w:rsidR="00C024B9" w:rsidRPr="0054777C" w:rsidRDefault="00C024B9" w:rsidP="0037541D">
            <w:pPr>
              <w:jc w:val="center"/>
            </w:pPr>
          </w:p>
        </w:tc>
        <w:tc>
          <w:tcPr>
            <w:tcW w:w="10501" w:type="dxa"/>
            <w:gridSpan w:val="2"/>
            <w:vAlign w:val="center"/>
          </w:tcPr>
          <w:p w14:paraId="1849859F" w14:textId="77777777" w:rsidR="00C024B9" w:rsidRPr="0054777C" w:rsidRDefault="00C024B9" w:rsidP="0037541D">
            <w:r w:rsidRPr="0054777C">
              <w:t>Excluded for Imaging-related reasons</w:t>
            </w:r>
          </w:p>
        </w:tc>
      </w:tr>
      <w:tr w:rsidR="00BA7773" w:rsidRPr="0054777C" w14:paraId="506BF806" w14:textId="77777777" w:rsidTr="009461C0">
        <w:trPr>
          <w:trHeight w:val="288"/>
        </w:trPr>
        <w:tc>
          <w:tcPr>
            <w:tcW w:w="2475" w:type="dxa"/>
            <w:vAlign w:val="center"/>
          </w:tcPr>
          <w:p w14:paraId="78522231" w14:textId="77777777" w:rsidR="00BA7773" w:rsidRPr="0054777C" w:rsidRDefault="00BA7773" w:rsidP="0037541D">
            <w:pPr>
              <w:jc w:val="center"/>
            </w:pPr>
          </w:p>
        </w:tc>
        <w:tc>
          <w:tcPr>
            <w:tcW w:w="1424" w:type="dxa"/>
            <w:vAlign w:val="center"/>
          </w:tcPr>
          <w:p w14:paraId="01F697EF" w14:textId="77777777" w:rsidR="00BA7773" w:rsidRPr="0054777C" w:rsidRDefault="00BA7773" w:rsidP="0037541D">
            <w:pPr>
              <w:jc w:val="center"/>
            </w:pPr>
          </w:p>
        </w:tc>
        <w:tc>
          <w:tcPr>
            <w:tcW w:w="1405" w:type="dxa"/>
            <w:vAlign w:val="center"/>
          </w:tcPr>
          <w:p w14:paraId="6C2F4F1D" w14:textId="77777777" w:rsidR="0037541D" w:rsidRPr="0054777C" w:rsidRDefault="0037541D" w:rsidP="0037541D">
            <w:pPr>
              <w:jc w:val="center"/>
            </w:pPr>
            <w:r w:rsidRPr="0054777C">
              <w:t>5</w:t>
            </w:r>
          </w:p>
        </w:tc>
        <w:tc>
          <w:tcPr>
            <w:tcW w:w="9096" w:type="dxa"/>
            <w:vAlign w:val="center"/>
          </w:tcPr>
          <w:p w14:paraId="6DFAFA94" w14:textId="77777777" w:rsidR="00BA7773" w:rsidRPr="0054777C" w:rsidRDefault="0037541D" w:rsidP="0037541D">
            <w:r w:rsidRPr="0054777C">
              <w:t>CMR – Mandatory images missing/not available</w:t>
            </w:r>
          </w:p>
        </w:tc>
      </w:tr>
      <w:tr w:rsidR="00BA7773" w:rsidRPr="0054777C" w14:paraId="202B3109" w14:textId="77777777" w:rsidTr="009461C0">
        <w:trPr>
          <w:trHeight w:val="288"/>
        </w:trPr>
        <w:tc>
          <w:tcPr>
            <w:tcW w:w="2475" w:type="dxa"/>
            <w:vAlign w:val="center"/>
          </w:tcPr>
          <w:p w14:paraId="5916EC8C" w14:textId="77777777" w:rsidR="00BA7773" w:rsidRPr="0054777C" w:rsidRDefault="00BA7773" w:rsidP="0037541D">
            <w:pPr>
              <w:jc w:val="center"/>
            </w:pPr>
          </w:p>
        </w:tc>
        <w:tc>
          <w:tcPr>
            <w:tcW w:w="1424" w:type="dxa"/>
            <w:vAlign w:val="center"/>
          </w:tcPr>
          <w:p w14:paraId="5F7DA60D" w14:textId="77777777" w:rsidR="00BA7773" w:rsidRPr="0054777C" w:rsidRDefault="00BA7773" w:rsidP="0037541D">
            <w:pPr>
              <w:jc w:val="center"/>
            </w:pPr>
          </w:p>
        </w:tc>
        <w:tc>
          <w:tcPr>
            <w:tcW w:w="1405" w:type="dxa"/>
            <w:vAlign w:val="center"/>
          </w:tcPr>
          <w:p w14:paraId="72582FD7" w14:textId="77777777" w:rsidR="00BA7773" w:rsidRPr="0054777C" w:rsidRDefault="0037541D" w:rsidP="0037541D">
            <w:pPr>
              <w:jc w:val="center"/>
            </w:pPr>
            <w:r w:rsidRPr="0054777C">
              <w:t>17</w:t>
            </w:r>
          </w:p>
        </w:tc>
        <w:tc>
          <w:tcPr>
            <w:tcW w:w="9096" w:type="dxa"/>
            <w:vAlign w:val="center"/>
          </w:tcPr>
          <w:p w14:paraId="3C303342" w14:textId="77777777" w:rsidR="00BA7773" w:rsidRPr="0054777C" w:rsidRDefault="0037541D" w:rsidP="0037541D">
            <w:r w:rsidRPr="0054777C">
              <w:t>CMR – Unacceptable image quality</w:t>
            </w:r>
          </w:p>
        </w:tc>
      </w:tr>
      <w:tr w:rsidR="00BA7773" w:rsidRPr="0054777C" w14:paraId="198D2732" w14:textId="77777777" w:rsidTr="009461C0">
        <w:trPr>
          <w:trHeight w:val="288"/>
        </w:trPr>
        <w:tc>
          <w:tcPr>
            <w:tcW w:w="2475" w:type="dxa"/>
            <w:vAlign w:val="center"/>
          </w:tcPr>
          <w:p w14:paraId="3404F9BE" w14:textId="77777777" w:rsidR="00BA7773" w:rsidRPr="0054777C" w:rsidRDefault="00BA7773" w:rsidP="0037541D">
            <w:pPr>
              <w:jc w:val="center"/>
            </w:pPr>
          </w:p>
        </w:tc>
        <w:tc>
          <w:tcPr>
            <w:tcW w:w="1424" w:type="dxa"/>
            <w:vAlign w:val="center"/>
          </w:tcPr>
          <w:p w14:paraId="3DEDAED6" w14:textId="77777777" w:rsidR="00BA7773" w:rsidRPr="0054777C" w:rsidRDefault="00BA7773" w:rsidP="0037541D">
            <w:pPr>
              <w:jc w:val="center"/>
            </w:pPr>
          </w:p>
        </w:tc>
        <w:tc>
          <w:tcPr>
            <w:tcW w:w="1405" w:type="dxa"/>
            <w:vAlign w:val="center"/>
          </w:tcPr>
          <w:p w14:paraId="62592626" w14:textId="77777777" w:rsidR="00BA7773" w:rsidRPr="0054777C" w:rsidRDefault="0037541D" w:rsidP="0037541D">
            <w:pPr>
              <w:jc w:val="center"/>
            </w:pPr>
            <w:r w:rsidRPr="0054777C">
              <w:t>28</w:t>
            </w:r>
          </w:p>
        </w:tc>
        <w:tc>
          <w:tcPr>
            <w:tcW w:w="9096" w:type="dxa"/>
            <w:vAlign w:val="center"/>
          </w:tcPr>
          <w:p w14:paraId="11197AEA" w14:textId="77777777" w:rsidR="00BA7773" w:rsidRPr="0054777C" w:rsidRDefault="0037541D" w:rsidP="0037541D">
            <w:r w:rsidRPr="0054777C">
              <w:t>Coronary angiography/CTA not suitable for standard of reference or not performed</w:t>
            </w:r>
          </w:p>
        </w:tc>
      </w:tr>
      <w:tr w:rsidR="00BA7773" w:rsidRPr="0054777C" w14:paraId="76D91DEF" w14:textId="77777777" w:rsidTr="009461C0">
        <w:trPr>
          <w:trHeight w:val="288"/>
        </w:trPr>
        <w:tc>
          <w:tcPr>
            <w:tcW w:w="2475" w:type="dxa"/>
            <w:vAlign w:val="center"/>
          </w:tcPr>
          <w:p w14:paraId="572567E1" w14:textId="77777777" w:rsidR="00BA7773" w:rsidRPr="0054777C" w:rsidRDefault="0037541D" w:rsidP="0037541D">
            <w:pPr>
              <w:jc w:val="center"/>
            </w:pPr>
            <w:r w:rsidRPr="0054777C">
              <w:t>Efficacy sample size</w:t>
            </w:r>
          </w:p>
        </w:tc>
        <w:tc>
          <w:tcPr>
            <w:tcW w:w="1424" w:type="dxa"/>
            <w:vAlign w:val="center"/>
          </w:tcPr>
          <w:p w14:paraId="510EFDDA" w14:textId="77777777" w:rsidR="00BA7773" w:rsidRPr="0054777C" w:rsidRDefault="0037541D" w:rsidP="0037541D">
            <w:pPr>
              <w:jc w:val="center"/>
            </w:pPr>
            <w:r w:rsidRPr="0054777C">
              <w:t>376</w:t>
            </w:r>
          </w:p>
        </w:tc>
        <w:tc>
          <w:tcPr>
            <w:tcW w:w="1405" w:type="dxa"/>
            <w:vAlign w:val="center"/>
          </w:tcPr>
          <w:p w14:paraId="472D693D" w14:textId="77777777" w:rsidR="00BA7773" w:rsidRPr="0054777C" w:rsidRDefault="00BA7773" w:rsidP="0037541D">
            <w:pPr>
              <w:jc w:val="center"/>
            </w:pPr>
          </w:p>
        </w:tc>
        <w:tc>
          <w:tcPr>
            <w:tcW w:w="9096" w:type="dxa"/>
            <w:vAlign w:val="center"/>
          </w:tcPr>
          <w:p w14:paraId="342B2938" w14:textId="77777777" w:rsidR="00BA7773" w:rsidRPr="0054777C" w:rsidRDefault="00BA7773" w:rsidP="0037541D"/>
        </w:tc>
      </w:tr>
      <w:tr w:rsidR="00BA7773" w:rsidRPr="0054777C" w14:paraId="6AA9183B" w14:textId="77777777" w:rsidTr="009461C0">
        <w:trPr>
          <w:trHeight w:val="288"/>
        </w:trPr>
        <w:tc>
          <w:tcPr>
            <w:tcW w:w="2475" w:type="dxa"/>
            <w:vAlign w:val="center"/>
          </w:tcPr>
          <w:p w14:paraId="025E5CCE" w14:textId="77777777" w:rsidR="00BA7773" w:rsidRPr="0054777C" w:rsidRDefault="00BA7773" w:rsidP="0037541D">
            <w:pPr>
              <w:jc w:val="center"/>
            </w:pPr>
          </w:p>
        </w:tc>
        <w:tc>
          <w:tcPr>
            <w:tcW w:w="1424" w:type="dxa"/>
            <w:vAlign w:val="center"/>
          </w:tcPr>
          <w:p w14:paraId="791AEB6D" w14:textId="77777777" w:rsidR="00BA7773" w:rsidRPr="0054777C" w:rsidRDefault="00BA7773" w:rsidP="0037541D">
            <w:pPr>
              <w:jc w:val="center"/>
            </w:pPr>
          </w:p>
        </w:tc>
        <w:tc>
          <w:tcPr>
            <w:tcW w:w="1405" w:type="dxa"/>
            <w:vAlign w:val="center"/>
          </w:tcPr>
          <w:p w14:paraId="18C6B554" w14:textId="77777777" w:rsidR="00BA7773" w:rsidRPr="0054777C" w:rsidRDefault="00BA7773" w:rsidP="0037541D">
            <w:pPr>
              <w:jc w:val="center"/>
            </w:pPr>
          </w:p>
        </w:tc>
        <w:tc>
          <w:tcPr>
            <w:tcW w:w="9096" w:type="dxa"/>
            <w:vAlign w:val="center"/>
          </w:tcPr>
          <w:p w14:paraId="1A272452" w14:textId="77777777" w:rsidR="00BA7773" w:rsidRPr="0054777C" w:rsidRDefault="00BA7773" w:rsidP="0037541D"/>
        </w:tc>
      </w:tr>
      <w:tr w:rsidR="00BA7773" w:rsidRPr="0054777C" w14:paraId="6E7A0309" w14:textId="77777777" w:rsidTr="009461C0">
        <w:trPr>
          <w:trHeight w:val="288"/>
        </w:trPr>
        <w:tc>
          <w:tcPr>
            <w:tcW w:w="2475" w:type="dxa"/>
            <w:tcBorders>
              <w:bottom w:val="single" w:sz="12" w:space="0" w:color="auto"/>
            </w:tcBorders>
            <w:vAlign w:val="center"/>
          </w:tcPr>
          <w:p w14:paraId="74138358" w14:textId="77777777" w:rsidR="00BA7773" w:rsidRPr="0054777C" w:rsidRDefault="00BA7773" w:rsidP="0037541D">
            <w:pPr>
              <w:jc w:val="center"/>
            </w:pPr>
          </w:p>
        </w:tc>
        <w:tc>
          <w:tcPr>
            <w:tcW w:w="1424" w:type="dxa"/>
            <w:tcBorders>
              <w:bottom w:val="single" w:sz="12" w:space="0" w:color="auto"/>
            </w:tcBorders>
            <w:vAlign w:val="center"/>
          </w:tcPr>
          <w:p w14:paraId="2BA2C719" w14:textId="77777777" w:rsidR="00BA7773" w:rsidRPr="0054777C" w:rsidRDefault="00BA7773" w:rsidP="0037541D">
            <w:pPr>
              <w:jc w:val="center"/>
            </w:pPr>
          </w:p>
        </w:tc>
        <w:tc>
          <w:tcPr>
            <w:tcW w:w="1405" w:type="dxa"/>
            <w:tcBorders>
              <w:bottom w:val="single" w:sz="12" w:space="0" w:color="auto"/>
            </w:tcBorders>
            <w:vAlign w:val="center"/>
          </w:tcPr>
          <w:p w14:paraId="1EBCD4F0" w14:textId="77777777" w:rsidR="00BA7773" w:rsidRPr="0054777C" w:rsidRDefault="00BA7773" w:rsidP="0037541D">
            <w:pPr>
              <w:jc w:val="center"/>
            </w:pPr>
          </w:p>
        </w:tc>
        <w:tc>
          <w:tcPr>
            <w:tcW w:w="9096" w:type="dxa"/>
            <w:tcBorders>
              <w:bottom w:val="single" w:sz="12" w:space="0" w:color="auto"/>
            </w:tcBorders>
            <w:vAlign w:val="center"/>
          </w:tcPr>
          <w:p w14:paraId="4D41C045" w14:textId="77777777" w:rsidR="00BA7773" w:rsidRPr="0054777C" w:rsidRDefault="00BA7773" w:rsidP="0037541D"/>
        </w:tc>
      </w:tr>
      <w:tr w:rsidR="0037541D" w:rsidRPr="0054777C" w14:paraId="47859B25" w14:textId="77777777" w:rsidTr="009461C0">
        <w:trPr>
          <w:trHeight w:val="288"/>
        </w:trPr>
        <w:tc>
          <w:tcPr>
            <w:tcW w:w="2475" w:type="dxa"/>
            <w:tcBorders>
              <w:top w:val="single" w:sz="12" w:space="0" w:color="auto"/>
              <w:bottom w:val="single" w:sz="12" w:space="0" w:color="auto"/>
            </w:tcBorders>
            <w:vAlign w:val="center"/>
          </w:tcPr>
          <w:p w14:paraId="59D366A8" w14:textId="77777777" w:rsidR="0037541D" w:rsidRPr="0054777C" w:rsidRDefault="0037541D" w:rsidP="0037541D">
            <w:pPr>
              <w:jc w:val="center"/>
              <w:rPr>
                <w:b/>
                <w:bCs/>
              </w:rPr>
            </w:pPr>
            <w:r w:rsidRPr="0054777C">
              <w:rPr>
                <w:b/>
                <w:bCs/>
              </w:rPr>
              <w:t>GadaCAD</w:t>
            </w:r>
            <w:r w:rsidR="00617596" w:rsidRPr="0054777C">
              <w:rPr>
                <w:b/>
                <w:bCs/>
              </w:rPr>
              <w:t>2</w:t>
            </w:r>
            <w:r w:rsidRPr="0054777C">
              <w:rPr>
                <w:b/>
                <w:bCs/>
              </w:rPr>
              <w:t xml:space="preserve"> Enrollment</w:t>
            </w:r>
          </w:p>
        </w:tc>
        <w:tc>
          <w:tcPr>
            <w:tcW w:w="1424" w:type="dxa"/>
            <w:tcBorders>
              <w:top w:val="single" w:sz="12" w:space="0" w:color="auto"/>
              <w:bottom w:val="single" w:sz="12" w:space="0" w:color="auto"/>
            </w:tcBorders>
            <w:vAlign w:val="center"/>
          </w:tcPr>
          <w:p w14:paraId="1E161493" w14:textId="77777777" w:rsidR="0037541D" w:rsidRPr="0054777C" w:rsidRDefault="0037541D" w:rsidP="0037541D">
            <w:pPr>
              <w:jc w:val="center"/>
              <w:rPr>
                <w:b/>
                <w:bCs/>
              </w:rPr>
            </w:pPr>
            <w:r w:rsidRPr="0054777C">
              <w:rPr>
                <w:b/>
                <w:bCs/>
              </w:rPr>
              <w:t>Subjects</w:t>
            </w:r>
          </w:p>
        </w:tc>
        <w:tc>
          <w:tcPr>
            <w:tcW w:w="1405" w:type="dxa"/>
            <w:tcBorders>
              <w:top w:val="single" w:sz="12" w:space="0" w:color="auto"/>
              <w:bottom w:val="single" w:sz="12" w:space="0" w:color="auto"/>
            </w:tcBorders>
            <w:vAlign w:val="center"/>
          </w:tcPr>
          <w:p w14:paraId="50200133" w14:textId="77777777" w:rsidR="0037541D" w:rsidRPr="0054777C" w:rsidRDefault="0037541D" w:rsidP="0037541D">
            <w:pPr>
              <w:jc w:val="center"/>
              <w:rPr>
                <w:b/>
                <w:bCs/>
              </w:rPr>
            </w:pPr>
          </w:p>
        </w:tc>
        <w:tc>
          <w:tcPr>
            <w:tcW w:w="9096" w:type="dxa"/>
            <w:tcBorders>
              <w:top w:val="single" w:sz="12" w:space="0" w:color="auto"/>
              <w:bottom w:val="single" w:sz="12" w:space="0" w:color="auto"/>
            </w:tcBorders>
            <w:vAlign w:val="center"/>
          </w:tcPr>
          <w:p w14:paraId="76DAEB66" w14:textId="77777777" w:rsidR="0037541D" w:rsidRPr="0054777C" w:rsidRDefault="0037541D" w:rsidP="0037541D">
            <w:pPr>
              <w:rPr>
                <w:b/>
                <w:bCs/>
              </w:rPr>
            </w:pPr>
            <w:r w:rsidRPr="0054777C">
              <w:rPr>
                <w:b/>
                <w:bCs/>
              </w:rPr>
              <w:t>Reasons Subjects were excluded from study</w:t>
            </w:r>
          </w:p>
        </w:tc>
      </w:tr>
      <w:tr w:rsidR="0037541D" w:rsidRPr="0054777C" w14:paraId="392A4943" w14:textId="77777777" w:rsidTr="009461C0">
        <w:trPr>
          <w:trHeight w:val="288"/>
        </w:trPr>
        <w:tc>
          <w:tcPr>
            <w:tcW w:w="2475" w:type="dxa"/>
            <w:tcBorders>
              <w:top w:val="single" w:sz="12" w:space="0" w:color="auto"/>
            </w:tcBorders>
            <w:vAlign w:val="center"/>
          </w:tcPr>
          <w:p w14:paraId="6B9DB447" w14:textId="77777777" w:rsidR="0037541D" w:rsidRPr="0054777C" w:rsidRDefault="0037541D" w:rsidP="0037541D">
            <w:pPr>
              <w:jc w:val="center"/>
            </w:pPr>
            <w:r w:rsidRPr="0054777C">
              <w:t>Initial Enrollment</w:t>
            </w:r>
          </w:p>
        </w:tc>
        <w:tc>
          <w:tcPr>
            <w:tcW w:w="1424" w:type="dxa"/>
            <w:tcBorders>
              <w:top w:val="single" w:sz="12" w:space="0" w:color="auto"/>
            </w:tcBorders>
            <w:vAlign w:val="center"/>
          </w:tcPr>
          <w:p w14:paraId="1C19FFD5" w14:textId="77777777" w:rsidR="0037541D" w:rsidRPr="0054777C" w:rsidRDefault="0037541D" w:rsidP="0037541D">
            <w:pPr>
              <w:jc w:val="center"/>
            </w:pPr>
            <w:r w:rsidRPr="0054777C">
              <w:t>504</w:t>
            </w:r>
          </w:p>
        </w:tc>
        <w:tc>
          <w:tcPr>
            <w:tcW w:w="1405" w:type="dxa"/>
            <w:tcBorders>
              <w:top w:val="single" w:sz="12" w:space="0" w:color="auto"/>
            </w:tcBorders>
            <w:vAlign w:val="center"/>
          </w:tcPr>
          <w:p w14:paraId="2C78418E" w14:textId="77777777" w:rsidR="0037541D" w:rsidRPr="0054777C" w:rsidRDefault="0037541D" w:rsidP="0037541D">
            <w:pPr>
              <w:jc w:val="center"/>
            </w:pPr>
          </w:p>
        </w:tc>
        <w:tc>
          <w:tcPr>
            <w:tcW w:w="9096" w:type="dxa"/>
            <w:tcBorders>
              <w:top w:val="single" w:sz="12" w:space="0" w:color="auto"/>
            </w:tcBorders>
            <w:vAlign w:val="center"/>
          </w:tcPr>
          <w:p w14:paraId="1C77C0C0" w14:textId="77777777" w:rsidR="0037541D" w:rsidRPr="0054777C" w:rsidRDefault="0037541D" w:rsidP="0037541D"/>
        </w:tc>
      </w:tr>
      <w:tr w:rsidR="00C024B9" w:rsidRPr="0054777C" w14:paraId="07876605" w14:textId="77777777" w:rsidTr="009461C0">
        <w:trPr>
          <w:trHeight w:val="288"/>
        </w:trPr>
        <w:tc>
          <w:tcPr>
            <w:tcW w:w="2475" w:type="dxa"/>
            <w:vAlign w:val="center"/>
          </w:tcPr>
          <w:p w14:paraId="26495C11" w14:textId="77777777" w:rsidR="00C024B9" w:rsidRPr="0054777C" w:rsidRDefault="00C024B9" w:rsidP="0037541D">
            <w:pPr>
              <w:jc w:val="center"/>
            </w:pPr>
          </w:p>
        </w:tc>
        <w:tc>
          <w:tcPr>
            <w:tcW w:w="1424" w:type="dxa"/>
            <w:vAlign w:val="center"/>
          </w:tcPr>
          <w:p w14:paraId="675DD203" w14:textId="77777777" w:rsidR="00C024B9" w:rsidRPr="0054777C" w:rsidRDefault="00C024B9" w:rsidP="0037541D">
            <w:pPr>
              <w:jc w:val="center"/>
            </w:pPr>
          </w:p>
        </w:tc>
        <w:tc>
          <w:tcPr>
            <w:tcW w:w="10501" w:type="dxa"/>
            <w:gridSpan w:val="2"/>
            <w:vAlign w:val="center"/>
          </w:tcPr>
          <w:p w14:paraId="154EB521" w14:textId="19B10184" w:rsidR="00C024B9" w:rsidRPr="0054777C" w:rsidRDefault="00C024B9" w:rsidP="0037541D">
            <w:r w:rsidRPr="0054777C">
              <w:t xml:space="preserve">Did not receive </w:t>
            </w:r>
            <w:r w:rsidR="0054777C" w:rsidRPr="0054777C">
              <w:t>Gadobutrol</w:t>
            </w:r>
          </w:p>
        </w:tc>
      </w:tr>
      <w:tr w:rsidR="0037541D" w:rsidRPr="0054777C" w14:paraId="5CB80DA0" w14:textId="77777777" w:rsidTr="009461C0">
        <w:trPr>
          <w:trHeight w:val="288"/>
        </w:trPr>
        <w:tc>
          <w:tcPr>
            <w:tcW w:w="2475" w:type="dxa"/>
            <w:vAlign w:val="center"/>
          </w:tcPr>
          <w:p w14:paraId="706175AD" w14:textId="77777777" w:rsidR="0037541D" w:rsidRPr="0054777C" w:rsidRDefault="0037541D" w:rsidP="0037541D">
            <w:pPr>
              <w:jc w:val="center"/>
            </w:pPr>
          </w:p>
        </w:tc>
        <w:tc>
          <w:tcPr>
            <w:tcW w:w="1424" w:type="dxa"/>
            <w:vAlign w:val="center"/>
          </w:tcPr>
          <w:p w14:paraId="65EC5FF6" w14:textId="77777777" w:rsidR="0037541D" w:rsidRPr="0054777C" w:rsidRDefault="0037541D" w:rsidP="0037541D">
            <w:pPr>
              <w:jc w:val="center"/>
            </w:pPr>
          </w:p>
        </w:tc>
        <w:tc>
          <w:tcPr>
            <w:tcW w:w="1405" w:type="dxa"/>
            <w:vAlign w:val="center"/>
          </w:tcPr>
          <w:p w14:paraId="382A52C9" w14:textId="77777777" w:rsidR="0037541D" w:rsidRPr="0054777C" w:rsidRDefault="0037541D" w:rsidP="0037541D">
            <w:pPr>
              <w:jc w:val="center"/>
            </w:pPr>
            <w:r w:rsidRPr="0054777C">
              <w:t>17</w:t>
            </w:r>
          </w:p>
        </w:tc>
        <w:tc>
          <w:tcPr>
            <w:tcW w:w="9096" w:type="dxa"/>
            <w:vAlign w:val="center"/>
          </w:tcPr>
          <w:p w14:paraId="4AB6AA82" w14:textId="77777777" w:rsidR="0037541D" w:rsidRPr="0054777C" w:rsidRDefault="0037541D" w:rsidP="0037541D">
            <w:r w:rsidRPr="0054777C">
              <w:t>Screening failures</w:t>
            </w:r>
          </w:p>
        </w:tc>
      </w:tr>
      <w:tr w:rsidR="0037541D" w:rsidRPr="0054777C" w14:paraId="40F2DD88" w14:textId="77777777" w:rsidTr="009461C0">
        <w:trPr>
          <w:trHeight w:val="288"/>
        </w:trPr>
        <w:tc>
          <w:tcPr>
            <w:tcW w:w="2475" w:type="dxa"/>
            <w:vAlign w:val="center"/>
          </w:tcPr>
          <w:p w14:paraId="1BEF8925" w14:textId="77777777" w:rsidR="0037541D" w:rsidRPr="0054777C" w:rsidRDefault="0037541D" w:rsidP="0037541D">
            <w:pPr>
              <w:jc w:val="center"/>
            </w:pPr>
          </w:p>
        </w:tc>
        <w:tc>
          <w:tcPr>
            <w:tcW w:w="1424" w:type="dxa"/>
            <w:vAlign w:val="center"/>
          </w:tcPr>
          <w:p w14:paraId="4F6D17FF" w14:textId="77777777" w:rsidR="0037541D" w:rsidRPr="0054777C" w:rsidRDefault="0037541D" w:rsidP="0037541D">
            <w:pPr>
              <w:jc w:val="center"/>
            </w:pPr>
          </w:p>
        </w:tc>
        <w:tc>
          <w:tcPr>
            <w:tcW w:w="1405" w:type="dxa"/>
            <w:vAlign w:val="center"/>
          </w:tcPr>
          <w:p w14:paraId="273E7D63" w14:textId="77777777" w:rsidR="0037541D" w:rsidRPr="0054777C" w:rsidRDefault="0037541D" w:rsidP="0037541D">
            <w:pPr>
              <w:jc w:val="center"/>
            </w:pPr>
            <w:r w:rsidRPr="0054777C">
              <w:t>19</w:t>
            </w:r>
          </w:p>
        </w:tc>
        <w:tc>
          <w:tcPr>
            <w:tcW w:w="9096" w:type="dxa"/>
            <w:vAlign w:val="center"/>
          </w:tcPr>
          <w:p w14:paraId="235CFA16" w14:textId="77777777" w:rsidR="0037541D" w:rsidRPr="0054777C" w:rsidRDefault="0037541D" w:rsidP="0037541D">
            <w:r w:rsidRPr="0054777C">
              <w:t>Dropped out of study</w:t>
            </w:r>
          </w:p>
        </w:tc>
      </w:tr>
      <w:tr w:rsidR="0037541D" w:rsidRPr="0054777C" w14:paraId="2FDC1509" w14:textId="77777777" w:rsidTr="009461C0">
        <w:trPr>
          <w:trHeight w:val="288"/>
        </w:trPr>
        <w:tc>
          <w:tcPr>
            <w:tcW w:w="2475" w:type="dxa"/>
            <w:vAlign w:val="center"/>
          </w:tcPr>
          <w:p w14:paraId="40298572" w14:textId="77777777" w:rsidR="0037541D" w:rsidRPr="0054777C" w:rsidRDefault="0037541D" w:rsidP="0037541D">
            <w:pPr>
              <w:jc w:val="center"/>
            </w:pPr>
            <w:r w:rsidRPr="0054777C">
              <w:t>Safety Analysis Set</w:t>
            </w:r>
          </w:p>
        </w:tc>
        <w:tc>
          <w:tcPr>
            <w:tcW w:w="1424" w:type="dxa"/>
            <w:vAlign w:val="center"/>
          </w:tcPr>
          <w:p w14:paraId="13F1347E" w14:textId="77777777" w:rsidR="0037541D" w:rsidRPr="0054777C" w:rsidRDefault="0037541D" w:rsidP="0037541D">
            <w:pPr>
              <w:jc w:val="center"/>
            </w:pPr>
            <w:r w:rsidRPr="0054777C">
              <w:t>478</w:t>
            </w:r>
          </w:p>
        </w:tc>
        <w:tc>
          <w:tcPr>
            <w:tcW w:w="1405" w:type="dxa"/>
            <w:vAlign w:val="center"/>
          </w:tcPr>
          <w:p w14:paraId="27778397" w14:textId="77777777" w:rsidR="0037541D" w:rsidRPr="0054777C" w:rsidRDefault="0037541D" w:rsidP="0037541D">
            <w:pPr>
              <w:jc w:val="center"/>
            </w:pPr>
          </w:p>
        </w:tc>
        <w:tc>
          <w:tcPr>
            <w:tcW w:w="9096" w:type="dxa"/>
            <w:vAlign w:val="center"/>
          </w:tcPr>
          <w:p w14:paraId="2F000C14" w14:textId="77777777" w:rsidR="0037541D" w:rsidRPr="0054777C" w:rsidRDefault="0037541D" w:rsidP="0037541D"/>
        </w:tc>
      </w:tr>
      <w:tr w:rsidR="005A6BC1" w:rsidRPr="0054777C" w14:paraId="707174CF" w14:textId="77777777" w:rsidTr="009461C0">
        <w:trPr>
          <w:trHeight w:val="288"/>
        </w:trPr>
        <w:tc>
          <w:tcPr>
            <w:tcW w:w="2475" w:type="dxa"/>
            <w:vAlign w:val="center"/>
          </w:tcPr>
          <w:p w14:paraId="291FD5D5" w14:textId="77777777" w:rsidR="005A6BC1" w:rsidRPr="0054777C" w:rsidRDefault="005A6BC1" w:rsidP="005A6BC1">
            <w:pPr>
              <w:jc w:val="center"/>
            </w:pPr>
          </w:p>
        </w:tc>
        <w:tc>
          <w:tcPr>
            <w:tcW w:w="1424" w:type="dxa"/>
            <w:vAlign w:val="center"/>
          </w:tcPr>
          <w:p w14:paraId="455B24DF" w14:textId="77777777" w:rsidR="005A6BC1" w:rsidRPr="0054777C" w:rsidRDefault="005A6BC1" w:rsidP="005A6BC1">
            <w:pPr>
              <w:jc w:val="center"/>
            </w:pPr>
          </w:p>
        </w:tc>
        <w:tc>
          <w:tcPr>
            <w:tcW w:w="10501" w:type="dxa"/>
            <w:gridSpan w:val="2"/>
            <w:vAlign w:val="center"/>
          </w:tcPr>
          <w:p w14:paraId="54A24658" w14:textId="77777777" w:rsidR="005A6BC1" w:rsidRPr="0054777C" w:rsidRDefault="005A6BC1" w:rsidP="005A6BC1">
            <w:r w:rsidRPr="0054777C">
              <w:t>Excluded for Imaging-related reasons</w:t>
            </w:r>
          </w:p>
        </w:tc>
      </w:tr>
      <w:tr w:rsidR="005A6BC1" w:rsidRPr="0054777C" w14:paraId="7EB40FC9" w14:textId="77777777" w:rsidTr="009461C0">
        <w:trPr>
          <w:trHeight w:val="288"/>
        </w:trPr>
        <w:tc>
          <w:tcPr>
            <w:tcW w:w="2475" w:type="dxa"/>
            <w:vAlign w:val="center"/>
          </w:tcPr>
          <w:p w14:paraId="4B9B170B" w14:textId="77777777" w:rsidR="005A6BC1" w:rsidRPr="0054777C" w:rsidRDefault="005A6BC1" w:rsidP="005A6BC1">
            <w:pPr>
              <w:jc w:val="center"/>
            </w:pPr>
          </w:p>
        </w:tc>
        <w:tc>
          <w:tcPr>
            <w:tcW w:w="1424" w:type="dxa"/>
            <w:vAlign w:val="center"/>
          </w:tcPr>
          <w:p w14:paraId="17CFE5ED" w14:textId="77777777" w:rsidR="005A6BC1" w:rsidRPr="0054777C" w:rsidRDefault="005A6BC1" w:rsidP="005A6BC1">
            <w:pPr>
              <w:jc w:val="center"/>
            </w:pPr>
          </w:p>
        </w:tc>
        <w:tc>
          <w:tcPr>
            <w:tcW w:w="1405" w:type="dxa"/>
            <w:vAlign w:val="center"/>
          </w:tcPr>
          <w:p w14:paraId="1DB48247" w14:textId="77777777" w:rsidR="005A6BC1" w:rsidRPr="0054777C" w:rsidRDefault="005A6BC1" w:rsidP="005A6BC1">
            <w:pPr>
              <w:jc w:val="center"/>
            </w:pPr>
            <w:r w:rsidRPr="0054777C">
              <w:t>10</w:t>
            </w:r>
          </w:p>
        </w:tc>
        <w:tc>
          <w:tcPr>
            <w:tcW w:w="9096" w:type="dxa"/>
            <w:vAlign w:val="center"/>
          </w:tcPr>
          <w:p w14:paraId="30F694B7" w14:textId="77777777" w:rsidR="005A6BC1" w:rsidRPr="0054777C" w:rsidRDefault="005A6BC1" w:rsidP="005A6BC1">
            <w:r w:rsidRPr="0054777C">
              <w:t>Used as training cases for blinded reading</w:t>
            </w:r>
          </w:p>
        </w:tc>
      </w:tr>
      <w:tr w:rsidR="005A6BC1" w:rsidRPr="0054777C" w14:paraId="5FD4DF08" w14:textId="77777777" w:rsidTr="009461C0">
        <w:trPr>
          <w:trHeight w:val="288"/>
        </w:trPr>
        <w:tc>
          <w:tcPr>
            <w:tcW w:w="2475" w:type="dxa"/>
            <w:vAlign w:val="center"/>
          </w:tcPr>
          <w:p w14:paraId="5CCE9405" w14:textId="77777777" w:rsidR="005A6BC1" w:rsidRPr="0054777C" w:rsidRDefault="005A6BC1" w:rsidP="005A6BC1">
            <w:pPr>
              <w:jc w:val="center"/>
            </w:pPr>
          </w:p>
        </w:tc>
        <w:tc>
          <w:tcPr>
            <w:tcW w:w="1424" w:type="dxa"/>
            <w:vAlign w:val="center"/>
          </w:tcPr>
          <w:p w14:paraId="7C116359" w14:textId="77777777" w:rsidR="005A6BC1" w:rsidRPr="0054777C" w:rsidRDefault="005A6BC1" w:rsidP="005A6BC1">
            <w:pPr>
              <w:jc w:val="center"/>
            </w:pPr>
          </w:p>
        </w:tc>
        <w:tc>
          <w:tcPr>
            <w:tcW w:w="1405" w:type="dxa"/>
            <w:vAlign w:val="center"/>
          </w:tcPr>
          <w:p w14:paraId="421D3DE0" w14:textId="77777777" w:rsidR="005A6BC1" w:rsidRPr="0054777C" w:rsidRDefault="005A6BC1" w:rsidP="005A6BC1">
            <w:pPr>
              <w:jc w:val="center"/>
            </w:pPr>
            <w:r w:rsidRPr="0054777C">
              <w:t>8</w:t>
            </w:r>
          </w:p>
        </w:tc>
        <w:tc>
          <w:tcPr>
            <w:tcW w:w="9096" w:type="dxa"/>
          </w:tcPr>
          <w:p w14:paraId="76DB8D9E" w14:textId="77777777" w:rsidR="005A6BC1" w:rsidRPr="0054777C" w:rsidRDefault="005A6BC1" w:rsidP="005A6BC1">
            <w:r w:rsidRPr="0054777C">
              <w:t>CMR – Mandatory images missing/not available</w:t>
            </w:r>
          </w:p>
        </w:tc>
      </w:tr>
      <w:tr w:rsidR="005A6BC1" w:rsidRPr="0054777C" w14:paraId="4263D2C3" w14:textId="77777777" w:rsidTr="009461C0">
        <w:trPr>
          <w:trHeight w:val="288"/>
        </w:trPr>
        <w:tc>
          <w:tcPr>
            <w:tcW w:w="2475" w:type="dxa"/>
            <w:vAlign w:val="center"/>
          </w:tcPr>
          <w:p w14:paraId="047D20D5" w14:textId="77777777" w:rsidR="005A6BC1" w:rsidRPr="0054777C" w:rsidRDefault="005A6BC1" w:rsidP="005A6BC1">
            <w:pPr>
              <w:jc w:val="center"/>
            </w:pPr>
          </w:p>
        </w:tc>
        <w:tc>
          <w:tcPr>
            <w:tcW w:w="1424" w:type="dxa"/>
            <w:vAlign w:val="center"/>
          </w:tcPr>
          <w:p w14:paraId="4F614692" w14:textId="77777777" w:rsidR="005A6BC1" w:rsidRPr="0054777C" w:rsidRDefault="005A6BC1" w:rsidP="005A6BC1">
            <w:pPr>
              <w:jc w:val="center"/>
            </w:pPr>
          </w:p>
        </w:tc>
        <w:tc>
          <w:tcPr>
            <w:tcW w:w="1405" w:type="dxa"/>
            <w:vAlign w:val="center"/>
          </w:tcPr>
          <w:p w14:paraId="61DD3BE8" w14:textId="77777777" w:rsidR="005A6BC1" w:rsidRPr="0054777C" w:rsidRDefault="005A6BC1" w:rsidP="005A6BC1">
            <w:pPr>
              <w:jc w:val="center"/>
            </w:pPr>
            <w:r w:rsidRPr="0054777C">
              <w:t>26</w:t>
            </w:r>
          </w:p>
        </w:tc>
        <w:tc>
          <w:tcPr>
            <w:tcW w:w="9096" w:type="dxa"/>
            <w:vAlign w:val="center"/>
          </w:tcPr>
          <w:p w14:paraId="7F50308F" w14:textId="77777777" w:rsidR="005A6BC1" w:rsidRPr="0054777C" w:rsidRDefault="005A6BC1" w:rsidP="005A6BC1">
            <w:r w:rsidRPr="0054777C">
              <w:t>CMR – Unacceptable image quality</w:t>
            </w:r>
          </w:p>
        </w:tc>
      </w:tr>
      <w:tr w:rsidR="005A6BC1" w:rsidRPr="0054777C" w14:paraId="1A6060B4" w14:textId="77777777" w:rsidTr="009461C0">
        <w:trPr>
          <w:trHeight w:val="288"/>
        </w:trPr>
        <w:tc>
          <w:tcPr>
            <w:tcW w:w="2475" w:type="dxa"/>
            <w:vAlign w:val="center"/>
          </w:tcPr>
          <w:p w14:paraId="0A996393" w14:textId="77777777" w:rsidR="005A6BC1" w:rsidRPr="0054777C" w:rsidRDefault="005A6BC1" w:rsidP="005A6BC1">
            <w:pPr>
              <w:jc w:val="center"/>
            </w:pPr>
          </w:p>
        </w:tc>
        <w:tc>
          <w:tcPr>
            <w:tcW w:w="1424" w:type="dxa"/>
            <w:vAlign w:val="center"/>
          </w:tcPr>
          <w:p w14:paraId="398DC4FC" w14:textId="77777777" w:rsidR="005A6BC1" w:rsidRPr="0054777C" w:rsidRDefault="005A6BC1" w:rsidP="005A6BC1">
            <w:pPr>
              <w:jc w:val="center"/>
            </w:pPr>
          </w:p>
        </w:tc>
        <w:tc>
          <w:tcPr>
            <w:tcW w:w="1405" w:type="dxa"/>
            <w:vAlign w:val="center"/>
          </w:tcPr>
          <w:p w14:paraId="0ECAD56F" w14:textId="77777777" w:rsidR="005A6BC1" w:rsidRPr="0054777C" w:rsidRDefault="005A6BC1" w:rsidP="005A6BC1">
            <w:pPr>
              <w:jc w:val="center"/>
            </w:pPr>
            <w:r w:rsidRPr="0054777C">
              <w:t>1</w:t>
            </w:r>
          </w:p>
        </w:tc>
        <w:tc>
          <w:tcPr>
            <w:tcW w:w="9096" w:type="dxa"/>
            <w:vAlign w:val="center"/>
          </w:tcPr>
          <w:p w14:paraId="166ACDA8" w14:textId="77777777" w:rsidR="005A6BC1" w:rsidRPr="0054777C" w:rsidRDefault="005A6BC1" w:rsidP="005A6BC1">
            <w:r w:rsidRPr="0054777C">
              <w:t>Images not read by blinded readers (clerical error)</w:t>
            </w:r>
          </w:p>
        </w:tc>
      </w:tr>
      <w:tr w:rsidR="005A6BC1" w:rsidRPr="0054777C" w14:paraId="7745CB43" w14:textId="77777777" w:rsidTr="009461C0">
        <w:trPr>
          <w:trHeight w:val="288"/>
        </w:trPr>
        <w:tc>
          <w:tcPr>
            <w:tcW w:w="2475" w:type="dxa"/>
            <w:vAlign w:val="center"/>
          </w:tcPr>
          <w:p w14:paraId="7E6A957B" w14:textId="77777777" w:rsidR="005A6BC1" w:rsidRPr="0054777C" w:rsidRDefault="005A6BC1" w:rsidP="005A6BC1">
            <w:pPr>
              <w:jc w:val="center"/>
            </w:pPr>
          </w:p>
        </w:tc>
        <w:tc>
          <w:tcPr>
            <w:tcW w:w="1424" w:type="dxa"/>
            <w:vAlign w:val="center"/>
          </w:tcPr>
          <w:p w14:paraId="59F58372" w14:textId="77777777" w:rsidR="005A6BC1" w:rsidRPr="0054777C" w:rsidRDefault="005A6BC1" w:rsidP="005A6BC1">
            <w:pPr>
              <w:jc w:val="center"/>
            </w:pPr>
          </w:p>
        </w:tc>
        <w:tc>
          <w:tcPr>
            <w:tcW w:w="1405" w:type="dxa"/>
            <w:vAlign w:val="center"/>
          </w:tcPr>
          <w:p w14:paraId="3AC09EAE" w14:textId="77777777" w:rsidR="005A6BC1" w:rsidRPr="0054777C" w:rsidRDefault="005A6BC1" w:rsidP="005A6BC1">
            <w:pPr>
              <w:jc w:val="center"/>
            </w:pPr>
            <w:r w:rsidRPr="0054777C">
              <w:t>45</w:t>
            </w:r>
          </w:p>
        </w:tc>
        <w:tc>
          <w:tcPr>
            <w:tcW w:w="9096" w:type="dxa"/>
            <w:vAlign w:val="center"/>
          </w:tcPr>
          <w:p w14:paraId="0A945321" w14:textId="77777777" w:rsidR="005A6BC1" w:rsidRPr="0054777C" w:rsidRDefault="005A6BC1" w:rsidP="005A6BC1">
            <w:r w:rsidRPr="0054777C">
              <w:t>Coronary angiography/CTA not suitable for standard of reference or not performed</w:t>
            </w:r>
          </w:p>
        </w:tc>
      </w:tr>
      <w:tr w:rsidR="005A6BC1" w:rsidRPr="0054777C" w14:paraId="3B3DD4D1" w14:textId="77777777" w:rsidTr="009461C0">
        <w:trPr>
          <w:trHeight w:val="288"/>
        </w:trPr>
        <w:tc>
          <w:tcPr>
            <w:tcW w:w="2475" w:type="dxa"/>
            <w:vAlign w:val="center"/>
          </w:tcPr>
          <w:p w14:paraId="4B93C4F9" w14:textId="77777777" w:rsidR="005A6BC1" w:rsidRPr="0054777C" w:rsidRDefault="005A6BC1" w:rsidP="005A6BC1">
            <w:pPr>
              <w:jc w:val="center"/>
            </w:pPr>
            <w:r w:rsidRPr="0054777C">
              <w:t>Efficacy sample size</w:t>
            </w:r>
          </w:p>
        </w:tc>
        <w:tc>
          <w:tcPr>
            <w:tcW w:w="1424" w:type="dxa"/>
            <w:vAlign w:val="center"/>
          </w:tcPr>
          <w:p w14:paraId="7EF85334" w14:textId="77777777" w:rsidR="005A6BC1" w:rsidRPr="0054777C" w:rsidRDefault="005A6BC1" w:rsidP="005A6BC1">
            <w:pPr>
              <w:jc w:val="center"/>
            </w:pPr>
            <w:r w:rsidRPr="0054777C">
              <w:t>388</w:t>
            </w:r>
          </w:p>
        </w:tc>
        <w:tc>
          <w:tcPr>
            <w:tcW w:w="1405" w:type="dxa"/>
            <w:vAlign w:val="center"/>
          </w:tcPr>
          <w:p w14:paraId="179CEE6D" w14:textId="77777777" w:rsidR="005A6BC1" w:rsidRPr="0054777C" w:rsidRDefault="005A6BC1" w:rsidP="005A6BC1">
            <w:pPr>
              <w:jc w:val="center"/>
            </w:pPr>
          </w:p>
        </w:tc>
        <w:tc>
          <w:tcPr>
            <w:tcW w:w="9096" w:type="dxa"/>
            <w:vAlign w:val="center"/>
          </w:tcPr>
          <w:p w14:paraId="7A737AE0" w14:textId="77777777" w:rsidR="005A6BC1" w:rsidRPr="0054777C" w:rsidRDefault="005A6BC1" w:rsidP="005A6BC1"/>
        </w:tc>
      </w:tr>
    </w:tbl>
    <w:p w14:paraId="4E1A3010" w14:textId="77777777" w:rsidR="00BA7773" w:rsidRPr="0054777C" w:rsidRDefault="00BA7773"/>
    <w:p w14:paraId="5DB2C35B" w14:textId="77777777" w:rsidR="00BA7773" w:rsidRPr="0054777C" w:rsidRDefault="00BA7773">
      <w:r w:rsidRPr="0054777C">
        <w:br w:type="page"/>
      </w:r>
    </w:p>
    <w:p w14:paraId="2DFD6954" w14:textId="77777777" w:rsidR="00017755" w:rsidRPr="0054777C" w:rsidRDefault="00017755" w:rsidP="00544A9E">
      <w:pPr>
        <w:spacing w:after="0" w:line="240" w:lineRule="auto"/>
        <w:sectPr w:rsidR="00017755" w:rsidRPr="0054777C" w:rsidSect="009461C0">
          <w:pgSz w:w="15840" w:h="12240" w:orient="landscape" w:code="1"/>
          <w:pgMar w:top="720" w:right="720" w:bottom="720" w:left="1440" w:header="720" w:footer="720" w:gutter="0"/>
          <w:cols w:space="720"/>
          <w:docGrid w:linePitch="360"/>
        </w:sectPr>
      </w:pPr>
    </w:p>
    <w:p w14:paraId="6DBE8B3D" w14:textId="77777777" w:rsidR="002B0F60" w:rsidRPr="0054777C" w:rsidRDefault="002B0F60" w:rsidP="00945712">
      <w:pPr>
        <w:spacing w:after="0" w:line="480" w:lineRule="auto"/>
        <w:rPr>
          <w:b/>
          <w:bCs/>
        </w:rPr>
      </w:pPr>
    </w:p>
    <w:p w14:paraId="41F08731" w14:textId="77777777" w:rsidR="00544A9E" w:rsidRPr="0054777C" w:rsidRDefault="005A6BC1" w:rsidP="00945712">
      <w:pPr>
        <w:spacing w:after="0" w:line="480" w:lineRule="auto"/>
      </w:pPr>
      <w:r w:rsidRPr="0054777C">
        <w:rPr>
          <w:b/>
          <w:bCs/>
        </w:rPr>
        <w:t xml:space="preserve">Supplementary </w:t>
      </w:r>
      <w:r w:rsidR="00120253" w:rsidRPr="0054777C">
        <w:rPr>
          <w:b/>
          <w:bCs/>
        </w:rPr>
        <w:t xml:space="preserve">Table </w:t>
      </w:r>
      <w:r w:rsidR="002B0F60" w:rsidRPr="0054777C">
        <w:rPr>
          <w:b/>
          <w:bCs/>
        </w:rPr>
        <w:t>3</w:t>
      </w:r>
      <w:r w:rsidR="00120253" w:rsidRPr="0054777C">
        <w:rPr>
          <w:b/>
          <w:bCs/>
        </w:rPr>
        <w:t xml:space="preserve">. </w:t>
      </w:r>
      <w:r w:rsidR="00120253" w:rsidRPr="0054777C">
        <w:t>Determination of the optimal severity coronary artery stenosis (QCA) by ROC analysis at the Clinical Trial Level, and at the level of Combined Results for both studies.</w:t>
      </w:r>
    </w:p>
    <w:p w14:paraId="437F2929" w14:textId="77777777" w:rsidR="00120253" w:rsidRPr="0054777C" w:rsidRDefault="00120253" w:rsidP="00544A9E">
      <w:pPr>
        <w:spacing w:after="0" w:line="240" w:lineRule="auto"/>
      </w:pPr>
    </w:p>
    <w:tbl>
      <w:tblPr>
        <w:tblStyle w:val="TableGrid"/>
        <w:tblW w:w="144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1435"/>
        <w:gridCol w:w="1486"/>
        <w:gridCol w:w="1149"/>
        <w:gridCol w:w="949"/>
        <w:gridCol w:w="862"/>
        <w:gridCol w:w="845"/>
        <w:gridCol w:w="1160"/>
        <w:gridCol w:w="1146"/>
        <w:gridCol w:w="842"/>
        <w:gridCol w:w="849"/>
        <w:gridCol w:w="930"/>
        <w:gridCol w:w="694"/>
        <w:gridCol w:w="694"/>
        <w:gridCol w:w="678"/>
        <w:gridCol w:w="681"/>
      </w:tblGrid>
      <w:tr w:rsidR="00F17F9D" w:rsidRPr="0054777C" w14:paraId="75981F8E" w14:textId="77777777" w:rsidTr="00D859EF">
        <w:trPr>
          <w:trHeight w:val="1080"/>
        </w:trPr>
        <w:tc>
          <w:tcPr>
            <w:tcW w:w="959" w:type="dxa"/>
            <w:tcBorders>
              <w:top w:val="single" w:sz="12" w:space="0" w:color="auto"/>
              <w:bottom w:val="single" w:sz="12" w:space="0" w:color="auto"/>
            </w:tcBorders>
            <w:shd w:val="pct5" w:color="auto" w:fill="auto"/>
            <w:vAlign w:val="center"/>
          </w:tcPr>
          <w:p w14:paraId="005AD2E1" w14:textId="77777777" w:rsidR="00120253" w:rsidRPr="0054777C" w:rsidRDefault="00120253" w:rsidP="00120253">
            <w:pPr>
              <w:jc w:val="center"/>
              <w:rPr>
                <w:b/>
                <w:bCs/>
              </w:rPr>
            </w:pPr>
            <w:r w:rsidRPr="0054777C">
              <w:rPr>
                <w:b/>
                <w:bCs/>
              </w:rPr>
              <w:t>Study</w:t>
            </w:r>
          </w:p>
        </w:tc>
        <w:tc>
          <w:tcPr>
            <w:tcW w:w="1584" w:type="dxa"/>
            <w:tcBorders>
              <w:top w:val="single" w:sz="12" w:space="0" w:color="auto"/>
              <w:bottom w:val="single" w:sz="12" w:space="0" w:color="auto"/>
            </w:tcBorders>
            <w:shd w:val="pct5" w:color="auto" w:fill="auto"/>
            <w:vAlign w:val="center"/>
          </w:tcPr>
          <w:p w14:paraId="3758B211" w14:textId="77777777" w:rsidR="00120253" w:rsidRPr="0054777C" w:rsidRDefault="00120253" w:rsidP="00120253">
            <w:pPr>
              <w:jc w:val="center"/>
              <w:rPr>
                <w:b/>
                <w:bCs/>
              </w:rPr>
            </w:pPr>
            <w:r w:rsidRPr="0054777C">
              <w:rPr>
                <w:b/>
                <w:bCs/>
              </w:rPr>
              <w:t>Data Level</w:t>
            </w:r>
          </w:p>
        </w:tc>
        <w:tc>
          <w:tcPr>
            <w:tcW w:w="1152" w:type="dxa"/>
            <w:tcBorders>
              <w:top w:val="single" w:sz="12" w:space="0" w:color="auto"/>
              <w:bottom w:val="single" w:sz="12" w:space="0" w:color="auto"/>
            </w:tcBorders>
            <w:shd w:val="pct5" w:color="auto" w:fill="auto"/>
            <w:vAlign w:val="center"/>
          </w:tcPr>
          <w:p w14:paraId="60B41615" w14:textId="77777777" w:rsidR="00120253" w:rsidRPr="0054777C" w:rsidRDefault="00120253" w:rsidP="00120253">
            <w:pPr>
              <w:jc w:val="center"/>
              <w:rPr>
                <w:b/>
                <w:bCs/>
              </w:rPr>
            </w:pPr>
            <w:r w:rsidRPr="0054777C">
              <w:rPr>
                <w:b/>
                <w:bCs/>
              </w:rPr>
              <w:t>Optimal Threshold</w:t>
            </w:r>
          </w:p>
        </w:tc>
        <w:tc>
          <w:tcPr>
            <w:tcW w:w="959" w:type="dxa"/>
            <w:tcBorders>
              <w:top w:val="single" w:sz="12" w:space="0" w:color="auto"/>
              <w:bottom w:val="single" w:sz="12" w:space="0" w:color="auto"/>
            </w:tcBorders>
            <w:shd w:val="pct5" w:color="auto" w:fill="auto"/>
            <w:vAlign w:val="center"/>
          </w:tcPr>
          <w:p w14:paraId="77C01F08" w14:textId="77777777" w:rsidR="00120253" w:rsidRPr="0054777C" w:rsidRDefault="00120253" w:rsidP="00120253">
            <w:pPr>
              <w:jc w:val="center"/>
              <w:rPr>
                <w:b/>
                <w:bCs/>
              </w:rPr>
            </w:pPr>
            <w:r w:rsidRPr="0054777C">
              <w:rPr>
                <w:b/>
                <w:bCs/>
              </w:rPr>
              <w:t>Sample Size</w:t>
            </w:r>
          </w:p>
        </w:tc>
        <w:tc>
          <w:tcPr>
            <w:tcW w:w="864" w:type="dxa"/>
            <w:tcBorders>
              <w:top w:val="single" w:sz="12" w:space="0" w:color="auto"/>
              <w:bottom w:val="single" w:sz="12" w:space="0" w:color="auto"/>
            </w:tcBorders>
            <w:shd w:val="pct5" w:color="auto" w:fill="auto"/>
            <w:vAlign w:val="center"/>
          </w:tcPr>
          <w:p w14:paraId="20737C54" w14:textId="77777777" w:rsidR="00120253" w:rsidRPr="0054777C" w:rsidRDefault="00120253" w:rsidP="00120253">
            <w:pPr>
              <w:jc w:val="center"/>
              <w:rPr>
                <w:b/>
                <w:bCs/>
              </w:rPr>
            </w:pPr>
            <w:r w:rsidRPr="0054777C">
              <w:rPr>
                <w:b/>
                <w:bCs/>
              </w:rPr>
              <w:t>CAD(+)</w:t>
            </w:r>
          </w:p>
        </w:tc>
        <w:tc>
          <w:tcPr>
            <w:tcW w:w="864" w:type="dxa"/>
            <w:tcBorders>
              <w:top w:val="single" w:sz="12" w:space="0" w:color="auto"/>
              <w:bottom w:val="single" w:sz="12" w:space="0" w:color="auto"/>
            </w:tcBorders>
            <w:shd w:val="pct5" w:color="auto" w:fill="auto"/>
            <w:vAlign w:val="center"/>
          </w:tcPr>
          <w:p w14:paraId="09757743" w14:textId="77777777" w:rsidR="00120253" w:rsidRPr="0054777C" w:rsidRDefault="00120253" w:rsidP="00120253">
            <w:pPr>
              <w:jc w:val="center"/>
              <w:rPr>
                <w:b/>
                <w:bCs/>
              </w:rPr>
            </w:pPr>
            <w:r w:rsidRPr="0054777C">
              <w:rPr>
                <w:b/>
                <w:bCs/>
              </w:rPr>
              <w:t>CAD(-)</w:t>
            </w:r>
          </w:p>
        </w:tc>
        <w:tc>
          <w:tcPr>
            <w:tcW w:w="959" w:type="dxa"/>
            <w:tcBorders>
              <w:top w:val="single" w:sz="12" w:space="0" w:color="auto"/>
              <w:bottom w:val="single" w:sz="12" w:space="0" w:color="auto"/>
            </w:tcBorders>
            <w:shd w:val="pct5" w:color="auto" w:fill="auto"/>
            <w:vAlign w:val="center"/>
          </w:tcPr>
          <w:p w14:paraId="7A6D0985" w14:textId="77777777" w:rsidR="00120253" w:rsidRPr="0054777C" w:rsidRDefault="00120253" w:rsidP="00120253">
            <w:pPr>
              <w:jc w:val="center"/>
              <w:rPr>
                <w:b/>
                <w:bCs/>
              </w:rPr>
            </w:pPr>
            <w:r w:rsidRPr="0054777C">
              <w:rPr>
                <w:b/>
                <w:bCs/>
              </w:rPr>
              <w:t>Sensitivity</w:t>
            </w:r>
          </w:p>
        </w:tc>
        <w:tc>
          <w:tcPr>
            <w:tcW w:w="959" w:type="dxa"/>
            <w:tcBorders>
              <w:top w:val="single" w:sz="12" w:space="0" w:color="auto"/>
              <w:bottom w:val="single" w:sz="12" w:space="0" w:color="auto"/>
            </w:tcBorders>
            <w:shd w:val="pct5" w:color="auto" w:fill="auto"/>
            <w:vAlign w:val="center"/>
          </w:tcPr>
          <w:p w14:paraId="44133EC2" w14:textId="77777777" w:rsidR="00120253" w:rsidRPr="0054777C" w:rsidRDefault="00120253" w:rsidP="00120253">
            <w:pPr>
              <w:jc w:val="center"/>
              <w:rPr>
                <w:b/>
                <w:bCs/>
              </w:rPr>
            </w:pPr>
            <w:r w:rsidRPr="0054777C">
              <w:rPr>
                <w:b/>
                <w:bCs/>
              </w:rPr>
              <w:t>Specificity</w:t>
            </w:r>
          </w:p>
        </w:tc>
        <w:tc>
          <w:tcPr>
            <w:tcW w:w="864" w:type="dxa"/>
            <w:tcBorders>
              <w:top w:val="single" w:sz="12" w:space="0" w:color="auto"/>
              <w:bottom w:val="single" w:sz="12" w:space="0" w:color="auto"/>
            </w:tcBorders>
            <w:shd w:val="pct5" w:color="auto" w:fill="auto"/>
            <w:vAlign w:val="center"/>
          </w:tcPr>
          <w:p w14:paraId="315B73AA" w14:textId="77777777" w:rsidR="00120253" w:rsidRPr="0054777C" w:rsidRDefault="00120253" w:rsidP="00120253">
            <w:pPr>
              <w:jc w:val="center"/>
              <w:rPr>
                <w:b/>
                <w:bCs/>
              </w:rPr>
            </w:pPr>
            <w:r w:rsidRPr="0054777C">
              <w:rPr>
                <w:b/>
                <w:bCs/>
              </w:rPr>
              <w:t>AUC</w:t>
            </w:r>
          </w:p>
        </w:tc>
        <w:tc>
          <w:tcPr>
            <w:tcW w:w="864" w:type="dxa"/>
            <w:tcBorders>
              <w:top w:val="single" w:sz="12" w:space="0" w:color="auto"/>
              <w:bottom w:val="single" w:sz="12" w:space="0" w:color="auto"/>
            </w:tcBorders>
            <w:shd w:val="pct5" w:color="auto" w:fill="auto"/>
            <w:vAlign w:val="center"/>
          </w:tcPr>
          <w:p w14:paraId="1C711CC6" w14:textId="77777777" w:rsidR="00120253" w:rsidRPr="0054777C" w:rsidRDefault="00120253" w:rsidP="00120253">
            <w:pPr>
              <w:jc w:val="center"/>
              <w:rPr>
                <w:b/>
                <w:bCs/>
              </w:rPr>
            </w:pPr>
            <w:r w:rsidRPr="0054777C">
              <w:rPr>
                <w:b/>
                <w:bCs/>
              </w:rPr>
              <w:t>PPV</w:t>
            </w:r>
          </w:p>
        </w:tc>
        <w:tc>
          <w:tcPr>
            <w:tcW w:w="960" w:type="dxa"/>
            <w:tcBorders>
              <w:top w:val="single" w:sz="12" w:space="0" w:color="auto"/>
              <w:bottom w:val="single" w:sz="12" w:space="0" w:color="auto"/>
            </w:tcBorders>
            <w:shd w:val="pct5" w:color="auto" w:fill="auto"/>
            <w:vAlign w:val="center"/>
          </w:tcPr>
          <w:p w14:paraId="3A698D81" w14:textId="77777777" w:rsidR="00120253" w:rsidRPr="0054777C" w:rsidRDefault="00120253" w:rsidP="00120253">
            <w:pPr>
              <w:jc w:val="center"/>
              <w:rPr>
                <w:b/>
                <w:bCs/>
              </w:rPr>
            </w:pPr>
            <w:r w:rsidRPr="0054777C">
              <w:rPr>
                <w:b/>
                <w:bCs/>
              </w:rPr>
              <w:t>NPV</w:t>
            </w:r>
          </w:p>
        </w:tc>
        <w:tc>
          <w:tcPr>
            <w:tcW w:w="720" w:type="dxa"/>
            <w:tcBorders>
              <w:top w:val="single" w:sz="12" w:space="0" w:color="auto"/>
              <w:bottom w:val="single" w:sz="12" w:space="0" w:color="auto"/>
            </w:tcBorders>
            <w:shd w:val="pct5" w:color="auto" w:fill="auto"/>
            <w:vAlign w:val="center"/>
          </w:tcPr>
          <w:p w14:paraId="7E6662D4" w14:textId="77777777" w:rsidR="00120253" w:rsidRPr="0054777C" w:rsidRDefault="00120253" w:rsidP="00120253">
            <w:pPr>
              <w:jc w:val="center"/>
              <w:rPr>
                <w:b/>
                <w:bCs/>
              </w:rPr>
            </w:pPr>
            <w:r w:rsidRPr="0054777C">
              <w:rPr>
                <w:b/>
                <w:bCs/>
              </w:rPr>
              <w:t>TP</w:t>
            </w:r>
          </w:p>
        </w:tc>
        <w:tc>
          <w:tcPr>
            <w:tcW w:w="720" w:type="dxa"/>
            <w:tcBorders>
              <w:top w:val="single" w:sz="12" w:space="0" w:color="auto"/>
              <w:bottom w:val="single" w:sz="12" w:space="0" w:color="auto"/>
            </w:tcBorders>
            <w:shd w:val="pct5" w:color="auto" w:fill="auto"/>
            <w:vAlign w:val="center"/>
          </w:tcPr>
          <w:p w14:paraId="38EA5E78" w14:textId="77777777" w:rsidR="00120253" w:rsidRPr="0054777C" w:rsidRDefault="00120253" w:rsidP="00120253">
            <w:pPr>
              <w:jc w:val="center"/>
              <w:rPr>
                <w:b/>
                <w:bCs/>
              </w:rPr>
            </w:pPr>
            <w:r w:rsidRPr="0054777C">
              <w:rPr>
                <w:b/>
                <w:bCs/>
              </w:rPr>
              <w:t>TN</w:t>
            </w:r>
          </w:p>
        </w:tc>
        <w:tc>
          <w:tcPr>
            <w:tcW w:w="720" w:type="dxa"/>
            <w:tcBorders>
              <w:top w:val="single" w:sz="12" w:space="0" w:color="auto"/>
              <w:bottom w:val="single" w:sz="12" w:space="0" w:color="auto"/>
            </w:tcBorders>
            <w:shd w:val="pct5" w:color="auto" w:fill="auto"/>
            <w:vAlign w:val="center"/>
          </w:tcPr>
          <w:p w14:paraId="1236FA63" w14:textId="77777777" w:rsidR="00120253" w:rsidRPr="0054777C" w:rsidRDefault="00120253" w:rsidP="00120253">
            <w:pPr>
              <w:jc w:val="center"/>
              <w:rPr>
                <w:b/>
                <w:bCs/>
              </w:rPr>
            </w:pPr>
            <w:r w:rsidRPr="0054777C">
              <w:rPr>
                <w:b/>
                <w:bCs/>
              </w:rPr>
              <w:t>FP</w:t>
            </w:r>
          </w:p>
        </w:tc>
        <w:tc>
          <w:tcPr>
            <w:tcW w:w="720" w:type="dxa"/>
            <w:tcBorders>
              <w:top w:val="single" w:sz="12" w:space="0" w:color="auto"/>
              <w:bottom w:val="single" w:sz="12" w:space="0" w:color="auto"/>
            </w:tcBorders>
            <w:shd w:val="pct5" w:color="auto" w:fill="auto"/>
            <w:vAlign w:val="center"/>
          </w:tcPr>
          <w:p w14:paraId="623064CE" w14:textId="77777777" w:rsidR="00120253" w:rsidRPr="0054777C" w:rsidRDefault="00120253" w:rsidP="00120253">
            <w:pPr>
              <w:jc w:val="center"/>
              <w:rPr>
                <w:b/>
                <w:bCs/>
              </w:rPr>
            </w:pPr>
            <w:r w:rsidRPr="0054777C">
              <w:rPr>
                <w:b/>
                <w:bCs/>
              </w:rPr>
              <w:t>FN</w:t>
            </w:r>
          </w:p>
        </w:tc>
      </w:tr>
      <w:tr w:rsidR="00F17F9D" w:rsidRPr="0054777C" w14:paraId="225BBEC5" w14:textId="77777777" w:rsidTr="00D859EF">
        <w:trPr>
          <w:trHeight w:val="1080"/>
        </w:trPr>
        <w:tc>
          <w:tcPr>
            <w:tcW w:w="959" w:type="dxa"/>
            <w:tcBorders>
              <w:top w:val="single" w:sz="12" w:space="0" w:color="auto"/>
            </w:tcBorders>
            <w:shd w:val="pct5" w:color="auto" w:fill="auto"/>
            <w:vAlign w:val="center"/>
          </w:tcPr>
          <w:p w14:paraId="67FF79ED" w14:textId="77777777" w:rsidR="00120253" w:rsidRPr="0054777C" w:rsidRDefault="00120253" w:rsidP="00120253">
            <w:pPr>
              <w:jc w:val="center"/>
            </w:pPr>
            <w:r w:rsidRPr="0054777C">
              <w:t>GadaCAD1&amp;2</w:t>
            </w:r>
          </w:p>
        </w:tc>
        <w:tc>
          <w:tcPr>
            <w:tcW w:w="1584" w:type="dxa"/>
            <w:tcBorders>
              <w:top w:val="single" w:sz="12" w:space="0" w:color="auto"/>
            </w:tcBorders>
            <w:shd w:val="pct5" w:color="auto" w:fill="auto"/>
            <w:vAlign w:val="center"/>
          </w:tcPr>
          <w:p w14:paraId="4EF5764D" w14:textId="77777777" w:rsidR="00120253" w:rsidRPr="0054777C" w:rsidRDefault="00120253" w:rsidP="00120253">
            <w:pPr>
              <w:jc w:val="center"/>
            </w:pPr>
            <w:r w:rsidRPr="0054777C">
              <w:t>Meta-Analysis 6 readers</w:t>
            </w:r>
          </w:p>
        </w:tc>
        <w:tc>
          <w:tcPr>
            <w:tcW w:w="1152" w:type="dxa"/>
            <w:tcBorders>
              <w:top w:val="single" w:sz="12" w:space="0" w:color="auto"/>
            </w:tcBorders>
            <w:shd w:val="pct5" w:color="auto" w:fill="auto"/>
            <w:vAlign w:val="center"/>
          </w:tcPr>
          <w:p w14:paraId="39C855D1" w14:textId="77777777" w:rsidR="00120253" w:rsidRPr="0054777C" w:rsidRDefault="00120253" w:rsidP="00120253">
            <w:pPr>
              <w:jc w:val="center"/>
            </w:pPr>
            <w:r w:rsidRPr="0054777C">
              <w:rPr>
                <w:rFonts w:cstheme="minorHAnsi"/>
              </w:rPr>
              <w:t>≥</w:t>
            </w:r>
            <w:r w:rsidRPr="0054777C">
              <w:t>67% QCA</w:t>
            </w:r>
          </w:p>
        </w:tc>
        <w:tc>
          <w:tcPr>
            <w:tcW w:w="959" w:type="dxa"/>
            <w:tcBorders>
              <w:top w:val="single" w:sz="12" w:space="0" w:color="auto"/>
            </w:tcBorders>
            <w:shd w:val="pct5" w:color="auto" w:fill="auto"/>
            <w:vAlign w:val="center"/>
          </w:tcPr>
          <w:p w14:paraId="559117B4" w14:textId="77777777" w:rsidR="00120253" w:rsidRPr="0054777C" w:rsidRDefault="00120253" w:rsidP="00120253">
            <w:pPr>
              <w:jc w:val="center"/>
            </w:pPr>
            <w:r w:rsidRPr="0054777C">
              <w:t>764</w:t>
            </w:r>
          </w:p>
        </w:tc>
        <w:tc>
          <w:tcPr>
            <w:tcW w:w="864" w:type="dxa"/>
            <w:tcBorders>
              <w:top w:val="single" w:sz="12" w:space="0" w:color="auto"/>
            </w:tcBorders>
            <w:shd w:val="pct5" w:color="auto" w:fill="auto"/>
            <w:vAlign w:val="center"/>
          </w:tcPr>
          <w:p w14:paraId="3A4739FE" w14:textId="77777777" w:rsidR="00120253" w:rsidRPr="0054777C" w:rsidRDefault="00120253" w:rsidP="00120253">
            <w:pPr>
              <w:jc w:val="center"/>
            </w:pPr>
            <w:r w:rsidRPr="0054777C">
              <w:t>258</w:t>
            </w:r>
          </w:p>
        </w:tc>
        <w:tc>
          <w:tcPr>
            <w:tcW w:w="864" w:type="dxa"/>
            <w:tcBorders>
              <w:top w:val="single" w:sz="12" w:space="0" w:color="auto"/>
            </w:tcBorders>
            <w:shd w:val="pct5" w:color="auto" w:fill="auto"/>
            <w:vAlign w:val="center"/>
          </w:tcPr>
          <w:p w14:paraId="5988AACD" w14:textId="77777777" w:rsidR="00120253" w:rsidRPr="0054777C" w:rsidRDefault="00120253" w:rsidP="00120253">
            <w:pPr>
              <w:jc w:val="center"/>
            </w:pPr>
            <w:r w:rsidRPr="0054777C">
              <w:t>506</w:t>
            </w:r>
          </w:p>
        </w:tc>
        <w:tc>
          <w:tcPr>
            <w:tcW w:w="959" w:type="dxa"/>
            <w:tcBorders>
              <w:top w:val="single" w:sz="12" w:space="0" w:color="auto"/>
            </w:tcBorders>
            <w:shd w:val="pct5" w:color="auto" w:fill="auto"/>
            <w:vAlign w:val="center"/>
          </w:tcPr>
          <w:p w14:paraId="6B0D5908" w14:textId="77777777" w:rsidR="00120253" w:rsidRPr="0054777C" w:rsidRDefault="00120253" w:rsidP="00120253">
            <w:pPr>
              <w:jc w:val="center"/>
            </w:pPr>
            <w:r w:rsidRPr="0054777C">
              <w:t>78.9%</w:t>
            </w:r>
          </w:p>
        </w:tc>
        <w:tc>
          <w:tcPr>
            <w:tcW w:w="959" w:type="dxa"/>
            <w:tcBorders>
              <w:top w:val="single" w:sz="12" w:space="0" w:color="auto"/>
            </w:tcBorders>
            <w:shd w:val="pct5" w:color="auto" w:fill="auto"/>
            <w:vAlign w:val="center"/>
          </w:tcPr>
          <w:p w14:paraId="7A1D6A95" w14:textId="77777777" w:rsidR="00120253" w:rsidRPr="0054777C" w:rsidRDefault="00120253" w:rsidP="00120253">
            <w:pPr>
              <w:jc w:val="center"/>
            </w:pPr>
            <w:r w:rsidRPr="0054777C">
              <w:t>86.8%</w:t>
            </w:r>
          </w:p>
        </w:tc>
        <w:tc>
          <w:tcPr>
            <w:tcW w:w="864" w:type="dxa"/>
            <w:tcBorders>
              <w:top w:val="single" w:sz="12" w:space="0" w:color="auto"/>
            </w:tcBorders>
            <w:shd w:val="pct5" w:color="auto" w:fill="auto"/>
            <w:vAlign w:val="center"/>
          </w:tcPr>
          <w:p w14:paraId="558EDEDF" w14:textId="77777777" w:rsidR="00120253" w:rsidRPr="0054777C" w:rsidRDefault="00120253" w:rsidP="00120253">
            <w:pPr>
              <w:jc w:val="center"/>
            </w:pPr>
            <w:r w:rsidRPr="0054777C">
              <w:t>0.855</w:t>
            </w:r>
          </w:p>
        </w:tc>
        <w:tc>
          <w:tcPr>
            <w:tcW w:w="864" w:type="dxa"/>
            <w:tcBorders>
              <w:top w:val="single" w:sz="12" w:space="0" w:color="auto"/>
            </w:tcBorders>
            <w:shd w:val="pct5" w:color="auto" w:fill="auto"/>
            <w:vAlign w:val="center"/>
          </w:tcPr>
          <w:p w14:paraId="6508FDE1" w14:textId="77777777" w:rsidR="00120253" w:rsidRPr="0054777C" w:rsidRDefault="00120253" w:rsidP="00120253">
            <w:pPr>
              <w:jc w:val="center"/>
            </w:pPr>
            <w:r w:rsidRPr="0054777C">
              <w:t>77.5%</w:t>
            </w:r>
          </w:p>
        </w:tc>
        <w:tc>
          <w:tcPr>
            <w:tcW w:w="960" w:type="dxa"/>
            <w:tcBorders>
              <w:top w:val="single" w:sz="12" w:space="0" w:color="auto"/>
            </w:tcBorders>
            <w:shd w:val="pct5" w:color="auto" w:fill="auto"/>
            <w:vAlign w:val="center"/>
          </w:tcPr>
          <w:p w14:paraId="25009E05" w14:textId="77777777" w:rsidR="00120253" w:rsidRPr="0054777C" w:rsidRDefault="00120253" w:rsidP="00120253">
            <w:pPr>
              <w:jc w:val="center"/>
            </w:pPr>
            <w:r w:rsidRPr="0054777C">
              <w:t>88.5%</w:t>
            </w:r>
          </w:p>
        </w:tc>
        <w:tc>
          <w:tcPr>
            <w:tcW w:w="720" w:type="dxa"/>
            <w:tcBorders>
              <w:top w:val="single" w:sz="12" w:space="0" w:color="auto"/>
            </w:tcBorders>
            <w:shd w:val="pct5" w:color="auto" w:fill="auto"/>
            <w:vAlign w:val="center"/>
          </w:tcPr>
          <w:p w14:paraId="23BAF445" w14:textId="77777777" w:rsidR="00120253" w:rsidRPr="0054777C" w:rsidRDefault="00120253" w:rsidP="00120253">
            <w:pPr>
              <w:jc w:val="center"/>
            </w:pPr>
            <w:r w:rsidRPr="0054777C">
              <w:t>204</w:t>
            </w:r>
          </w:p>
        </w:tc>
        <w:tc>
          <w:tcPr>
            <w:tcW w:w="720" w:type="dxa"/>
            <w:tcBorders>
              <w:top w:val="single" w:sz="12" w:space="0" w:color="auto"/>
            </w:tcBorders>
            <w:shd w:val="pct5" w:color="auto" w:fill="auto"/>
            <w:vAlign w:val="center"/>
          </w:tcPr>
          <w:p w14:paraId="5639B55C" w14:textId="77777777" w:rsidR="00120253" w:rsidRPr="0054777C" w:rsidRDefault="00120253" w:rsidP="00120253">
            <w:pPr>
              <w:jc w:val="center"/>
            </w:pPr>
            <w:r w:rsidRPr="0054777C">
              <w:t>439</w:t>
            </w:r>
          </w:p>
        </w:tc>
        <w:tc>
          <w:tcPr>
            <w:tcW w:w="720" w:type="dxa"/>
            <w:tcBorders>
              <w:top w:val="single" w:sz="12" w:space="0" w:color="auto"/>
            </w:tcBorders>
            <w:shd w:val="pct5" w:color="auto" w:fill="auto"/>
            <w:vAlign w:val="center"/>
          </w:tcPr>
          <w:p w14:paraId="7EEF7065" w14:textId="77777777" w:rsidR="00120253" w:rsidRPr="0054777C" w:rsidRDefault="00120253" w:rsidP="00120253">
            <w:pPr>
              <w:jc w:val="center"/>
            </w:pPr>
            <w:r w:rsidRPr="0054777C">
              <w:t>58</w:t>
            </w:r>
          </w:p>
        </w:tc>
        <w:tc>
          <w:tcPr>
            <w:tcW w:w="720" w:type="dxa"/>
            <w:tcBorders>
              <w:top w:val="single" w:sz="12" w:space="0" w:color="auto"/>
            </w:tcBorders>
            <w:shd w:val="pct5" w:color="auto" w:fill="auto"/>
            <w:vAlign w:val="center"/>
          </w:tcPr>
          <w:p w14:paraId="42B7DB10" w14:textId="77777777" w:rsidR="00120253" w:rsidRPr="0054777C" w:rsidRDefault="00120253" w:rsidP="00120253">
            <w:pPr>
              <w:jc w:val="center"/>
            </w:pPr>
            <w:r w:rsidRPr="0054777C">
              <w:t>67</w:t>
            </w:r>
          </w:p>
        </w:tc>
      </w:tr>
      <w:tr w:rsidR="00F17F9D" w:rsidRPr="0054777C" w14:paraId="3758FCDD" w14:textId="77777777" w:rsidTr="00D859EF">
        <w:trPr>
          <w:trHeight w:val="1080"/>
        </w:trPr>
        <w:tc>
          <w:tcPr>
            <w:tcW w:w="959" w:type="dxa"/>
            <w:shd w:val="pct5" w:color="auto" w:fill="auto"/>
            <w:vAlign w:val="center"/>
          </w:tcPr>
          <w:p w14:paraId="34B249C2" w14:textId="77777777" w:rsidR="00120253" w:rsidRPr="0054777C" w:rsidRDefault="00120253" w:rsidP="00120253">
            <w:pPr>
              <w:jc w:val="center"/>
            </w:pPr>
            <w:r w:rsidRPr="0054777C">
              <w:t>GadaCAD1</w:t>
            </w:r>
          </w:p>
        </w:tc>
        <w:tc>
          <w:tcPr>
            <w:tcW w:w="1584" w:type="dxa"/>
            <w:shd w:val="pct5" w:color="auto" w:fill="auto"/>
            <w:vAlign w:val="center"/>
          </w:tcPr>
          <w:p w14:paraId="36C4682D" w14:textId="77777777" w:rsidR="00120253" w:rsidRPr="0054777C" w:rsidRDefault="00120253" w:rsidP="00120253">
            <w:pPr>
              <w:jc w:val="center"/>
            </w:pPr>
            <w:r w:rsidRPr="0054777C">
              <w:t>Clinical Trial</w:t>
            </w:r>
          </w:p>
        </w:tc>
        <w:tc>
          <w:tcPr>
            <w:tcW w:w="1152" w:type="dxa"/>
            <w:shd w:val="pct5" w:color="auto" w:fill="auto"/>
            <w:vAlign w:val="center"/>
          </w:tcPr>
          <w:p w14:paraId="27DD51E1" w14:textId="77777777" w:rsidR="00120253" w:rsidRPr="0054777C" w:rsidRDefault="00120253" w:rsidP="00120253">
            <w:pPr>
              <w:jc w:val="center"/>
            </w:pPr>
            <w:r w:rsidRPr="0054777C">
              <w:rPr>
                <w:rFonts w:cstheme="minorHAnsi"/>
              </w:rPr>
              <w:t>≥</w:t>
            </w:r>
            <w:r w:rsidRPr="0054777C">
              <w:t>62% QCA</w:t>
            </w:r>
          </w:p>
        </w:tc>
        <w:tc>
          <w:tcPr>
            <w:tcW w:w="959" w:type="dxa"/>
            <w:shd w:val="pct5" w:color="auto" w:fill="auto"/>
            <w:vAlign w:val="center"/>
          </w:tcPr>
          <w:p w14:paraId="709ADBCF" w14:textId="77777777" w:rsidR="00120253" w:rsidRPr="0054777C" w:rsidRDefault="00120253" w:rsidP="00120253">
            <w:pPr>
              <w:jc w:val="center"/>
            </w:pPr>
            <w:r w:rsidRPr="0054777C">
              <w:t>376</w:t>
            </w:r>
          </w:p>
        </w:tc>
        <w:tc>
          <w:tcPr>
            <w:tcW w:w="864" w:type="dxa"/>
            <w:shd w:val="pct5" w:color="auto" w:fill="auto"/>
            <w:vAlign w:val="center"/>
          </w:tcPr>
          <w:p w14:paraId="7FEF8171" w14:textId="77777777" w:rsidR="00120253" w:rsidRPr="0054777C" w:rsidRDefault="00120253" w:rsidP="00120253">
            <w:pPr>
              <w:jc w:val="center"/>
            </w:pPr>
            <w:r w:rsidRPr="0054777C">
              <w:t>108</w:t>
            </w:r>
          </w:p>
        </w:tc>
        <w:tc>
          <w:tcPr>
            <w:tcW w:w="864" w:type="dxa"/>
            <w:shd w:val="pct5" w:color="auto" w:fill="auto"/>
            <w:vAlign w:val="center"/>
          </w:tcPr>
          <w:p w14:paraId="2245C5F6" w14:textId="77777777" w:rsidR="00120253" w:rsidRPr="0054777C" w:rsidRDefault="00120253" w:rsidP="00120253">
            <w:pPr>
              <w:jc w:val="center"/>
            </w:pPr>
            <w:r w:rsidRPr="0054777C">
              <w:t>108</w:t>
            </w:r>
          </w:p>
        </w:tc>
        <w:tc>
          <w:tcPr>
            <w:tcW w:w="959" w:type="dxa"/>
            <w:shd w:val="pct5" w:color="auto" w:fill="auto"/>
            <w:vAlign w:val="center"/>
          </w:tcPr>
          <w:p w14:paraId="69C83639" w14:textId="77777777" w:rsidR="00120253" w:rsidRPr="0054777C" w:rsidRDefault="00120253" w:rsidP="00120253">
            <w:pPr>
              <w:jc w:val="center"/>
            </w:pPr>
            <w:r w:rsidRPr="0054777C">
              <w:t>79.3%</w:t>
            </w:r>
          </w:p>
        </w:tc>
        <w:tc>
          <w:tcPr>
            <w:tcW w:w="959" w:type="dxa"/>
            <w:shd w:val="pct5" w:color="auto" w:fill="auto"/>
            <w:vAlign w:val="center"/>
          </w:tcPr>
          <w:p w14:paraId="40D509F7" w14:textId="77777777" w:rsidR="00120253" w:rsidRPr="0054777C" w:rsidRDefault="00120253" w:rsidP="00120253">
            <w:pPr>
              <w:jc w:val="center"/>
            </w:pPr>
            <w:r w:rsidRPr="0054777C">
              <w:t>91.2%</w:t>
            </w:r>
          </w:p>
        </w:tc>
        <w:tc>
          <w:tcPr>
            <w:tcW w:w="864" w:type="dxa"/>
            <w:shd w:val="pct5" w:color="auto" w:fill="auto"/>
            <w:vAlign w:val="center"/>
          </w:tcPr>
          <w:p w14:paraId="47EC19BA" w14:textId="77777777" w:rsidR="00120253" w:rsidRPr="0054777C" w:rsidRDefault="00120253" w:rsidP="00120253">
            <w:pPr>
              <w:jc w:val="center"/>
            </w:pPr>
            <w:r w:rsidRPr="0054777C">
              <w:t>0.880</w:t>
            </w:r>
          </w:p>
        </w:tc>
        <w:tc>
          <w:tcPr>
            <w:tcW w:w="864" w:type="dxa"/>
            <w:shd w:val="pct5" w:color="auto" w:fill="auto"/>
            <w:vAlign w:val="center"/>
          </w:tcPr>
          <w:p w14:paraId="47A3DBF9" w14:textId="77777777" w:rsidR="00120253" w:rsidRPr="0054777C" w:rsidRDefault="00120253" w:rsidP="00120253">
            <w:pPr>
              <w:jc w:val="center"/>
            </w:pPr>
            <w:r w:rsidRPr="0054777C">
              <w:t>78.2%</w:t>
            </w:r>
          </w:p>
        </w:tc>
        <w:tc>
          <w:tcPr>
            <w:tcW w:w="960" w:type="dxa"/>
            <w:shd w:val="pct5" w:color="auto" w:fill="auto"/>
            <w:vAlign w:val="center"/>
          </w:tcPr>
          <w:p w14:paraId="743AAC68" w14:textId="77777777" w:rsidR="00120253" w:rsidRPr="0054777C" w:rsidRDefault="00120253" w:rsidP="00120253">
            <w:pPr>
              <w:jc w:val="center"/>
            </w:pPr>
            <w:r w:rsidRPr="0054777C">
              <w:t>91.7%</w:t>
            </w:r>
          </w:p>
        </w:tc>
        <w:tc>
          <w:tcPr>
            <w:tcW w:w="720" w:type="dxa"/>
            <w:shd w:val="pct5" w:color="auto" w:fill="auto"/>
            <w:vAlign w:val="center"/>
          </w:tcPr>
          <w:p w14:paraId="09F50087" w14:textId="77777777" w:rsidR="00120253" w:rsidRPr="0054777C" w:rsidRDefault="00120253" w:rsidP="00120253">
            <w:pPr>
              <w:jc w:val="center"/>
            </w:pPr>
            <w:r w:rsidRPr="0054777C">
              <w:t>86</w:t>
            </w:r>
          </w:p>
        </w:tc>
        <w:tc>
          <w:tcPr>
            <w:tcW w:w="720" w:type="dxa"/>
            <w:shd w:val="pct5" w:color="auto" w:fill="auto"/>
            <w:vAlign w:val="center"/>
          </w:tcPr>
          <w:p w14:paraId="17220081" w14:textId="77777777" w:rsidR="00120253" w:rsidRPr="0054777C" w:rsidRDefault="00120253" w:rsidP="00120253">
            <w:pPr>
              <w:jc w:val="center"/>
            </w:pPr>
            <w:r w:rsidRPr="0054777C">
              <w:t>244</w:t>
            </w:r>
          </w:p>
        </w:tc>
        <w:tc>
          <w:tcPr>
            <w:tcW w:w="720" w:type="dxa"/>
            <w:shd w:val="pct5" w:color="auto" w:fill="auto"/>
            <w:vAlign w:val="center"/>
          </w:tcPr>
          <w:p w14:paraId="0E7A16F4" w14:textId="77777777" w:rsidR="00120253" w:rsidRPr="0054777C" w:rsidRDefault="00120253" w:rsidP="00120253">
            <w:pPr>
              <w:jc w:val="center"/>
            </w:pPr>
            <w:r w:rsidRPr="0054777C">
              <w:t>24</w:t>
            </w:r>
          </w:p>
        </w:tc>
        <w:tc>
          <w:tcPr>
            <w:tcW w:w="720" w:type="dxa"/>
            <w:shd w:val="pct5" w:color="auto" w:fill="auto"/>
            <w:vAlign w:val="center"/>
          </w:tcPr>
          <w:p w14:paraId="7CCF4A0E" w14:textId="77777777" w:rsidR="00120253" w:rsidRPr="0054777C" w:rsidRDefault="00120253" w:rsidP="00120253">
            <w:pPr>
              <w:jc w:val="center"/>
            </w:pPr>
            <w:r w:rsidRPr="0054777C">
              <w:t>22</w:t>
            </w:r>
          </w:p>
        </w:tc>
      </w:tr>
      <w:tr w:rsidR="00F17F9D" w:rsidRPr="0054777C" w14:paraId="7269EFAD" w14:textId="77777777" w:rsidTr="00D859EF">
        <w:trPr>
          <w:trHeight w:val="1080"/>
        </w:trPr>
        <w:tc>
          <w:tcPr>
            <w:tcW w:w="959" w:type="dxa"/>
            <w:tcBorders>
              <w:bottom w:val="single" w:sz="12" w:space="0" w:color="auto"/>
            </w:tcBorders>
            <w:shd w:val="pct5" w:color="auto" w:fill="auto"/>
            <w:vAlign w:val="center"/>
          </w:tcPr>
          <w:p w14:paraId="6BE974D6" w14:textId="77777777" w:rsidR="00120253" w:rsidRPr="0054777C" w:rsidRDefault="00120253" w:rsidP="00120253">
            <w:pPr>
              <w:jc w:val="center"/>
            </w:pPr>
            <w:r w:rsidRPr="0054777C">
              <w:t>GadaCAD2</w:t>
            </w:r>
          </w:p>
        </w:tc>
        <w:tc>
          <w:tcPr>
            <w:tcW w:w="1584" w:type="dxa"/>
            <w:tcBorders>
              <w:bottom w:val="single" w:sz="12" w:space="0" w:color="auto"/>
            </w:tcBorders>
            <w:shd w:val="pct5" w:color="auto" w:fill="auto"/>
            <w:vAlign w:val="center"/>
          </w:tcPr>
          <w:p w14:paraId="76342BAD" w14:textId="77777777" w:rsidR="00120253" w:rsidRPr="0054777C" w:rsidRDefault="00120253" w:rsidP="00120253">
            <w:pPr>
              <w:jc w:val="center"/>
            </w:pPr>
            <w:r w:rsidRPr="0054777C">
              <w:t>Clinical Trial</w:t>
            </w:r>
          </w:p>
        </w:tc>
        <w:tc>
          <w:tcPr>
            <w:tcW w:w="1152" w:type="dxa"/>
            <w:tcBorders>
              <w:bottom w:val="single" w:sz="12" w:space="0" w:color="auto"/>
            </w:tcBorders>
            <w:shd w:val="pct5" w:color="auto" w:fill="auto"/>
            <w:vAlign w:val="center"/>
          </w:tcPr>
          <w:p w14:paraId="4A7C8874" w14:textId="77777777" w:rsidR="00120253" w:rsidRPr="0054777C" w:rsidRDefault="00120253" w:rsidP="00120253">
            <w:pPr>
              <w:jc w:val="center"/>
            </w:pPr>
            <w:r w:rsidRPr="0054777C">
              <w:rPr>
                <w:rFonts w:cstheme="minorHAnsi"/>
              </w:rPr>
              <w:t>≥</w:t>
            </w:r>
            <w:r w:rsidRPr="0054777C">
              <w:t>67% QCA</w:t>
            </w:r>
          </w:p>
        </w:tc>
        <w:tc>
          <w:tcPr>
            <w:tcW w:w="959" w:type="dxa"/>
            <w:tcBorders>
              <w:bottom w:val="single" w:sz="12" w:space="0" w:color="auto"/>
            </w:tcBorders>
            <w:shd w:val="pct5" w:color="auto" w:fill="auto"/>
            <w:vAlign w:val="center"/>
          </w:tcPr>
          <w:p w14:paraId="268BA6AE" w14:textId="77777777" w:rsidR="00120253" w:rsidRPr="0054777C" w:rsidRDefault="00120253" w:rsidP="00120253">
            <w:pPr>
              <w:jc w:val="center"/>
            </w:pPr>
            <w:r w:rsidRPr="0054777C">
              <w:t>388</w:t>
            </w:r>
          </w:p>
        </w:tc>
        <w:tc>
          <w:tcPr>
            <w:tcW w:w="864" w:type="dxa"/>
            <w:tcBorders>
              <w:bottom w:val="single" w:sz="12" w:space="0" w:color="auto"/>
            </w:tcBorders>
            <w:shd w:val="pct5" w:color="auto" w:fill="auto"/>
            <w:vAlign w:val="center"/>
          </w:tcPr>
          <w:p w14:paraId="56862133" w14:textId="77777777" w:rsidR="00120253" w:rsidRPr="0054777C" w:rsidRDefault="00120253" w:rsidP="00120253">
            <w:pPr>
              <w:jc w:val="center"/>
            </w:pPr>
            <w:r w:rsidRPr="0054777C">
              <w:t>150</w:t>
            </w:r>
          </w:p>
        </w:tc>
        <w:tc>
          <w:tcPr>
            <w:tcW w:w="864" w:type="dxa"/>
            <w:tcBorders>
              <w:bottom w:val="single" w:sz="12" w:space="0" w:color="auto"/>
            </w:tcBorders>
            <w:shd w:val="pct5" w:color="auto" w:fill="auto"/>
            <w:vAlign w:val="center"/>
          </w:tcPr>
          <w:p w14:paraId="72B48002" w14:textId="77777777" w:rsidR="00120253" w:rsidRPr="0054777C" w:rsidRDefault="00120253" w:rsidP="00120253">
            <w:pPr>
              <w:jc w:val="center"/>
            </w:pPr>
            <w:r w:rsidRPr="0054777C">
              <w:t>150</w:t>
            </w:r>
          </w:p>
        </w:tc>
        <w:tc>
          <w:tcPr>
            <w:tcW w:w="959" w:type="dxa"/>
            <w:tcBorders>
              <w:bottom w:val="single" w:sz="12" w:space="0" w:color="auto"/>
            </w:tcBorders>
            <w:shd w:val="pct5" w:color="auto" w:fill="auto"/>
            <w:vAlign w:val="center"/>
          </w:tcPr>
          <w:p w14:paraId="119FCECE" w14:textId="77777777" w:rsidR="00120253" w:rsidRPr="0054777C" w:rsidRDefault="00120253" w:rsidP="00120253">
            <w:pPr>
              <w:jc w:val="center"/>
            </w:pPr>
            <w:r w:rsidRPr="0054777C">
              <w:t>74.8%</w:t>
            </w:r>
          </w:p>
        </w:tc>
        <w:tc>
          <w:tcPr>
            <w:tcW w:w="959" w:type="dxa"/>
            <w:tcBorders>
              <w:bottom w:val="single" w:sz="12" w:space="0" w:color="auto"/>
            </w:tcBorders>
            <w:shd w:val="pct5" w:color="auto" w:fill="auto"/>
            <w:vAlign w:val="center"/>
          </w:tcPr>
          <w:p w14:paraId="3ACD74E6" w14:textId="77777777" w:rsidR="00120253" w:rsidRPr="0054777C" w:rsidRDefault="00120253" w:rsidP="00120253">
            <w:pPr>
              <w:jc w:val="center"/>
            </w:pPr>
            <w:r w:rsidRPr="0054777C">
              <w:t>88.5%</w:t>
            </w:r>
          </w:p>
        </w:tc>
        <w:tc>
          <w:tcPr>
            <w:tcW w:w="864" w:type="dxa"/>
            <w:tcBorders>
              <w:bottom w:val="single" w:sz="12" w:space="0" w:color="auto"/>
            </w:tcBorders>
            <w:shd w:val="pct5" w:color="auto" w:fill="auto"/>
            <w:vAlign w:val="center"/>
          </w:tcPr>
          <w:p w14:paraId="770A8101" w14:textId="77777777" w:rsidR="00120253" w:rsidRPr="0054777C" w:rsidRDefault="00120253" w:rsidP="00120253">
            <w:pPr>
              <w:jc w:val="center"/>
            </w:pPr>
            <w:r w:rsidRPr="0054777C">
              <w:t>0.861</w:t>
            </w:r>
          </w:p>
        </w:tc>
        <w:tc>
          <w:tcPr>
            <w:tcW w:w="864" w:type="dxa"/>
            <w:tcBorders>
              <w:bottom w:val="single" w:sz="12" w:space="0" w:color="auto"/>
            </w:tcBorders>
            <w:shd w:val="pct5" w:color="auto" w:fill="auto"/>
            <w:vAlign w:val="center"/>
          </w:tcPr>
          <w:p w14:paraId="69040151" w14:textId="77777777" w:rsidR="00120253" w:rsidRPr="0054777C" w:rsidRDefault="00120253" w:rsidP="00120253">
            <w:pPr>
              <w:jc w:val="center"/>
            </w:pPr>
            <w:r w:rsidRPr="0054777C">
              <w:t>80.6%</w:t>
            </w:r>
          </w:p>
        </w:tc>
        <w:tc>
          <w:tcPr>
            <w:tcW w:w="960" w:type="dxa"/>
            <w:tcBorders>
              <w:bottom w:val="single" w:sz="12" w:space="0" w:color="auto"/>
            </w:tcBorders>
            <w:shd w:val="pct5" w:color="auto" w:fill="auto"/>
            <w:vAlign w:val="center"/>
          </w:tcPr>
          <w:p w14:paraId="59B3674D" w14:textId="77777777" w:rsidR="00120253" w:rsidRPr="0054777C" w:rsidRDefault="00120253" w:rsidP="00120253">
            <w:pPr>
              <w:jc w:val="center"/>
            </w:pPr>
            <w:r w:rsidRPr="0054777C">
              <w:t>84.7&amp;</w:t>
            </w:r>
          </w:p>
        </w:tc>
        <w:tc>
          <w:tcPr>
            <w:tcW w:w="720" w:type="dxa"/>
            <w:tcBorders>
              <w:bottom w:val="single" w:sz="12" w:space="0" w:color="auto"/>
            </w:tcBorders>
            <w:shd w:val="pct5" w:color="auto" w:fill="auto"/>
            <w:vAlign w:val="center"/>
          </w:tcPr>
          <w:p w14:paraId="528EDDDF" w14:textId="77777777" w:rsidR="00120253" w:rsidRPr="0054777C" w:rsidRDefault="00120253" w:rsidP="00120253">
            <w:pPr>
              <w:jc w:val="center"/>
            </w:pPr>
            <w:r w:rsidRPr="0054777C">
              <w:t>112</w:t>
            </w:r>
          </w:p>
        </w:tc>
        <w:tc>
          <w:tcPr>
            <w:tcW w:w="720" w:type="dxa"/>
            <w:tcBorders>
              <w:bottom w:val="single" w:sz="12" w:space="0" w:color="auto"/>
            </w:tcBorders>
            <w:shd w:val="pct5" w:color="auto" w:fill="auto"/>
            <w:vAlign w:val="center"/>
          </w:tcPr>
          <w:p w14:paraId="4DE2993D" w14:textId="77777777" w:rsidR="00120253" w:rsidRPr="0054777C" w:rsidRDefault="00120253" w:rsidP="00120253">
            <w:pPr>
              <w:jc w:val="center"/>
            </w:pPr>
            <w:r w:rsidRPr="0054777C">
              <w:t>211</w:t>
            </w:r>
          </w:p>
        </w:tc>
        <w:tc>
          <w:tcPr>
            <w:tcW w:w="720" w:type="dxa"/>
            <w:tcBorders>
              <w:bottom w:val="single" w:sz="12" w:space="0" w:color="auto"/>
            </w:tcBorders>
            <w:shd w:val="pct5" w:color="auto" w:fill="auto"/>
            <w:vAlign w:val="center"/>
          </w:tcPr>
          <w:p w14:paraId="091DA237" w14:textId="77777777" w:rsidR="00120253" w:rsidRPr="0054777C" w:rsidRDefault="00120253" w:rsidP="00120253">
            <w:pPr>
              <w:jc w:val="center"/>
            </w:pPr>
            <w:r w:rsidRPr="0054777C">
              <w:t>27</w:t>
            </w:r>
          </w:p>
        </w:tc>
        <w:tc>
          <w:tcPr>
            <w:tcW w:w="720" w:type="dxa"/>
            <w:tcBorders>
              <w:bottom w:val="single" w:sz="12" w:space="0" w:color="auto"/>
            </w:tcBorders>
            <w:shd w:val="pct5" w:color="auto" w:fill="auto"/>
            <w:vAlign w:val="center"/>
          </w:tcPr>
          <w:p w14:paraId="50E4BE6B" w14:textId="77777777" w:rsidR="00120253" w:rsidRPr="0054777C" w:rsidRDefault="00120253" w:rsidP="00120253">
            <w:pPr>
              <w:jc w:val="center"/>
            </w:pPr>
            <w:r w:rsidRPr="0054777C">
              <w:t>38</w:t>
            </w:r>
          </w:p>
        </w:tc>
      </w:tr>
    </w:tbl>
    <w:p w14:paraId="651CB3C3" w14:textId="77777777" w:rsidR="00120253" w:rsidRPr="0054777C" w:rsidRDefault="00120253" w:rsidP="00544A9E">
      <w:pPr>
        <w:spacing w:after="0" w:line="240" w:lineRule="auto"/>
      </w:pPr>
    </w:p>
    <w:p w14:paraId="192919AE" w14:textId="77777777" w:rsidR="00D859EF" w:rsidRPr="0054777C" w:rsidRDefault="00D859EF">
      <w:r w:rsidRPr="0054777C">
        <w:br w:type="page"/>
      </w:r>
    </w:p>
    <w:p w14:paraId="58CAF9E2" w14:textId="77777777" w:rsidR="00D859EF" w:rsidRPr="0054777C" w:rsidRDefault="00D859EF" w:rsidP="00544A9E">
      <w:pPr>
        <w:spacing w:after="0" w:line="240" w:lineRule="auto"/>
        <w:sectPr w:rsidR="00D859EF" w:rsidRPr="0054777C" w:rsidSect="00120253">
          <w:pgSz w:w="15840" w:h="12240" w:orient="landscape" w:code="1"/>
          <w:pgMar w:top="720" w:right="720" w:bottom="720" w:left="720" w:header="720" w:footer="720" w:gutter="0"/>
          <w:cols w:space="720"/>
          <w:docGrid w:linePitch="360"/>
        </w:sectPr>
      </w:pPr>
    </w:p>
    <w:tbl>
      <w:tblPr>
        <w:tblStyle w:val="TableGrid"/>
        <w:tblpPr w:leftFromText="187" w:rightFromText="187" w:vertAnchor="text" w:horzAnchor="margin" w:tblpY="969"/>
        <w:tblOverlap w:val="never"/>
        <w:tblW w:w="129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09"/>
        <w:gridCol w:w="1776"/>
        <w:gridCol w:w="1775"/>
        <w:gridCol w:w="1775"/>
        <w:gridCol w:w="1775"/>
        <w:gridCol w:w="1775"/>
        <w:gridCol w:w="1775"/>
      </w:tblGrid>
      <w:tr w:rsidR="00636D60" w:rsidRPr="0054777C" w14:paraId="4E3BFAC1" w14:textId="77777777" w:rsidTr="00636D60">
        <w:trPr>
          <w:trHeight w:val="864"/>
        </w:trPr>
        <w:tc>
          <w:tcPr>
            <w:tcW w:w="2309" w:type="dxa"/>
            <w:tcBorders>
              <w:top w:val="single" w:sz="12" w:space="0" w:color="auto"/>
              <w:bottom w:val="single" w:sz="12" w:space="0" w:color="auto"/>
              <w:right w:val="single" w:sz="12" w:space="0" w:color="auto"/>
            </w:tcBorders>
            <w:vAlign w:val="center"/>
          </w:tcPr>
          <w:p w14:paraId="7DE12C7D" w14:textId="77777777" w:rsidR="00636D60" w:rsidRPr="0054777C" w:rsidRDefault="00636D60" w:rsidP="00636D60">
            <w:pPr>
              <w:jc w:val="center"/>
            </w:pPr>
          </w:p>
        </w:tc>
        <w:tc>
          <w:tcPr>
            <w:tcW w:w="5326" w:type="dxa"/>
            <w:gridSpan w:val="3"/>
            <w:tcBorders>
              <w:top w:val="single" w:sz="12" w:space="0" w:color="auto"/>
              <w:left w:val="single" w:sz="12" w:space="0" w:color="auto"/>
              <w:bottom w:val="single" w:sz="12" w:space="0" w:color="auto"/>
              <w:right w:val="single" w:sz="12" w:space="0" w:color="auto"/>
            </w:tcBorders>
            <w:vAlign w:val="center"/>
          </w:tcPr>
          <w:p w14:paraId="4274AC00" w14:textId="77777777" w:rsidR="00636D60" w:rsidRPr="0054777C" w:rsidRDefault="00636D60" w:rsidP="00636D60">
            <w:pPr>
              <w:jc w:val="center"/>
            </w:pPr>
            <w:r w:rsidRPr="0054777C">
              <w:t>GadaCAD 1</w:t>
            </w:r>
          </w:p>
          <w:p w14:paraId="10F747C1" w14:textId="77777777" w:rsidR="00636D60" w:rsidRPr="0054777C" w:rsidRDefault="00636D60" w:rsidP="00636D60">
            <w:pPr>
              <w:jc w:val="center"/>
            </w:pPr>
            <w:r w:rsidRPr="0054777C">
              <w:t>(n = 141)</w:t>
            </w:r>
          </w:p>
        </w:tc>
        <w:tc>
          <w:tcPr>
            <w:tcW w:w="5325" w:type="dxa"/>
            <w:gridSpan w:val="3"/>
            <w:tcBorders>
              <w:top w:val="single" w:sz="12" w:space="0" w:color="auto"/>
              <w:left w:val="single" w:sz="12" w:space="0" w:color="auto"/>
              <w:bottom w:val="single" w:sz="12" w:space="0" w:color="auto"/>
            </w:tcBorders>
            <w:vAlign w:val="center"/>
          </w:tcPr>
          <w:p w14:paraId="79888316" w14:textId="77777777" w:rsidR="00636D60" w:rsidRPr="0054777C" w:rsidRDefault="00636D60" w:rsidP="00636D60">
            <w:pPr>
              <w:jc w:val="center"/>
            </w:pPr>
            <w:r w:rsidRPr="0054777C">
              <w:t>GadaCAD2</w:t>
            </w:r>
          </w:p>
          <w:p w14:paraId="0519EA3E" w14:textId="77777777" w:rsidR="00636D60" w:rsidRPr="0054777C" w:rsidRDefault="00636D60" w:rsidP="00636D60">
            <w:pPr>
              <w:jc w:val="center"/>
            </w:pPr>
            <w:r w:rsidRPr="0054777C">
              <w:t>(n = 150)</w:t>
            </w:r>
          </w:p>
        </w:tc>
      </w:tr>
      <w:tr w:rsidR="00636D60" w:rsidRPr="0054777C" w14:paraId="5F3CC896" w14:textId="77777777" w:rsidTr="00636D60">
        <w:trPr>
          <w:trHeight w:val="864"/>
        </w:trPr>
        <w:tc>
          <w:tcPr>
            <w:tcW w:w="2309" w:type="dxa"/>
            <w:tcBorders>
              <w:top w:val="single" w:sz="12" w:space="0" w:color="auto"/>
              <w:bottom w:val="single" w:sz="12" w:space="0" w:color="auto"/>
              <w:right w:val="single" w:sz="12" w:space="0" w:color="auto"/>
            </w:tcBorders>
            <w:vAlign w:val="center"/>
          </w:tcPr>
          <w:p w14:paraId="6E0F9AB9" w14:textId="77777777" w:rsidR="00636D60" w:rsidRPr="0054777C" w:rsidRDefault="00636D60" w:rsidP="00636D60">
            <w:r w:rsidRPr="0054777C">
              <w:t xml:space="preserve">QCA Stenosis </w:t>
            </w:r>
            <w:r w:rsidRPr="0054777C">
              <w:rPr>
                <w:rFonts w:cstheme="minorHAnsi"/>
              </w:rPr>
              <w:t>≥</w:t>
            </w:r>
            <w:r w:rsidRPr="0054777C">
              <w:t>70%</w:t>
            </w:r>
          </w:p>
        </w:tc>
        <w:tc>
          <w:tcPr>
            <w:tcW w:w="1776" w:type="dxa"/>
            <w:tcBorders>
              <w:top w:val="single" w:sz="12" w:space="0" w:color="auto"/>
              <w:left w:val="single" w:sz="12" w:space="0" w:color="auto"/>
              <w:bottom w:val="single" w:sz="12" w:space="0" w:color="auto"/>
            </w:tcBorders>
            <w:vAlign w:val="center"/>
          </w:tcPr>
          <w:p w14:paraId="67AF9886" w14:textId="77777777" w:rsidR="00636D60" w:rsidRPr="0054777C" w:rsidRDefault="00636D60" w:rsidP="00636D60">
            <w:pPr>
              <w:jc w:val="center"/>
            </w:pPr>
            <w:r w:rsidRPr="0054777C">
              <w:t>Gadobutrol-enhanced CMR</w:t>
            </w:r>
          </w:p>
          <w:p w14:paraId="567B4D7B"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53584ABD" w14:textId="77777777" w:rsidR="00636D60" w:rsidRPr="0054777C" w:rsidRDefault="00636D60" w:rsidP="00636D60">
            <w:pPr>
              <w:jc w:val="center"/>
            </w:pPr>
            <w:r w:rsidRPr="0054777C">
              <w:t>Unenhanced CMR</w:t>
            </w:r>
          </w:p>
          <w:p w14:paraId="7D381371"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right w:val="single" w:sz="12" w:space="0" w:color="auto"/>
            </w:tcBorders>
            <w:vAlign w:val="center"/>
          </w:tcPr>
          <w:p w14:paraId="6B4ECDA2" w14:textId="77777777" w:rsidR="00636D60" w:rsidRPr="0054777C" w:rsidRDefault="00636D60" w:rsidP="00636D60">
            <w:pPr>
              <w:jc w:val="center"/>
            </w:pPr>
            <w:r w:rsidRPr="0054777C">
              <w:t>Difference</w:t>
            </w:r>
          </w:p>
          <w:p w14:paraId="4933BC28" w14:textId="77777777" w:rsidR="00636D60" w:rsidRPr="0054777C" w:rsidRDefault="00636D60" w:rsidP="00636D60">
            <w:pPr>
              <w:jc w:val="center"/>
            </w:pPr>
            <w:r w:rsidRPr="0054777C">
              <w:t>(Lower bound of 95% CI)</w:t>
            </w:r>
            <w:r w:rsidRPr="0054777C">
              <w:rPr>
                <w:vertAlign w:val="superscript"/>
              </w:rPr>
              <w:t>a</w:t>
            </w:r>
          </w:p>
          <w:p w14:paraId="60C6318E" w14:textId="77777777" w:rsidR="00636D60" w:rsidRPr="0054777C" w:rsidRDefault="00636D60" w:rsidP="00636D60">
            <w:pPr>
              <w:jc w:val="center"/>
            </w:pPr>
            <w:r w:rsidRPr="0054777C">
              <w:t>p-value</w:t>
            </w:r>
          </w:p>
        </w:tc>
        <w:tc>
          <w:tcPr>
            <w:tcW w:w="1775" w:type="dxa"/>
            <w:tcBorders>
              <w:top w:val="single" w:sz="12" w:space="0" w:color="auto"/>
              <w:left w:val="single" w:sz="12" w:space="0" w:color="auto"/>
              <w:bottom w:val="single" w:sz="12" w:space="0" w:color="auto"/>
            </w:tcBorders>
            <w:vAlign w:val="center"/>
          </w:tcPr>
          <w:p w14:paraId="2E680B6C" w14:textId="77777777" w:rsidR="00636D60" w:rsidRPr="0054777C" w:rsidRDefault="00636D60" w:rsidP="00636D60">
            <w:pPr>
              <w:jc w:val="center"/>
            </w:pPr>
            <w:r w:rsidRPr="0054777C">
              <w:t>Gadobutrol-enhanced CMR</w:t>
            </w:r>
          </w:p>
          <w:p w14:paraId="688B0B38"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393A4D25" w14:textId="77777777" w:rsidR="00636D60" w:rsidRPr="0054777C" w:rsidRDefault="00636D60" w:rsidP="00636D60">
            <w:pPr>
              <w:jc w:val="center"/>
            </w:pPr>
            <w:r w:rsidRPr="0054777C">
              <w:t>Unenhanced CMR</w:t>
            </w:r>
          </w:p>
          <w:p w14:paraId="0CAE4A34"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1561647E" w14:textId="77777777" w:rsidR="00636D60" w:rsidRPr="0054777C" w:rsidRDefault="00636D60" w:rsidP="00636D60">
            <w:pPr>
              <w:jc w:val="center"/>
            </w:pPr>
            <w:r w:rsidRPr="0054777C">
              <w:t>Difference</w:t>
            </w:r>
          </w:p>
          <w:p w14:paraId="5458E0B5" w14:textId="77777777" w:rsidR="00636D60" w:rsidRPr="0054777C" w:rsidRDefault="00636D60" w:rsidP="00636D60">
            <w:pPr>
              <w:jc w:val="center"/>
            </w:pPr>
            <w:r w:rsidRPr="0054777C">
              <w:t>(Lower bound of 95% CI)</w:t>
            </w:r>
            <w:r w:rsidRPr="0054777C">
              <w:rPr>
                <w:vertAlign w:val="superscript"/>
              </w:rPr>
              <w:t>a</w:t>
            </w:r>
          </w:p>
          <w:p w14:paraId="70B15CAA" w14:textId="77777777" w:rsidR="00636D60" w:rsidRPr="0054777C" w:rsidRDefault="00636D60" w:rsidP="00636D60">
            <w:pPr>
              <w:jc w:val="center"/>
            </w:pPr>
            <w:r w:rsidRPr="0054777C">
              <w:t>p-value</w:t>
            </w:r>
          </w:p>
        </w:tc>
      </w:tr>
      <w:tr w:rsidR="00636D60" w:rsidRPr="0054777C" w14:paraId="28FDFFB5" w14:textId="77777777" w:rsidTr="00636D60">
        <w:trPr>
          <w:trHeight w:val="864"/>
        </w:trPr>
        <w:tc>
          <w:tcPr>
            <w:tcW w:w="2309" w:type="dxa"/>
            <w:tcBorders>
              <w:top w:val="single" w:sz="12" w:space="0" w:color="auto"/>
              <w:bottom w:val="nil"/>
              <w:right w:val="single" w:sz="12" w:space="0" w:color="auto"/>
            </w:tcBorders>
            <w:vAlign w:val="center"/>
          </w:tcPr>
          <w:p w14:paraId="39E812CF" w14:textId="77777777" w:rsidR="00636D60" w:rsidRPr="0054777C" w:rsidRDefault="00636D60" w:rsidP="00636D60">
            <w:pPr>
              <w:jc w:val="center"/>
            </w:pPr>
            <w:r w:rsidRPr="0054777C">
              <w:t>Reader 1</w:t>
            </w:r>
          </w:p>
        </w:tc>
        <w:tc>
          <w:tcPr>
            <w:tcW w:w="1776" w:type="dxa"/>
            <w:tcBorders>
              <w:top w:val="single" w:sz="12" w:space="0" w:color="auto"/>
              <w:left w:val="single" w:sz="12" w:space="0" w:color="auto"/>
              <w:bottom w:val="nil"/>
            </w:tcBorders>
            <w:vAlign w:val="center"/>
          </w:tcPr>
          <w:p w14:paraId="172673C1" w14:textId="77777777" w:rsidR="00636D60" w:rsidRPr="0054777C" w:rsidRDefault="00636D60" w:rsidP="00636D60">
            <w:pPr>
              <w:jc w:val="center"/>
            </w:pPr>
            <w:r w:rsidRPr="0054777C">
              <w:t>89.8%</w:t>
            </w:r>
          </w:p>
        </w:tc>
        <w:tc>
          <w:tcPr>
            <w:tcW w:w="1775" w:type="dxa"/>
            <w:tcBorders>
              <w:top w:val="single" w:sz="12" w:space="0" w:color="auto"/>
              <w:bottom w:val="nil"/>
            </w:tcBorders>
            <w:vAlign w:val="center"/>
          </w:tcPr>
          <w:p w14:paraId="393383D0" w14:textId="77777777" w:rsidR="00636D60" w:rsidRPr="0054777C" w:rsidRDefault="00636D60" w:rsidP="00636D60">
            <w:pPr>
              <w:jc w:val="center"/>
            </w:pPr>
            <w:r w:rsidRPr="0054777C">
              <w:t>82.4%</w:t>
            </w:r>
          </w:p>
        </w:tc>
        <w:tc>
          <w:tcPr>
            <w:tcW w:w="1775" w:type="dxa"/>
            <w:tcBorders>
              <w:top w:val="single" w:sz="12" w:space="0" w:color="auto"/>
              <w:bottom w:val="nil"/>
              <w:right w:val="single" w:sz="12" w:space="0" w:color="auto"/>
            </w:tcBorders>
            <w:vAlign w:val="center"/>
          </w:tcPr>
          <w:p w14:paraId="08548E18" w14:textId="77777777" w:rsidR="00636D60" w:rsidRPr="0054777C" w:rsidRDefault="00636D60" w:rsidP="00636D60">
            <w:pPr>
              <w:jc w:val="center"/>
            </w:pPr>
            <w:r w:rsidRPr="0054777C">
              <w:t>7.4%</w:t>
            </w:r>
          </w:p>
          <w:p w14:paraId="2EDBE5CB" w14:textId="77777777" w:rsidR="00636D60" w:rsidRPr="0054777C" w:rsidRDefault="00636D60" w:rsidP="00636D60">
            <w:pPr>
              <w:jc w:val="center"/>
            </w:pPr>
            <w:r w:rsidRPr="0054777C">
              <w:t>(0.5%)</w:t>
            </w:r>
          </w:p>
          <w:p w14:paraId="450B63A1" w14:textId="77777777" w:rsidR="00636D60" w:rsidRPr="0054777C" w:rsidRDefault="00636D60" w:rsidP="00636D60">
            <w:pPr>
              <w:jc w:val="center"/>
            </w:pPr>
            <w:r w:rsidRPr="0054777C">
              <w:t>p=0.0455</w:t>
            </w:r>
          </w:p>
        </w:tc>
        <w:tc>
          <w:tcPr>
            <w:tcW w:w="1775" w:type="dxa"/>
            <w:tcBorders>
              <w:top w:val="single" w:sz="12" w:space="0" w:color="auto"/>
              <w:left w:val="single" w:sz="12" w:space="0" w:color="auto"/>
              <w:bottom w:val="nil"/>
            </w:tcBorders>
            <w:vAlign w:val="center"/>
          </w:tcPr>
          <w:p w14:paraId="60F9EAE2" w14:textId="77777777" w:rsidR="00636D60" w:rsidRPr="0054777C" w:rsidRDefault="00636D60" w:rsidP="00636D60">
            <w:pPr>
              <w:jc w:val="center"/>
            </w:pPr>
            <w:r w:rsidRPr="0054777C">
              <w:t>77.1%</w:t>
            </w:r>
          </w:p>
        </w:tc>
        <w:tc>
          <w:tcPr>
            <w:tcW w:w="1775" w:type="dxa"/>
            <w:tcBorders>
              <w:top w:val="single" w:sz="12" w:space="0" w:color="auto"/>
              <w:bottom w:val="nil"/>
            </w:tcBorders>
            <w:vAlign w:val="center"/>
          </w:tcPr>
          <w:p w14:paraId="6EB4C04F" w14:textId="77777777" w:rsidR="00636D60" w:rsidRPr="0054777C" w:rsidRDefault="00636D60" w:rsidP="00636D60">
            <w:pPr>
              <w:jc w:val="center"/>
            </w:pPr>
            <w:r w:rsidRPr="0054777C">
              <w:t>56.2</w:t>
            </w:r>
          </w:p>
        </w:tc>
        <w:tc>
          <w:tcPr>
            <w:tcW w:w="1775" w:type="dxa"/>
            <w:tcBorders>
              <w:top w:val="single" w:sz="12" w:space="0" w:color="auto"/>
              <w:bottom w:val="nil"/>
            </w:tcBorders>
            <w:vAlign w:val="center"/>
          </w:tcPr>
          <w:p w14:paraId="2742793B" w14:textId="77777777" w:rsidR="00636D60" w:rsidRPr="0054777C" w:rsidRDefault="00636D60" w:rsidP="00636D60">
            <w:pPr>
              <w:jc w:val="center"/>
            </w:pPr>
            <w:r w:rsidRPr="0054777C">
              <w:t>21.0%</w:t>
            </w:r>
          </w:p>
          <w:p w14:paraId="3C31A0E1" w14:textId="77777777" w:rsidR="00636D60" w:rsidRPr="0054777C" w:rsidRDefault="00636D60" w:rsidP="00636D60">
            <w:pPr>
              <w:jc w:val="center"/>
            </w:pPr>
            <w:r w:rsidRPr="0054777C">
              <w:t>(12.1%)</w:t>
            </w:r>
          </w:p>
          <w:p w14:paraId="56F5A669" w14:textId="77777777" w:rsidR="00636D60" w:rsidRPr="0054777C" w:rsidRDefault="00636D60" w:rsidP="00636D60">
            <w:pPr>
              <w:jc w:val="center"/>
            </w:pPr>
            <w:r w:rsidRPr="0054777C">
              <w:t>p&lt;0.00005</w:t>
            </w:r>
          </w:p>
        </w:tc>
      </w:tr>
      <w:tr w:rsidR="00636D60" w:rsidRPr="0054777C" w14:paraId="60E5F672" w14:textId="77777777" w:rsidTr="00636D60">
        <w:trPr>
          <w:trHeight w:val="864"/>
        </w:trPr>
        <w:tc>
          <w:tcPr>
            <w:tcW w:w="2309" w:type="dxa"/>
            <w:tcBorders>
              <w:top w:val="nil"/>
              <w:bottom w:val="nil"/>
              <w:right w:val="single" w:sz="12" w:space="0" w:color="auto"/>
            </w:tcBorders>
            <w:vAlign w:val="center"/>
          </w:tcPr>
          <w:p w14:paraId="33479C5F" w14:textId="77777777" w:rsidR="00636D60" w:rsidRPr="0054777C" w:rsidRDefault="00636D60" w:rsidP="00636D60">
            <w:pPr>
              <w:jc w:val="center"/>
            </w:pPr>
            <w:r w:rsidRPr="0054777C">
              <w:t>Reader 2</w:t>
            </w:r>
          </w:p>
        </w:tc>
        <w:tc>
          <w:tcPr>
            <w:tcW w:w="1776" w:type="dxa"/>
            <w:tcBorders>
              <w:top w:val="nil"/>
              <w:left w:val="single" w:sz="12" w:space="0" w:color="auto"/>
              <w:bottom w:val="nil"/>
            </w:tcBorders>
            <w:vAlign w:val="center"/>
          </w:tcPr>
          <w:p w14:paraId="5D46A547" w14:textId="77777777" w:rsidR="00636D60" w:rsidRPr="0054777C" w:rsidRDefault="00636D60" w:rsidP="00636D60">
            <w:pPr>
              <w:jc w:val="center"/>
            </w:pPr>
            <w:r w:rsidRPr="0054777C">
              <w:t>79.6%</w:t>
            </w:r>
          </w:p>
        </w:tc>
        <w:tc>
          <w:tcPr>
            <w:tcW w:w="1775" w:type="dxa"/>
            <w:tcBorders>
              <w:top w:val="nil"/>
              <w:bottom w:val="nil"/>
            </w:tcBorders>
            <w:vAlign w:val="center"/>
          </w:tcPr>
          <w:p w14:paraId="7A3F7A8B" w14:textId="77777777" w:rsidR="00636D60" w:rsidRPr="0054777C" w:rsidRDefault="00636D60" w:rsidP="00636D60">
            <w:pPr>
              <w:jc w:val="center"/>
            </w:pPr>
            <w:r w:rsidRPr="0054777C">
              <w:t>45.4%</w:t>
            </w:r>
          </w:p>
        </w:tc>
        <w:tc>
          <w:tcPr>
            <w:tcW w:w="1775" w:type="dxa"/>
            <w:tcBorders>
              <w:top w:val="nil"/>
              <w:bottom w:val="nil"/>
              <w:right w:val="single" w:sz="12" w:space="0" w:color="auto"/>
            </w:tcBorders>
            <w:vAlign w:val="center"/>
          </w:tcPr>
          <w:p w14:paraId="704D19F5" w14:textId="77777777" w:rsidR="00636D60" w:rsidRPr="0054777C" w:rsidRDefault="00636D60" w:rsidP="00636D60">
            <w:pPr>
              <w:jc w:val="center"/>
            </w:pPr>
            <w:r w:rsidRPr="0054777C">
              <w:t>34.3%</w:t>
            </w:r>
          </w:p>
          <w:p w14:paraId="58E9C8C2" w14:textId="77777777" w:rsidR="00636D60" w:rsidRPr="0054777C" w:rsidRDefault="00636D60" w:rsidP="00636D60">
            <w:pPr>
              <w:jc w:val="center"/>
            </w:pPr>
            <w:r w:rsidRPr="0054777C">
              <w:t>(25.2%)</w:t>
            </w:r>
          </w:p>
          <w:p w14:paraId="1BC7A4F4" w14:textId="77777777" w:rsidR="00636D60" w:rsidRPr="0054777C" w:rsidRDefault="00636D60" w:rsidP="00636D60">
            <w:pPr>
              <w:jc w:val="center"/>
            </w:pPr>
            <w:r w:rsidRPr="0054777C">
              <w:t>p&lt;0.0001</w:t>
            </w:r>
          </w:p>
        </w:tc>
        <w:tc>
          <w:tcPr>
            <w:tcW w:w="1775" w:type="dxa"/>
            <w:tcBorders>
              <w:top w:val="nil"/>
              <w:left w:val="single" w:sz="12" w:space="0" w:color="auto"/>
              <w:bottom w:val="nil"/>
            </w:tcBorders>
            <w:vAlign w:val="center"/>
          </w:tcPr>
          <w:p w14:paraId="550FDC63" w14:textId="77777777" w:rsidR="00636D60" w:rsidRPr="0054777C" w:rsidRDefault="00636D60" w:rsidP="00636D60">
            <w:pPr>
              <w:jc w:val="center"/>
            </w:pPr>
            <w:r w:rsidRPr="0054777C">
              <w:t>71.4%</w:t>
            </w:r>
          </w:p>
        </w:tc>
        <w:tc>
          <w:tcPr>
            <w:tcW w:w="1775" w:type="dxa"/>
            <w:tcBorders>
              <w:top w:val="nil"/>
              <w:bottom w:val="nil"/>
            </w:tcBorders>
            <w:vAlign w:val="center"/>
          </w:tcPr>
          <w:p w14:paraId="5C86A133" w14:textId="77777777" w:rsidR="00636D60" w:rsidRPr="0054777C" w:rsidRDefault="00636D60" w:rsidP="00636D60">
            <w:pPr>
              <w:jc w:val="center"/>
            </w:pPr>
            <w:r w:rsidRPr="0054777C">
              <w:t>35.2%</w:t>
            </w:r>
          </w:p>
        </w:tc>
        <w:tc>
          <w:tcPr>
            <w:tcW w:w="1775" w:type="dxa"/>
            <w:tcBorders>
              <w:top w:val="nil"/>
              <w:bottom w:val="nil"/>
            </w:tcBorders>
            <w:vAlign w:val="center"/>
          </w:tcPr>
          <w:p w14:paraId="33E2F633" w14:textId="77777777" w:rsidR="00636D60" w:rsidRPr="0054777C" w:rsidRDefault="00636D60" w:rsidP="00636D60">
            <w:pPr>
              <w:jc w:val="center"/>
            </w:pPr>
            <w:r w:rsidRPr="0054777C">
              <w:t>36.2%</w:t>
            </w:r>
          </w:p>
          <w:p w14:paraId="250BBFBF" w14:textId="77777777" w:rsidR="00636D60" w:rsidRPr="0054777C" w:rsidRDefault="00636D60" w:rsidP="00636D60">
            <w:pPr>
              <w:jc w:val="center"/>
            </w:pPr>
            <w:r w:rsidRPr="0054777C">
              <w:t>(26.3%)</w:t>
            </w:r>
          </w:p>
          <w:p w14:paraId="4EC7C539" w14:textId="77777777" w:rsidR="00636D60" w:rsidRPr="0054777C" w:rsidRDefault="00636D60" w:rsidP="00636D60">
            <w:pPr>
              <w:jc w:val="center"/>
            </w:pPr>
            <w:r w:rsidRPr="0054777C">
              <w:t>p&lt;0.0001</w:t>
            </w:r>
          </w:p>
        </w:tc>
      </w:tr>
      <w:tr w:rsidR="00636D60" w:rsidRPr="0054777C" w14:paraId="15596516" w14:textId="77777777" w:rsidTr="00636D60">
        <w:trPr>
          <w:trHeight w:val="864"/>
        </w:trPr>
        <w:tc>
          <w:tcPr>
            <w:tcW w:w="2309" w:type="dxa"/>
            <w:tcBorders>
              <w:top w:val="nil"/>
              <w:bottom w:val="single" w:sz="12" w:space="0" w:color="auto"/>
              <w:right w:val="single" w:sz="12" w:space="0" w:color="auto"/>
            </w:tcBorders>
            <w:vAlign w:val="center"/>
          </w:tcPr>
          <w:p w14:paraId="712C4BFA" w14:textId="77777777" w:rsidR="00636D60" w:rsidRPr="0054777C" w:rsidRDefault="00636D60" w:rsidP="00636D60">
            <w:pPr>
              <w:jc w:val="center"/>
            </w:pPr>
            <w:r w:rsidRPr="0054777C">
              <w:t>Reader 3</w:t>
            </w:r>
          </w:p>
        </w:tc>
        <w:tc>
          <w:tcPr>
            <w:tcW w:w="1776" w:type="dxa"/>
            <w:tcBorders>
              <w:top w:val="nil"/>
              <w:left w:val="single" w:sz="12" w:space="0" w:color="auto"/>
              <w:bottom w:val="single" w:sz="12" w:space="0" w:color="auto"/>
            </w:tcBorders>
            <w:vAlign w:val="center"/>
          </w:tcPr>
          <w:p w14:paraId="4B6BAA7C" w14:textId="77777777" w:rsidR="00636D60" w:rsidRPr="0054777C" w:rsidRDefault="00636D60" w:rsidP="00636D60">
            <w:pPr>
              <w:jc w:val="center"/>
            </w:pPr>
            <w:r w:rsidRPr="0054777C">
              <w:t>78.7%</w:t>
            </w:r>
          </w:p>
        </w:tc>
        <w:tc>
          <w:tcPr>
            <w:tcW w:w="1775" w:type="dxa"/>
            <w:tcBorders>
              <w:top w:val="nil"/>
              <w:bottom w:val="single" w:sz="12" w:space="0" w:color="auto"/>
            </w:tcBorders>
            <w:vAlign w:val="center"/>
          </w:tcPr>
          <w:p w14:paraId="7C7829D7" w14:textId="77777777" w:rsidR="00636D60" w:rsidRPr="0054777C" w:rsidRDefault="00636D60" w:rsidP="00636D60">
            <w:pPr>
              <w:jc w:val="center"/>
            </w:pPr>
            <w:r w:rsidRPr="0054777C">
              <w:t>48.1%</w:t>
            </w:r>
          </w:p>
        </w:tc>
        <w:tc>
          <w:tcPr>
            <w:tcW w:w="1775" w:type="dxa"/>
            <w:tcBorders>
              <w:top w:val="nil"/>
              <w:bottom w:val="single" w:sz="12" w:space="0" w:color="auto"/>
              <w:right w:val="single" w:sz="12" w:space="0" w:color="auto"/>
            </w:tcBorders>
            <w:vAlign w:val="center"/>
          </w:tcPr>
          <w:p w14:paraId="28EA124C" w14:textId="77777777" w:rsidR="00636D60" w:rsidRPr="0054777C" w:rsidRDefault="00636D60" w:rsidP="00636D60">
            <w:pPr>
              <w:jc w:val="center"/>
            </w:pPr>
            <w:r w:rsidRPr="0054777C">
              <w:t>30.6%</w:t>
            </w:r>
          </w:p>
          <w:p w14:paraId="36CCA462" w14:textId="77777777" w:rsidR="00636D60" w:rsidRPr="0054777C" w:rsidRDefault="00636D60" w:rsidP="00636D60">
            <w:pPr>
              <w:jc w:val="center"/>
            </w:pPr>
            <w:r w:rsidRPr="0054777C">
              <w:t>(25.2%)</w:t>
            </w:r>
          </w:p>
          <w:p w14:paraId="63CB14F9" w14:textId="77777777" w:rsidR="00636D60" w:rsidRPr="0054777C" w:rsidRDefault="00636D60" w:rsidP="00636D60">
            <w:pPr>
              <w:jc w:val="center"/>
            </w:pPr>
            <w:r w:rsidRPr="0054777C">
              <w:t>p&lt;0.0001</w:t>
            </w:r>
          </w:p>
        </w:tc>
        <w:tc>
          <w:tcPr>
            <w:tcW w:w="1775" w:type="dxa"/>
            <w:tcBorders>
              <w:top w:val="nil"/>
              <w:left w:val="single" w:sz="12" w:space="0" w:color="auto"/>
              <w:bottom w:val="single" w:sz="12" w:space="0" w:color="auto"/>
            </w:tcBorders>
            <w:vAlign w:val="center"/>
          </w:tcPr>
          <w:p w14:paraId="00F07857" w14:textId="77777777" w:rsidR="00636D60" w:rsidRPr="0054777C" w:rsidRDefault="00636D60" w:rsidP="00636D60">
            <w:pPr>
              <w:jc w:val="center"/>
            </w:pPr>
            <w:r w:rsidRPr="0054777C">
              <w:t>76.2%</w:t>
            </w:r>
          </w:p>
        </w:tc>
        <w:tc>
          <w:tcPr>
            <w:tcW w:w="1775" w:type="dxa"/>
            <w:tcBorders>
              <w:top w:val="nil"/>
              <w:bottom w:val="single" w:sz="12" w:space="0" w:color="auto"/>
            </w:tcBorders>
            <w:vAlign w:val="center"/>
          </w:tcPr>
          <w:p w14:paraId="244559F4" w14:textId="77777777" w:rsidR="00636D60" w:rsidRPr="0054777C" w:rsidRDefault="00636D60" w:rsidP="00636D60">
            <w:pPr>
              <w:jc w:val="center"/>
            </w:pPr>
            <w:r w:rsidRPr="0054777C">
              <w:t>35.2%</w:t>
            </w:r>
          </w:p>
        </w:tc>
        <w:tc>
          <w:tcPr>
            <w:tcW w:w="1775" w:type="dxa"/>
            <w:tcBorders>
              <w:top w:val="nil"/>
              <w:bottom w:val="single" w:sz="12" w:space="0" w:color="auto"/>
            </w:tcBorders>
            <w:vAlign w:val="center"/>
          </w:tcPr>
          <w:p w14:paraId="1398AFE6" w14:textId="77777777" w:rsidR="00636D60" w:rsidRPr="0054777C" w:rsidRDefault="00636D60" w:rsidP="00636D60">
            <w:pPr>
              <w:jc w:val="center"/>
            </w:pPr>
            <w:r w:rsidRPr="0054777C">
              <w:t>41.0%</w:t>
            </w:r>
          </w:p>
          <w:p w14:paraId="63A0C9C1" w14:textId="77777777" w:rsidR="00636D60" w:rsidRPr="0054777C" w:rsidRDefault="00636D60" w:rsidP="00636D60">
            <w:pPr>
              <w:jc w:val="center"/>
            </w:pPr>
            <w:r w:rsidRPr="0054777C">
              <w:t>(31.8%)</w:t>
            </w:r>
          </w:p>
          <w:p w14:paraId="2A68E657" w14:textId="77777777" w:rsidR="00636D60" w:rsidRPr="0054777C" w:rsidRDefault="00636D60" w:rsidP="00636D60">
            <w:pPr>
              <w:jc w:val="center"/>
            </w:pPr>
            <w:r w:rsidRPr="0054777C">
              <w:t>p&lt;0.0001</w:t>
            </w:r>
          </w:p>
        </w:tc>
      </w:tr>
      <w:tr w:rsidR="00636D60" w:rsidRPr="0054777C" w14:paraId="3311535F" w14:textId="77777777" w:rsidTr="00636D60">
        <w:trPr>
          <w:trHeight w:val="864"/>
        </w:trPr>
        <w:tc>
          <w:tcPr>
            <w:tcW w:w="2309" w:type="dxa"/>
            <w:tcBorders>
              <w:top w:val="single" w:sz="12" w:space="0" w:color="auto"/>
              <w:bottom w:val="single" w:sz="12" w:space="0" w:color="auto"/>
              <w:right w:val="single" w:sz="12" w:space="0" w:color="auto"/>
            </w:tcBorders>
            <w:vAlign w:val="center"/>
          </w:tcPr>
          <w:p w14:paraId="2187A96D" w14:textId="77777777" w:rsidR="00636D60" w:rsidRPr="0054777C" w:rsidRDefault="00636D60" w:rsidP="00636D60">
            <w:r w:rsidRPr="0054777C">
              <w:t xml:space="preserve">QCA Stenosis </w:t>
            </w:r>
            <w:r w:rsidRPr="0054777C">
              <w:rPr>
                <w:rFonts w:cstheme="minorHAnsi"/>
              </w:rPr>
              <w:t>≥</w:t>
            </w:r>
            <w:r w:rsidRPr="0054777C">
              <w:t>50%</w:t>
            </w:r>
          </w:p>
        </w:tc>
        <w:tc>
          <w:tcPr>
            <w:tcW w:w="1776" w:type="dxa"/>
            <w:tcBorders>
              <w:top w:val="single" w:sz="12" w:space="0" w:color="auto"/>
              <w:left w:val="single" w:sz="12" w:space="0" w:color="auto"/>
              <w:bottom w:val="single" w:sz="12" w:space="0" w:color="auto"/>
            </w:tcBorders>
            <w:vAlign w:val="center"/>
          </w:tcPr>
          <w:p w14:paraId="6C7B896B" w14:textId="77777777" w:rsidR="00636D60" w:rsidRPr="0054777C" w:rsidRDefault="00636D60" w:rsidP="00636D60">
            <w:pPr>
              <w:jc w:val="center"/>
            </w:pPr>
            <w:r w:rsidRPr="0054777C">
              <w:t>Gadobutrol-enhanced CMR</w:t>
            </w:r>
          </w:p>
          <w:p w14:paraId="5A53D15E"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5C93FAF5" w14:textId="77777777" w:rsidR="00636D60" w:rsidRPr="0054777C" w:rsidRDefault="00636D60" w:rsidP="00636D60">
            <w:pPr>
              <w:jc w:val="center"/>
            </w:pPr>
            <w:r w:rsidRPr="0054777C">
              <w:t>Unenhanced CMR</w:t>
            </w:r>
          </w:p>
          <w:p w14:paraId="340F73DA"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right w:val="single" w:sz="12" w:space="0" w:color="auto"/>
            </w:tcBorders>
            <w:vAlign w:val="center"/>
          </w:tcPr>
          <w:p w14:paraId="4FDC4CC8" w14:textId="77777777" w:rsidR="00636D60" w:rsidRPr="0054777C" w:rsidRDefault="00636D60" w:rsidP="00636D60">
            <w:pPr>
              <w:jc w:val="center"/>
            </w:pPr>
            <w:r w:rsidRPr="0054777C">
              <w:t>Difference</w:t>
            </w:r>
          </w:p>
          <w:p w14:paraId="517A85A6" w14:textId="77777777" w:rsidR="00636D60" w:rsidRPr="0054777C" w:rsidRDefault="00636D60" w:rsidP="00636D60">
            <w:pPr>
              <w:jc w:val="center"/>
            </w:pPr>
            <w:r w:rsidRPr="0054777C">
              <w:t>(Lower bound of 95% CI)</w:t>
            </w:r>
            <w:r w:rsidRPr="0054777C">
              <w:rPr>
                <w:vertAlign w:val="superscript"/>
              </w:rPr>
              <w:t>a</w:t>
            </w:r>
          </w:p>
          <w:p w14:paraId="646607D8" w14:textId="77777777" w:rsidR="00636D60" w:rsidRPr="0054777C" w:rsidRDefault="00636D60" w:rsidP="00636D60">
            <w:pPr>
              <w:jc w:val="center"/>
            </w:pPr>
            <w:r w:rsidRPr="0054777C">
              <w:t>p-value</w:t>
            </w:r>
          </w:p>
        </w:tc>
        <w:tc>
          <w:tcPr>
            <w:tcW w:w="1775" w:type="dxa"/>
            <w:tcBorders>
              <w:top w:val="single" w:sz="12" w:space="0" w:color="auto"/>
              <w:left w:val="single" w:sz="12" w:space="0" w:color="auto"/>
              <w:bottom w:val="single" w:sz="12" w:space="0" w:color="auto"/>
            </w:tcBorders>
            <w:vAlign w:val="center"/>
          </w:tcPr>
          <w:p w14:paraId="3947E1CE" w14:textId="77777777" w:rsidR="00636D60" w:rsidRPr="0054777C" w:rsidRDefault="00636D60" w:rsidP="00636D60">
            <w:pPr>
              <w:jc w:val="center"/>
            </w:pPr>
            <w:r w:rsidRPr="0054777C">
              <w:t>Gadobutrol-enhanced CMR</w:t>
            </w:r>
          </w:p>
          <w:p w14:paraId="15AE6ABD"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5F419266" w14:textId="77777777" w:rsidR="00636D60" w:rsidRPr="0054777C" w:rsidRDefault="00636D60" w:rsidP="00636D60">
            <w:pPr>
              <w:jc w:val="center"/>
            </w:pPr>
            <w:r w:rsidRPr="0054777C">
              <w:t>Unenhanced CMR</w:t>
            </w:r>
          </w:p>
          <w:p w14:paraId="719A46AB" w14:textId="77777777" w:rsidR="00636D60" w:rsidRPr="0054777C" w:rsidRDefault="00636D60" w:rsidP="00636D60">
            <w:pPr>
              <w:jc w:val="center"/>
            </w:pPr>
            <w:r w:rsidRPr="0054777C">
              <w:t>Sensitivity</w:t>
            </w:r>
          </w:p>
        </w:tc>
        <w:tc>
          <w:tcPr>
            <w:tcW w:w="1775" w:type="dxa"/>
            <w:tcBorders>
              <w:top w:val="single" w:sz="12" w:space="0" w:color="auto"/>
              <w:bottom w:val="single" w:sz="12" w:space="0" w:color="auto"/>
            </w:tcBorders>
            <w:vAlign w:val="center"/>
          </w:tcPr>
          <w:p w14:paraId="4695F260" w14:textId="77777777" w:rsidR="00636D60" w:rsidRPr="0054777C" w:rsidRDefault="00636D60" w:rsidP="00636D60">
            <w:pPr>
              <w:jc w:val="center"/>
            </w:pPr>
            <w:r w:rsidRPr="0054777C">
              <w:t>Difference</w:t>
            </w:r>
          </w:p>
          <w:p w14:paraId="01802837" w14:textId="77777777" w:rsidR="00636D60" w:rsidRPr="0054777C" w:rsidRDefault="00636D60" w:rsidP="00636D60">
            <w:pPr>
              <w:jc w:val="center"/>
            </w:pPr>
            <w:r w:rsidRPr="0054777C">
              <w:t>(Lower bound of 95% CI)</w:t>
            </w:r>
            <w:r w:rsidRPr="0054777C">
              <w:rPr>
                <w:vertAlign w:val="superscript"/>
              </w:rPr>
              <w:t>a</w:t>
            </w:r>
          </w:p>
          <w:p w14:paraId="2C938991" w14:textId="77777777" w:rsidR="00636D60" w:rsidRPr="0054777C" w:rsidRDefault="00636D60" w:rsidP="00636D60">
            <w:pPr>
              <w:jc w:val="center"/>
            </w:pPr>
            <w:r w:rsidRPr="0054777C">
              <w:t>p-value</w:t>
            </w:r>
          </w:p>
        </w:tc>
      </w:tr>
      <w:tr w:rsidR="00636D60" w:rsidRPr="0054777C" w14:paraId="41A5BC45" w14:textId="77777777" w:rsidTr="00636D60">
        <w:trPr>
          <w:trHeight w:val="864"/>
        </w:trPr>
        <w:tc>
          <w:tcPr>
            <w:tcW w:w="2309" w:type="dxa"/>
            <w:tcBorders>
              <w:top w:val="single" w:sz="12" w:space="0" w:color="auto"/>
              <w:right w:val="single" w:sz="12" w:space="0" w:color="auto"/>
            </w:tcBorders>
            <w:vAlign w:val="center"/>
          </w:tcPr>
          <w:p w14:paraId="3AB844BB" w14:textId="77777777" w:rsidR="00636D60" w:rsidRPr="0054777C" w:rsidRDefault="00636D60" w:rsidP="00636D60">
            <w:pPr>
              <w:jc w:val="center"/>
            </w:pPr>
            <w:r w:rsidRPr="0054777C">
              <w:t>Reader 1</w:t>
            </w:r>
          </w:p>
        </w:tc>
        <w:tc>
          <w:tcPr>
            <w:tcW w:w="1776" w:type="dxa"/>
            <w:tcBorders>
              <w:top w:val="single" w:sz="12" w:space="0" w:color="auto"/>
              <w:left w:val="single" w:sz="12" w:space="0" w:color="auto"/>
              <w:bottom w:val="nil"/>
            </w:tcBorders>
            <w:vAlign w:val="center"/>
          </w:tcPr>
          <w:p w14:paraId="4A319AA1" w14:textId="77777777" w:rsidR="00636D60" w:rsidRPr="0054777C" w:rsidRDefault="00636D60" w:rsidP="00636D60">
            <w:pPr>
              <w:jc w:val="center"/>
            </w:pPr>
            <w:r w:rsidRPr="0054777C">
              <w:t>77.6%</w:t>
            </w:r>
          </w:p>
        </w:tc>
        <w:tc>
          <w:tcPr>
            <w:tcW w:w="1775" w:type="dxa"/>
            <w:tcBorders>
              <w:top w:val="single" w:sz="12" w:space="0" w:color="auto"/>
              <w:bottom w:val="nil"/>
            </w:tcBorders>
            <w:vAlign w:val="center"/>
          </w:tcPr>
          <w:p w14:paraId="6C05E8CE" w14:textId="77777777" w:rsidR="00636D60" w:rsidRPr="0054777C" w:rsidRDefault="00636D60" w:rsidP="00636D60">
            <w:pPr>
              <w:jc w:val="center"/>
            </w:pPr>
            <w:r w:rsidRPr="0054777C">
              <w:t>77.3%</w:t>
            </w:r>
          </w:p>
        </w:tc>
        <w:tc>
          <w:tcPr>
            <w:tcW w:w="1775" w:type="dxa"/>
            <w:tcBorders>
              <w:top w:val="single" w:sz="12" w:space="0" w:color="auto"/>
              <w:bottom w:val="nil"/>
              <w:right w:val="single" w:sz="12" w:space="0" w:color="auto"/>
            </w:tcBorders>
            <w:vAlign w:val="center"/>
          </w:tcPr>
          <w:p w14:paraId="39C10A44" w14:textId="77777777" w:rsidR="00636D60" w:rsidRPr="0054777C" w:rsidRDefault="00636D60" w:rsidP="00636D60">
            <w:pPr>
              <w:jc w:val="center"/>
            </w:pPr>
            <w:r w:rsidRPr="0054777C">
              <w:t>-0.7%</w:t>
            </w:r>
          </w:p>
          <w:p w14:paraId="3DB3AE0B" w14:textId="77777777" w:rsidR="00636D60" w:rsidRPr="0054777C" w:rsidRDefault="00636D60" w:rsidP="00636D60">
            <w:pPr>
              <w:jc w:val="center"/>
            </w:pPr>
            <w:r w:rsidRPr="0054777C">
              <w:t>(-0.85%)</w:t>
            </w:r>
          </w:p>
          <w:p w14:paraId="31289F95" w14:textId="77777777" w:rsidR="00636D60" w:rsidRPr="0054777C" w:rsidRDefault="00636D60" w:rsidP="00636D60">
            <w:pPr>
              <w:jc w:val="center"/>
            </w:pPr>
            <w:r w:rsidRPr="0054777C">
              <w:t>p=0.8694</w:t>
            </w:r>
          </w:p>
        </w:tc>
        <w:tc>
          <w:tcPr>
            <w:tcW w:w="1775" w:type="dxa"/>
            <w:tcBorders>
              <w:top w:val="single" w:sz="12" w:space="0" w:color="auto"/>
              <w:left w:val="single" w:sz="12" w:space="0" w:color="auto"/>
            </w:tcBorders>
            <w:vAlign w:val="center"/>
          </w:tcPr>
          <w:p w14:paraId="7E7EEAD2" w14:textId="77777777" w:rsidR="00636D60" w:rsidRPr="0054777C" w:rsidRDefault="00636D60" w:rsidP="00636D60">
            <w:pPr>
              <w:jc w:val="center"/>
            </w:pPr>
            <w:r w:rsidRPr="0054777C">
              <w:t>64.7%</w:t>
            </w:r>
          </w:p>
        </w:tc>
        <w:tc>
          <w:tcPr>
            <w:tcW w:w="1775" w:type="dxa"/>
            <w:tcBorders>
              <w:top w:val="single" w:sz="12" w:space="0" w:color="auto"/>
            </w:tcBorders>
            <w:vAlign w:val="center"/>
          </w:tcPr>
          <w:p w14:paraId="6603765E" w14:textId="77777777" w:rsidR="00636D60" w:rsidRPr="0054777C" w:rsidRDefault="00636D60" w:rsidP="00636D60">
            <w:pPr>
              <w:jc w:val="center"/>
            </w:pPr>
            <w:r w:rsidRPr="0054777C">
              <w:t>48.0%</w:t>
            </w:r>
          </w:p>
        </w:tc>
        <w:tc>
          <w:tcPr>
            <w:tcW w:w="1775" w:type="dxa"/>
            <w:tcBorders>
              <w:top w:val="single" w:sz="12" w:space="0" w:color="auto"/>
            </w:tcBorders>
            <w:vAlign w:val="center"/>
          </w:tcPr>
          <w:p w14:paraId="2DE0EC8F" w14:textId="77777777" w:rsidR="00636D60" w:rsidRPr="0054777C" w:rsidRDefault="00636D60" w:rsidP="00636D60">
            <w:pPr>
              <w:jc w:val="center"/>
            </w:pPr>
            <w:r w:rsidRPr="0054777C">
              <w:t>16.7%</w:t>
            </w:r>
          </w:p>
          <w:p w14:paraId="28DFFFD2" w14:textId="77777777" w:rsidR="00636D60" w:rsidRPr="0054777C" w:rsidRDefault="00636D60" w:rsidP="00636D60">
            <w:pPr>
              <w:jc w:val="center"/>
            </w:pPr>
            <w:r w:rsidRPr="0054777C">
              <w:t>(9.3%)</w:t>
            </w:r>
          </w:p>
          <w:p w14:paraId="3465D4E9" w14:textId="77777777" w:rsidR="00636D60" w:rsidRPr="0054777C" w:rsidRDefault="00636D60" w:rsidP="00636D60">
            <w:pPr>
              <w:jc w:val="center"/>
            </w:pPr>
            <w:r w:rsidRPr="0054777C">
              <w:t>p=0.00009</w:t>
            </w:r>
          </w:p>
        </w:tc>
      </w:tr>
      <w:tr w:rsidR="00636D60" w:rsidRPr="0054777C" w14:paraId="537D91D0" w14:textId="77777777" w:rsidTr="00636D60">
        <w:trPr>
          <w:trHeight w:val="864"/>
        </w:trPr>
        <w:tc>
          <w:tcPr>
            <w:tcW w:w="2309" w:type="dxa"/>
            <w:tcBorders>
              <w:right w:val="single" w:sz="12" w:space="0" w:color="auto"/>
            </w:tcBorders>
            <w:vAlign w:val="center"/>
          </w:tcPr>
          <w:p w14:paraId="0E3483CD" w14:textId="77777777" w:rsidR="00636D60" w:rsidRPr="0054777C" w:rsidRDefault="00636D60" w:rsidP="00636D60">
            <w:pPr>
              <w:jc w:val="center"/>
            </w:pPr>
            <w:r w:rsidRPr="0054777C">
              <w:t>Reader 2</w:t>
            </w:r>
          </w:p>
        </w:tc>
        <w:tc>
          <w:tcPr>
            <w:tcW w:w="1776" w:type="dxa"/>
            <w:tcBorders>
              <w:top w:val="nil"/>
              <w:left w:val="single" w:sz="12" w:space="0" w:color="auto"/>
              <w:bottom w:val="nil"/>
            </w:tcBorders>
            <w:vAlign w:val="center"/>
          </w:tcPr>
          <w:p w14:paraId="0FB1160F" w14:textId="77777777" w:rsidR="00636D60" w:rsidRPr="0054777C" w:rsidRDefault="00636D60" w:rsidP="00636D60">
            <w:pPr>
              <w:jc w:val="center"/>
            </w:pPr>
            <w:r w:rsidRPr="0054777C">
              <w:t>65.2%</w:t>
            </w:r>
          </w:p>
        </w:tc>
        <w:tc>
          <w:tcPr>
            <w:tcW w:w="1775" w:type="dxa"/>
            <w:tcBorders>
              <w:top w:val="nil"/>
              <w:bottom w:val="nil"/>
            </w:tcBorders>
            <w:vAlign w:val="center"/>
          </w:tcPr>
          <w:p w14:paraId="17A7F4F9" w14:textId="77777777" w:rsidR="00636D60" w:rsidRPr="0054777C" w:rsidRDefault="00636D60" w:rsidP="00636D60">
            <w:pPr>
              <w:jc w:val="center"/>
            </w:pPr>
            <w:r w:rsidRPr="0054777C">
              <w:t>36.2%</w:t>
            </w:r>
          </w:p>
        </w:tc>
        <w:tc>
          <w:tcPr>
            <w:tcW w:w="1775" w:type="dxa"/>
            <w:tcBorders>
              <w:top w:val="nil"/>
              <w:bottom w:val="nil"/>
              <w:right w:val="single" w:sz="12" w:space="0" w:color="auto"/>
            </w:tcBorders>
            <w:vAlign w:val="center"/>
          </w:tcPr>
          <w:p w14:paraId="216DBECA" w14:textId="77777777" w:rsidR="00636D60" w:rsidRPr="0054777C" w:rsidRDefault="00636D60" w:rsidP="00636D60">
            <w:pPr>
              <w:jc w:val="center"/>
            </w:pPr>
            <w:r w:rsidRPr="0054777C">
              <w:t>29.1%</w:t>
            </w:r>
          </w:p>
          <w:p w14:paraId="0A3D060E" w14:textId="77777777" w:rsidR="00636D60" w:rsidRPr="0054777C" w:rsidRDefault="00636D60" w:rsidP="00636D60">
            <w:pPr>
              <w:jc w:val="center"/>
            </w:pPr>
            <w:r w:rsidRPr="0054777C">
              <w:t>21.7%</w:t>
            </w:r>
          </w:p>
          <w:p w14:paraId="621E032D" w14:textId="77777777" w:rsidR="00636D60" w:rsidRPr="0054777C" w:rsidRDefault="00636D60" w:rsidP="00636D60">
            <w:pPr>
              <w:jc w:val="center"/>
            </w:pPr>
            <w:r w:rsidRPr="0054777C">
              <w:t>p&lt;0.0001</w:t>
            </w:r>
          </w:p>
        </w:tc>
        <w:tc>
          <w:tcPr>
            <w:tcW w:w="1775" w:type="dxa"/>
            <w:tcBorders>
              <w:left w:val="single" w:sz="12" w:space="0" w:color="auto"/>
            </w:tcBorders>
            <w:vAlign w:val="center"/>
          </w:tcPr>
          <w:p w14:paraId="346CC91D" w14:textId="77777777" w:rsidR="00636D60" w:rsidRPr="0054777C" w:rsidRDefault="00636D60" w:rsidP="00636D60">
            <w:pPr>
              <w:jc w:val="center"/>
            </w:pPr>
            <w:r w:rsidRPr="0054777C">
              <w:t>56.0%</w:t>
            </w:r>
          </w:p>
        </w:tc>
        <w:tc>
          <w:tcPr>
            <w:tcW w:w="1775" w:type="dxa"/>
            <w:vAlign w:val="center"/>
          </w:tcPr>
          <w:p w14:paraId="4C6C295D" w14:textId="77777777" w:rsidR="00636D60" w:rsidRPr="0054777C" w:rsidRDefault="00636D60" w:rsidP="00636D60">
            <w:pPr>
              <w:jc w:val="center"/>
            </w:pPr>
            <w:r w:rsidRPr="0054777C">
              <w:t>30.0%</w:t>
            </w:r>
          </w:p>
        </w:tc>
        <w:tc>
          <w:tcPr>
            <w:tcW w:w="1775" w:type="dxa"/>
            <w:vAlign w:val="center"/>
          </w:tcPr>
          <w:p w14:paraId="6C7BA7BA" w14:textId="77777777" w:rsidR="00636D60" w:rsidRPr="0054777C" w:rsidRDefault="00636D60" w:rsidP="00636D60">
            <w:pPr>
              <w:jc w:val="center"/>
            </w:pPr>
            <w:r w:rsidRPr="0054777C">
              <w:t>26.0%</w:t>
            </w:r>
          </w:p>
          <w:p w14:paraId="5EDE8DB1" w14:textId="77777777" w:rsidR="00636D60" w:rsidRPr="0054777C" w:rsidRDefault="00636D60" w:rsidP="00636D60">
            <w:pPr>
              <w:jc w:val="center"/>
            </w:pPr>
            <w:r w:rsidRPr="0054777C">
              <w:t>(18.2%)</w:t>
            </w:r>
          </w:p>
          <w:p w14:paraId="1AEEBAB6" w14:textId="77777777" w:rsidR="00636D60" w:rsidRPr="0054777C" w:rsidRDefault="00636D60" w:rsidP="00636D60">
            <w:pPr>
              <w:jc w:val="center"/>
            </w:pPr>
            <w:r w:rsidRPr="0054777C">
              <w:t>p&lt;0.0001</w:t>
            </w:r>
          </w:p>
        </w:tc>
      </w:tr>
      <w:tr w:rsidR="00636D60" w:rsidRPr="0054777C" w14:paraId="7BF1CB56" w14:textId="77777777" w:rsidTr="00636D60">
        <w:trPr>
          <w:trHeight w:val="864"/>
        </w:trPr>
        <w:tc>
          <w:tcPr>
            <w:tcW w:w="2309" w:type="dxa"/>
            <w:tcBorders>
              <w:right w:val="single" w:sz="12" w:space="0" w:color="auto"/>
            </w:tcBorders>
            <w:vAlign w:val="center"/>
          </w:tcPr>
          <w:p w14:paraId="134FAD29" w14:textId="77777777" w:rsidR="00636D60" w:rsidRPr="0054777C" w:rsidRDefault="00636D60" w:rsidP="00636D60">
            <w:pPr>
              <w:jc w:val="center"/>
            </w:pPr>
            <w:r w:rsidRPr="0054777C">
              <w:t>Reader 3</w:t>
            </w:r>
          </w:p>
        </w:tc>
        <w:tc>
          <w:tcPr>
            <w:tcW w:w="1776" w:type="dxa"/>
            <w:tcBorders>
              <w:top w:val="nil"/>
              <w:left w:val="single" w:sz="12" w:space="0" w:color="auto"/>
              <w:bottom w:val="single" w:sz="12" w:space="0" w:color="auto"/>
            </w:tcBorders>
            <w:vAlign w:val="center"/>
          </w:tcPr>
          <w:p w14:paraId="72B2B424" w14:textId="77777777" w:rsidR="00636D60" w:rsidRPr="0054777C" w:rsidRDefault="00636D60" w:rsidP="00636D60">
            <w:pPr>
              <w:jc w:val="center"/>
            </w:pPr>
            <w:r w:rsidRPr="0054777C">
              <w:t>64.5%</w:t>
            </w:r>
          </w:p>
        </w:tc>
        <w:tc>
          <w:tcPr>
            <w:tcW w:w="1775" w:type="dxa"/>
            <w:tcBorders>
              <w:top w:val="nil"/>
              <w:bottom w:val="single" w:sz="12" w:space="0" w:color="auto"/>
            </w:tcBorders>
            <w:vAlign w:val="center"/>
          </w:tcPr>
          <w:p w14:paraId="4CB5B666" w14:textId="77777777" w:rsidR="00636D60" w:rsidRPr="0054777C" w:rsidRDefault="00636D60" w:rsidP="00636D60">
            <w:pPr>
              <w:jc w:val="center"/>
            </w:pPr>
            <w:r w:rsidRPr="0054777C">
              <w:t>40.4%</w:t>
            </w:r>
          </w:p>
        </w:tc>
        <w:tc>
          <w:tcPr>
            <w:tcW w:w="1775" w:type="dxa"/>
            <w:tcBorders>
              <w:top w:val="nil"/>
              <w:bottom w:val="single" w:sz="12" w:space="0" w:color="auto"/>
              <w:right w:val="single" w:sz="12" w:space="0" w:color="auto"/>
            </w:tcBorders>
            <w:vAlign w:val="center"/>
          </w:tcPr>
          <w:p w14:paraId="7223417E" w14:textId="77777777" w:rsidR="00636D60" w:rsidRPr="0054777C" w:rsidRDefault="00636D60" w:rsidP="00636D60">
            <w:pPr>
              <w:jc w:val="center"/>
            </w:pPr>
            <w:r w:rsidRPr="0054777C">
              <w:t>24.1%</w:t>
            </w:r>
          </w:p>
          <w:p w14:paraId="4D9461D4" w14:textId="77777777" w:rsidR="00636D60" w:rsidRPr="0054777C" w:rsidRDefault="00636D60" w:rsidP="00636D60">
            <w:pPr>
              <w:jc w:val="center"/>
            </w:pPr>
            <w:r w:rsidRPr="0054777C">
              <w:t>(16.6%)</w:t>
            </w:r>
          </w:p>
          <w:p w14:paraId="5079E0F3" w14:textId="77777777" w:rsidR="00636D60" w:rsidRPr="0054777C" w:rsidRDefault="00636D60" w:rsidP="00636D60">
            <w:pPr>
              <w:jc w:val="center"/>
            </w:pPr>
            <w:r w:rsidRPr="0054777C">
              <w:t>p&lt;0.0001</w:t>
            </w:r>
          </w:p>
        </w:tc>
        <w:tc>
          <w:tcPr>
            <w:tcW w:w="1775" w:type="dxa"/>
            <w:tcBorders>
              <w:left w:val="single" w:sz="12" w:space="0" w:color="auto"/>
            </w:tcBorders>
            <w:vAlign w:val="center"/>
          </w:tcPr>
          <w:p w14:paraId="6EB7A96F" w14:textId="77777777" w:rsidR="00636D60" w:rsidRPr="0054777C" w:rsidRDefault="00636D60" w:rsidP="00636D60">
            <w:pPr>
              <w:jc w:val="center"/>
            </w:pPr>
            <w:r w:rsidRPr="0054777C">
              <w:t>61.3%</w:t>
            </w:r>
          </w:p>
        </w:tc>
        <w:tc>
          <w:tcPr>
            <w:tcW w:w="1775" w:type="dxa"/>
            <w:vAlign w:val="center"/>
          </w:tcPr>
          <w:p w14:paraId="16EBFB64" w14:textId="77777777" w:rsidR="00636D60" w:rsidRPr="0054777C" w:rsidRDefault="00636D60" w:rsidP="00636D60">
            <w:pPr>
              <w:jc w:val="center"/>
            </w:pPr>
            <w:r w:rsidRPr="0054777C">
              <w:t>29.3%</w:t>
            </w:r>
          </w:p>
        </w:tc>
        <w:tc>
          <w:tcPr>
            <w:tcW w:w="1775" w:type="dxa"/>
            <w:vAlign w:val="center"/>
          </w:tcPr>
          <w:p w14:paraId="7617ECBD" w14:textId="77777777" w:rsidR="00636D60" w:rsidRPr="0054777C" w:rsidRDefault="00636D60" w:rsidP="00636D60">
            <w:pPr>
              <w:jc w:val="center"/>
            </w:pPr>
            <w:r w:rsidRPr="0054777C">
              <w:t>32.0%</w:t>
            </w:r>
          </w:p>
          <w:p w14:paraId="0EE1FE75" w14:textId="77777777" w:rsidR="00636D60" w:rsidRPr="0054777C" w:rsidRDefault="00636D60" w:rsidP="00636D60">
            <w:pPr>
              <w:jc w:val="center"/>
            </w:pPr>
            <w:r w:rsidRPr="0054777C">
              <w:t>(24.5%)</w:t>
            </w:r>
          </w:p>
          <w:p w14:paraId="0EEB8248" w14:textId="77777777" w:rsidR="00636D60" w:rsidRPr="0054777C" w:rsidRDefault="00636D60" w:rsidP="00636D60">
            <w:pPr>
              <w:jc w:val="center"/>
            </w:pPr>
            <w:r w:rsidRPr="0054777C">
              <w:t>P&lt;0.0001</w:t>
            </w:r>
          </w:p>
        </w:tc>
      </w:tr>
    </w:tbl>
    <w:p w14:paraId="06129184" w14:textId="77777777" w:rsidR="00544A9E" w:rsidRPr="0054777C" w:rsidRDefault="00544A9E" w:rsidP="00544A9E">
      <w:pPr>
        <w:spacing w:after="0" w:line="240" w:lineRule="auto"/>
      </w:pPr>
    </w:p>
    <w:p w14:paraId="11651E64" w14:textId="77777777" w:rsidR="00D859EF" w:rsidRPr="0054777C" w:rsidRDefault="00636D60" w:rsidP="00544A9E">
      <w:pPr>
        <w:spacing w:after="0" w:line="240" w:lineRule="auto"/>
      </w:pPr>
      <w:bookmarkStart w:id="3" w:name="_Hlk40704545"/>
      <w:r w:rsidRPr="0054777C">
        <w:rPr>
          <w:b/>
          <w:bCs/>
        </w:rPr>
        <w:t xml:space="preserve">Supplementary Table </w:t>
      </w:r>
      <w:r w:rsidR="002B0F60" w:rsidRPr="0054777C">
        <w:rPr>
          <w:b/>
          <w:bCs/>
        </w:rPr>
        <w:t>4</w:t>
      </w:r>
      <w:r w:rsidRPr="0054777C">
        <w:rPr>
          <w:b/>
          <w:bCs/>
        </w:rPr>
        <w:t>.</w:t>
      </w:r>
      <w:r w:rsidRPr="0054777C">
        <w:t xml:space="preserve"> Comparison </w:t>
      </w:r>
      <w:bookmarkEnd w:id="3"/>
      <w:r w:rsidRPr="0054777C">
        <w:t>of sensitivity of gadobutrol-enhanced first-pass perfusion/LGE CMR versus unenhanced wall motion CMR versus a standard of reference of a stenosis ≥70% and ≥50% by QCA using a per subject analysis.</w:t>
      </w:r>
    </w:p>
    <w:p w14:paraId="6F4BA6F6" w14:textId="77777777" w:rsidR="00636D60" w:rsidRPr="0054777C" w:rsidRDefault="00636D60" w:rsidP="00636D60">
      <w:pPr>
        <w:spacing w:after="0" w:line="240" w:lineRule="auto"/>
      </w:pPr>
    </w:p>
    <w:p w14:paraId="445113E4" w14:textId="77777777" w:rsidR="00636D60" w:rsidRPr="0054777C" w:rsidRDefault="00636D60" w:rsidP="00636D60">
      <w:pPr>
        <w:spacing w:after="0" w:line="240" w:lineRule="auto"/>
      </w:pPr>
      <w:r w:rsidRPr="0054777C">
        <w:t xml:space="preserve">P-value based on McNemar test at 1-sided alpha-level of 2.5% for blinded readers 1, 2, and 3. </w:t>
      </w:r>
      <w:r w:rsidRPr="0054777C">
        <w:rPr>
          <w:vertAlign w:val="superscript"/>
        </w:rPr>
        <w:t xml:space="preserve">a </w:t>
      </w:r>
      <w:r w:rsidRPr="0054777C">
        <w:t>One-sided 95% CI for blinded readers 1, 2, and 3.</w:t>
      </w:r>
    </w:p>
    <w:p w14:paraId="7574FAA6" w14:textId="77777777" w:rsidR="000B24AD" w:rsidRPr="0054777C" w:rsidRDefault="003F77FD" w:rsidP="00544A9E">
      <w:pPr>
        <w:spacing w:after="0" w:line="240" w:lineRule="auto"/>
        <w:rPr>
          <w:b/>
          <w:bCs/>
        </w:rPr>
      </w:pPr>
      <w:r w:rsidRPr="0054777C">
        <w:rPr>
          <w:b/>
          <w:bCs/>
        </w:rPr>
        <w:lastRenderedPageBreak/>
        <w:t>Supplementary Table 4. Adverse Events Reported in GadaCAD1 and GadaCAD2</w:t>
      </w:r>
    </w:p>
    <w:sectPr w:rsidR="000B24AD" w:rsidRPr="0054777C" w:rsidSect="00CC2108">
      <w:pgSz w:w="15840" w:h="12240" w:orient="landscape"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E0020" w14:textId="77777777" w:rsidR="00212F71" w:rsidRDefault="00212F71" w:rsidP="00D34C9F">
      <w:pPr>
        <w:spacing w:after="0" w:line="240" w:lineRule="auto"/>
      </w:pPr>
      <w:r>
        <w:separator/>
      </w:r>
    </w:p>
  </w:endnote>
  <w:endnote w:type="continuationSeparator" w:id="0">
    <w:p w14:paraId="322906C7" w14:textId="77777777" w:rsidR="00212F71" w:rsidRDefault="00212F71" w:rsidP="00D3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A345" w14:textId="77777777" w:rsidR="00A452ED" w:rsidRDefault="00A45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BEAF" w14:textId="77777777" w:rsidR="00A452ED" w:rsidRDefault="00A45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C8FF" w14:textId="77777777" w:rsidR="00A452ED" w:rsidRDefault="00A4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E6F6" w14:textId="77777777" w:rsidR="00212F71" w:rsidRDefault="00212F71" w:rsidP="00D34C9F">
      <w:pPr>
        <w:spacing w:after="0" w:line="240" w:lineRule="auto"/>
      </w:pPr>
      <w:r>
        <w:separator/>
      </w:r>
    </w:p>
  </w:footnote>
  <w:footnote w:type="continuationSeparator" w:id="0">
    <w:p w14:paraId="07E493BA" w14:textId="77777777" w:rsidR="00212F71" w:rsidRDefault="00212F71" w:rsidP="00D3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C7B9" w14:textId="77777777" w:rsidR="00A452ED" w:rsidRDefault="00A45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082E" w14:textId="77777777" w:rsidR="00D34C9F" w:rsidRPr="004C584B" w:rsidRDefault="00D34C9F" w:rsidP="00D37127">
    <w:pPr>
      <w:pStyle w:val="Header"/>
      <w:spacing w:after="120"/>
      <w:rPr>
        <w:b/>
        <w:bCs/>
      </w:rPr>
    </w:pPr>
    <w:r w:rsidRPr="004C584B">
      <w:rPr>
        <w:b/>
        <w:bCs/>
      </w:rPr>
      <w:t>Supplementary Materials Regarding GadaCAD1 and GadaCAD2</w:t>
    </w:r>
    <w:r w:rsidR="00D37127">
      <w:rPr>
        <w:b/>
        <w:bCs/>
      </w:rPr>
      <w:tab/>
    </w:r>
    <w:r w:rsidR="00D37127" w:rsidRPr="00D37127">
      <w:rPr>
        <w:b/>
        <w:bCs/>
      </w:rPr>
      <w:t xml:space="preserve">Page </w:t>
    </w:r>
    <w:r w:rsidR="00D37127" w:rsidRPr="00D37127">
      <w:rPr>
        <w:b/>
        <w:bCs/>
      </w:rPr>
      <w:fldChar w:fldCharType="begin"/>
    </w:r>
    <w:r w:rsidR="00D37127" w:rsidRPr="00D37127">
      <w:rPr>
        <w:b/>
        <w:bCs/>
      </w:rPr>
      <w:instrText xml:space="preserve"> PAGE  \* Arabic  \* MERGEFORMAT </w:instrText>
    </w:r>
    <w:r w:rsidR="00D37127" w:rsidRPr="00D37127">
      <w:rPr>
        <w:b/>
        <w:bCs/>
      </w:rPr>
      <w:fldChar w:fldCharType="separate"/>
    </w:r>
    <w:r w:rsidR="00D37127" w:rsidRPr="00D37127">
      <w:rPr>
        <w:b/>
        <w:bCs/>
        <w:noProof/>
      </w:rPr>
      <w:t>1</w:t>
    </w:r>
    <w:r w:rsidR="00D37127" w:rsidRPr="00D37127">
      <w:rPr>
        <w:b/>
        <w:bCs/>
      </w:rPr>
      <w:fldChar w:fldCharType="end"/>
    </w:r>
    <w:r w:rsidR="00D37127" w:rsidRPr="00D37127">
      <w:rPr>
        <w:b/>
        <w:bCs/>
      </w:rPr>
      <w:t xml:space="preserve"> of </w:t>
    </w:r>
    <w:r w:rsidR="00D37127" w:rsidRPr="00D37127">
      <w:rPr>
        <w:b/>
        <w:bCs/>
      </w:rPr>
      <w:fldChar w:fldCharType="begin"/>
    </w:r>
    <w:r w:rsidR="00D37127" w:rsidRPr="00D37127">
      <w:rPr>
        <w:b/>
        <w:bCs/>
      </w:rPr>
      <w:instrText xml:space="preserve"> NUMPAGES  \* Arabic  \* MERGEFORMAT </w:instrText>
    </w:r>
    <w:r w:rsidR="00D37127" w:rsidRPr="00D37127">
      <w:rPr>
        <w:b/>
        <w:bCs/>
      </w:rPr>
      <w:fldChar w:fldCharType="separate"/>
    </w:r>
    <w:r w:rsidR="00D37127" w:rsidRPr="00D37127">
      <w:rPr>
        <w:b/>
        <w:bCs/>
        <w:noProof/>
      </w:rPr>
      <w:t>2</w:t>
    </w:r>
    <w:r w:rsidR="00D37127" w:rsidRPr="00D37127">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88DE" w14:textId="77777777" w:rsidR="00A452ED" w:rsidRDefault="00A45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F2C86"/>
    <w:multiLevelType w:val="hybridMultilevel"/>
    <w:tmpl w:val="E27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9F"/>
    <w:rsid w:val="00017755"/>
    <w:rsid w:val="000B24AD"/>
    <w:rsid w:val="000D28A8"/>
    <w:rsid w:val="00120253"/>
    <w:rsid w:val="00194F2C"/>
    <w:rsid w:val="001C6641"/>
    <w:rsid w:val="002044EB"/>
    <w:rsid w:val="00212F71"/>
    <w:rsid w:val="0029448F"/>
    <w:rsid w:val="00295321"/>
    <w:rsid w:val="002B0F60"/>
    <w:rsid w:val="002E23B6"/>
    <w:rsid w:val="0037541D"/>
    <w:rsid w:val="003F77FD"/>
    <w:rsid w:val="004B2E03"/>
    <w:rsid w:val="004C584B"/>
    <w:rsid w:val="00533EAA"/>
    <w:rsid w:val="00544A9E"/>
    <w:rsid w:val="0054777C"/>
    <w:rsid w:val="005A6BC1"/>
    <w:rsid w:val="005C127A"/>
    <w:rsid w:val="006143B3"/>
    <w:rsid w:val="00617596"/>
    <w:rsid w:val="00636D60"/>
    <w:rsid w:val="006B4C60"/>
    <w:rsid w:val="00776C92"/>
    <w:rsid w:val="00807266"/>
    <w:rsid w:val="008A3D95"/>
    <w:rsid w:val="008A4E25"/>
    <w:rsid w:val="009201F7"/>
    <w:rsid w:val="009371EB"/>
    <w:rsid w:val="009416E0"/>
    <w:rsid w:val="00945712"/>
    <w:rsid w:val="009461C0"/>
    <w:rsid w:val="009B0626"/>
    <w:rsid w:val="00A452ED"/>
    <w:rsid w:val="00A87D97"/>
    <w:rsid w:val="00AD3676"/>
    <w:rsid w:val="00BA7773"/>
    <w:rsid w:val="00C024B9"/>
    <w:rsid w:val="00C22D16"/>
    <w:rsid w:val="00CA6897"/>
    <w:rsid w:val="00CC2108"/>
    <w:rsid w:val="00D003F6"/>
    <w:rsid w:val="00D34C9F"/>
    <w:rsid w:val="00D37127"/>
    <w:rsid w:val="00D859EF"/>
    <w:rsid w:val="00E9679B"/>
    <w:rsid w:val="00EE716A"/>
    <w:rsid w:val="00F17F9D"/>
    <w:rsid w:val="00F2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200B"/>
  <w15:chartTrackingRefBased/>
  <w15:docId w15:val="{A6DBC36E-E01B-4957-9D12-C49901C4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9F"/>
    <w:rPr>
      <w:rFonts w:ascii="Segoe UI" w:hAnsi="Segoe UI" w:cs="Segoe UI"/>
      <w:sz w:val="18"/>
      <w:szCs w:val="18"/>
    </w:rPr>
  </w:style>
  <w:style w:type="paragraph" w:styleId="Header">
    <w:name w:val="header"/>
    <w:basedOn w:val="Normal"/>
    <w:link w:val="HeaderChar"/>
    <w:uiPriority w:val="99"/>
    <w:unhideWhenUsed/>
    <w:rsid w:val="00D3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9F"/>
  </w:style>
  <w:style w:type="paragraph" w:styleId="Footer">
    <w:name w:val="footer"/>
    <w:basedOn w:val="Normal"/>
    <w:link w:val="FooterChar"/>
    <w:uiPriority w:val="99"/>
    <w:unhideWhenUsed/>
    <w:rsid w:val="00D3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9F"/>
  </w:style>
  <w:style w:type="table" w:styleId="TableGrid">
    <w:name w:val="Table Grid"/>
    <w:basedOn w:val="TableNormal"/>
    <w:uiPriority w:val="39"/>
    <w:rsid w:val="0012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 Andrew E. (NIH/NHLBI) [E]</dc:creator>
  <cp:keywords/>
  <dc:description/>
  <cp:lastModifiedBy>Hastings, Ryan J. (ELS-HBE)</cp:lastModifiedBy>
  <cp:revision>3</cp:revision>
  <dcterms:created xsi:type="dcterms:W3CDTF">2020-08-07T19:53:00Z</dcterms:created>
  <dcterms:modified xsi:type="dcterms:W3CDTF">2020-08-12T20:42:00Z</dcterms:modified>
</cp:coreProperties>
</file>