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Legends for all supplementary tables: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</w:t>
      </w:r>
      <w:r w:rsidDel="00000000" w:rsidR="00000000" w:rsidRPr="00000000">
        <w:rPr>
          <w:rtl w:val="0"/>
        </w:rPr>
        <w:t xml:space="preserve">: Table with all available donor covariates metadata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</w:t>
      </w:r>
      <w:r w:rsidDel="00000000" w:rsidR="00000000" w:rsidRPr="00000000">
        <w:rPr>
          <w:rtl w:val="0"/>
        </w:rPr>
        <w:t xml:space="preserve">: Distribution of the eleven major cardiac cell types across the six sampled regions of the heart. n=14 biologically independent donors, 6 cardiac regions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</w:t>
      </w:r>
      <w:r w:rsidDel="00000000" w:rsidR="00000000" w:rsidRPr="00000000">
        <w:rPr>
          <w:rtl w:val="0"/>
        </w:rPr>
        <w:t xml:space="preserve">: Table of correlation in proportions between cell types. </w:t>
      </w:r>
      <w:r w:rsidDel="00000000" w:rsidR="00000000" w:rsidRPr="00000000">
        <w:rPr>
          <w:color w:val="201f1e"/>
          <w:rtl w:val="0"/>
        </w:rPr>
        <w:t xml:space="preserve">Linear regression models (correlations) are obtained using the R linear model function (lm), which estimates statistical likelihood (p-value) of a linear relationship. Bonferroni correction is applied for multiple testing. </w:t>
      </w:r>
      <w:r w:rsidDel="00000000" w:rsidR="00000000" w:rsidRPr="00000000">
        <w:rPr>
          <w:rtl w:val="0"/>
        </w:rPr>
        <w:t xml:space="preserve">n=14 biologically independent donors, 6 cardiac regions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4</w:t>
      </w:r>
      <w:r w:rsidDel="00000000" w:rsidR="00000000" w:rsidRPr="00000000">
        <w:rPr>
          <w:rtl w:val="0"/>
        </w:rPr>
        <w:t xml:space="preserve">: Average gene expression across cardiomyocyte subtypes and region</w:t>
      </w:r>
    </w:p>
    <w:p w:rsidR="00000000" w:rsidDel="00000000" w:rsidP="00000000" w:rsidRDefault="00000000" w:rsidRPr="00000000" w14:paraId="0000000A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5</w:t>
      </w:r>
      <w:r w:rsidDel="00000000" w:rsidR="00000000" w:rsidRPr="00000000">
        <w:rPr>
          <w:rtl w:val="0"/>
        </w:rPr>
        <w:t xml:space="preserve">: Cardiomyocyte population distribution by region. n=14 biologically independent donors. 6 cardiac regions. </w:t>
      </w:r>
      <w:r w:rsidDel="00000000" w:rsidR="00000000" w:rsidRPr="00000000">
        <w:rPr>
          <w:color w:val="201f1e"/>
          <w:rtl w:val="0"/>
        </w:rPr>
        <w:t xml:space="preserve">Student t-tests (t-tests) are used to compare cell type distributions at each 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6</w:t>
      </w:r>
      <w:r w:rsidDel="00000000" w:rsidR="00000000" w:rsidRPr="00000000">
        <w:rPr>
          <w:rtl w:val="0"/>
        </w:rPr>
        <w:t xml:space="preserve">: Differentially expressed genes per cardiomyocyte population calculated using a Wilcoxon Rank Sum Test with Benjamini-Hochberg correction</w:t>
      </w:r>
    </w:p>
    <w:p w:rsidR="00000000" w:rsidDel="00000000" w:rsidP="00000000" w:rsidRDefault="00000000" w:rsidRPr="00000000" w14:paraId="0000000E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7</w:t>
      </w:r>
      <w:r w:rsidDel="00000000" w:rsidR="00000000" w:rsidRPr="00000000">
        <w:rPr>
          <w:rtl w:val="0"/>
        </w:rPr>
        <w:t xml:space="preserve">: Differential expression of cardiomyocyte genes per region calculated using a Wilcoxon Rank Sum Test with Benjamini-Hochberg correction</w:t>
      </w:r>
    </w:p>
    <w:p w:rsidR="00000000" w:rsidDel="00000000" w:rsidP="00000000" w:rsidRDefault="00000000" w:rsidRPr="00000000" w14:paraId="00000010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8</w:t>
      </w:r>
      <w:r w:rsidDel="00000000" w:rsidR="00000000" w:rsidRPr="00000000">
        <w:rPr>
          <w:rtl w:val="0"/>
        </w:rPr>
        <w:t xml:space="preserve">: Differentially expressed genes for vascular cell states calculated using a Wilcoxon Rank Sum Test with Benjamini-Hochberg correction</w:t>
      </w:r>
    </w:p>
    <w:p w:rsidR="00000000" w:rsidDel="00000000" w:rsidP="00000000" w:rsidRDefault="00000000" w:rsidRPr="00000000" w14:paraId="00000012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9</w:t>
      </w:r>
      <w:r w:rsidDel="00000000" w:rsidR="00000000" w:rsidRPr="00000000">
        <w:rPr>
          <w:rtl w:val="0"/>
        </w:rPr>
        <w:t xml:space="preserve">: Distribution of vascular cell states per region and per source</w:t>
      </w:r>
    </w:p>
    <w:p w:rsidR="00000000" w:rsidDel="00000000" w:rsidP="00000000" w:rsidRDefault="00000000" w:rsidRPr="00000000" w14:paraId="00000014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10</w:t>
      </w:r>
      <w:r w:rsidDel="00000000" w:rsidR="00000000" w:rsidRPr="00000000">
        <w:rPr>
          <w:rtl w:val="0"/>
        </w:rPr>
        <w:t xml:space="preserve">: Cell-cell interactions between vascular cells in the heart using CellPhoneDB statistical inference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11</w:t>
      </w:r>
      <w:r w:rsidDel="00000000" w:rsidR="00000000" w:rsidRPr="00000000">
        <w:rPr>
          <w:rtl w:val="0"/>
        </w:rPr>
        <w:t xml:space="preserve">: Differentially expressed genes for fibroblasts calculated using a Wilcoxon Rank Sum Test with Benjamini-Hochberg correction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12</w:t>
      </w:r>
      <w:r w:rsidDel="00000000" w:rsidR="00000000" w:rsidRPr="00000000">
        <w:rPr>
          <w:rtl w:val="0"/>
        </w:rPr>
        <w:t xml:space="preserve">: Genes associated to the Oncostatin M pathway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13</w:t>
      </w:r>
      <w:r w:rsidDel="00000000" w:rsidR="00000000" w:rsidRPr="00000000">
        <w:rPr>
          <w:rtl w:val="0"/>
        </w:rPr>
        <w:t xml:space="preserve">: Differentially expressed genes for atrial  and ventricular fibroblasts calculated using a Wilcoxon Rank Sum Test with Benjamini-Hochberg correction</w:t>
      </w:r>
    </w:p>
    <w:p w:rsidR="00000000" w:rsidDel="00000000" w:rsidP="00000000" w:rsidRDefault="00000000" w:rsidRPr="00000000" w14:paraId="0000001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14</w:t>
      </w:r>
      <w:r w:rsidDel="00000000" w:rsidR="00000000" w:rsidRPr="00000000">
        <w:rPr>
          <w:rtl w:val="0"/>
        </w:rPr>
        <w:t xml:space="preserve">: Distribution of immune cells across different data sources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15</w:t>
      </w:r>
      <w:r w:rsidDel="00000000" w:rsidR="00000000" w:rsidRPr="00000000">
        <w:rPr>
          <w:rtl w:val="0"/>
        </w:rPr>
        <w:t xml:space="preserve">: Differentially expressed genes for cardiac immune populations calculated using a Wilcoxon Rank Sum Test with Benjamini-Hochberg correction</w:t>
      </w:r>
    </w:p>
    <w:p w:rsidR="00000000" w:rsidDel="00000000" w:rsidP="00000000" w:rsidRDefault="00000000" w:rsidRPr="00000000" w14:paraId="00000020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16</w:t>
      </w:r>
      <w:r w:rsidDel="00000000" w:rsidR="00000000" w:rsidRPr="00000000">
        <w:rPr>
          <w:rtl w:val="0"/>
        </w:rPr>
        <w:t xml:space="preserve">: Number of predicted cardiac cells in skeletal muscle and kidney using logistic regression</w:t>
      </w:r>
    </w:p>
    <w:p w:rsidR="00000000" w:rsidDel="00000000" w:rsidP="00000000" w:rsidRDefault="00000000" w:rsidRPr="00000000" w14:paraId="00000022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17</w:t>
      </w:r>
      <w:r w:rsidDel="00000000" w:rsidR="00000000" w:rsidRPr="00000000">
        <w:rPr>
          <w:rtl w:val="0"/>
        </w:rPr>
        <w:t xml:space="preserve">: Cell-cell interactions between human cardiac immune cells, cardiomyocytes and fibroblasts using CellPhoneDB statistical inference on 69 295 cardiomyocytes, fibroblasts and myeloid cells from 14 donors (n = 14)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18</w:t>
      </w:r>
      <w:r w:rsidDel="00000000" w:rsidR="00000000" w:rsidRPr="00000000">
        <w:rPr>
          <w:rtl w:val="0"/>
        </w:rPr>
        <w:t xml:space="preserve">: Cell-cell interactions between human skeletal muscle immune cells, myocytes and fibroblasts using CellPhoneDB statistical inference</w:t>
      </w:r>
    </w:p>
    <w:p w:rsidR="00000000" w:rsidDel="00000000" w:rsidP="00000000" w:rsidRDefault="00000000" w:rsidRPr="00000000" w14:paraId="00000026">
      <w:pPr>
        <w:jc w:val="both"/>
        <w:rPr>
          <w:b w:val="1"/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19</w:t>
      </w:r>
      <w:r w:rsidDel="00000000" w:rsidR="00000000" w:rsidRPr="00000000">
        <w:rPr>
          <w:rtl w:val="0"/>
        </w:rPr>
        <w:t xml:space="preserve">: Transcriptional signatures from external studies for immune tissue residency and yolk sac derived macrophages</w:t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20</w:t>
      </w:r>
      <w:r w:rsidDel="00000000" w:rsidR="00000000" w:rsidRPr="00000000">
        <w:rPr>
          <w:rtl w:val="0"/>
        </w:rPr>
        <w:t xml:space="preserve">: Differentially expressed genes in cardiac neuronal cells calculated using a WIlcoxon Rank Sum Test with Benjamini-Hochberg correction</w:t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21</w:t>
      </w:r>
      <w:r w:rsidDel="00000000" w:rsidR="00000000" w:rsidRPr="00000000">
        <w:rPr>
          <w:rtl w:val="0"/>
        </w:rPr>
        <w:t xml:space="preserve">: Differentially expressed genes for cardiac adipocytes calculated using a Wilcoxon Rank Sum Test with Benjamini-Hochberg correction</w:t>
      </w:r>
    </w:p>
    <w:p w:rsidR="00000000" w:rsidDel="00000000" w:rsidP="00000000" w:rsidRDefault="00000000" w:rsidRPr="00000000" w14:paraId="0000002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22</w:t>
      </w:r>
      <w:r w:rsidDel="00000000" w:rsidR="00000000" w:rsidRPr="00000000">
        <w:rPr>
          <w:rtl w:val="0"/>
        </w:rPr>
        <w:t xml:space="preserve">: Table with all available donor metadata, including age, gender, data source and sample id</w:t>
      </w:r>
    </w:p>
    <w:p w:rsidR="00000000" w:rsidDel="00000000" w:rsidP="00000000" w:rsidRDefault="00000000" w:rsidRPr="00000000" w14:paraId="0000002E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23</w:t>
      </w:r>
      <w:r w:rsidDel="00000000" w:rsidR="00000000" w:rsidRPr="00000000">
        <w:rPr>
          <w:rtl w:val="0"/>
        </w:rPr>
        <w:t xml:space="preserve">: List of probes used in smFISH experiments</w:t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24</w:t>
      </w:r>
      <w:r w:rsidDel="00000000" w:rsidR="00000000" w:rsidRPr="00000000">
        <w:rPr>
          <w:rtl w:val="0"/>
        </w:rPr>
        <w:t xml:space="preserve">: List of reagents used in this study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25</w:t>
      </w:r>
      <w:r w:rsidDel="00000000" w:rsidR="00000000" w:rsidRPr="00000000">
        <w:rPr>
          <w:rtl w:val="0"/>
        </w:rPr>
        <w:t xml:space="preserve">: Source data for the GO term analysis of the vascular cells. Differential expressed genes for each cell type was used as input for gene set enrichment analysis using a hypergeometric distribution as implemented in ToppFun</w:t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26</w:t>
      </w:r>
      <w:r w:rsidDel="00000000" w:rsidR="00000000" w:rsidRPr="00000000">
        <w:rPr>
          <w:rtl w:val="0"/>
        </w:rPr>
        <w:t xml:space="preserve">: Source data for the GO term analysis of the adipocytes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Differential expressed genes for each cell type was used as input for gene set enrichment analysis using a hypergeometric distribution as implemented in ToppFun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27</w:t>
      </w:r>
      <w:r w:rsidDel="00000000" w:rsidR="00000000" w:rsidRPr="00000000">
        <w:rPr>
          <w:rtl w:val="0"/>
        </w:rPr>
        <w:t xml:space="preserve">: GWAS studies used for MAGMA analysis</w:t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28</w:t>
      </w:r>
      <w:r w:rsidDel="00000000" w:rsidR="00000000" w:rsidRPr="00000000">
        <w:rPr>
          <w:rtl w:val="0"/>
        </w:rPr>
        <w:t xml:space="preserve">: Source data from the MAGMA output </w:t>
      </w:r>
      <w:r w:rsidDel="00000000" w:rsidR="00000000" w:rsidRPr="00000000">
        <w:rPr>
          <w:rtl w:val="0"/>
        </w:rPr>
        <w:t xml:space="preserve">for the visualisation of GWAS hits in the cardiac cell types</w:t>
      </w:r>
    </w:p>
    <w:p w:rsidR="00000000" w:rsidDel="00000000" w:rsidP="00000000" w:rsidRDefault="00000000" w:rsidRPr="00000000" w14:paraId="0000003A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29</w:t>
      </w:r>
      <w:r w:rsidDel="00000000" w:rsidR="00000000" w:rsidRPr="00000000">
        <w:rPr>
          <w:rtl w:val="0"/>
        </w:rPr>
        <w:t xml:space="preserve">: Distribution of cell types per data source after subclustering analyses with </w:t>
      </w:r>
      <w:r w:rsidDel="00000000" w:rsidR="00000000" w:rsidRPr="00000000">
        <w:rPr>
          <w:rtl w:val="0"/>
        </w:rPr>
        <w:t xml:space="preserve">cell type-specific cutoffs</w:t>
      </w:r>
      <w:r w:rsidDel="00000000" w:rsidR="00000000" w:rsidRPr="00000000">
        <w:rPr>
          <w:rtl w:val="0"/>
        </w:rPr>
        <w:t xml:space="preserve">. n=14 biologically independent donors. 6 cardiac regions</w:t>
      </w:r>
    </w:p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30</w:t>
      </w:r>
      <w:r w:rsidDel="00000000" w:rsidR="00000000" w:rsidRPr="00000000">
        <w:rPr>
          <w:rtl w:val="0"/>
        </w:rPr>
        <w:t xml:space="preserve">: Table of cell and nuclei dispersion per isolation method, excluding cardiomyocytes. n=14 biologically independent donors. 6 cardiac regions</w:t>
      </w:r>
    </w:p>
    <w:p w:rsidR="00000000" w:rsidDel="00000000" w:rsidP="00000000" w:rsidRDefault="00000000" w:rsidRPr="00000000" w14:paraId="0000003E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31</w:t>
      </w:r>
      <w:r w:rsidDel="00000000" w:rsidR="00000000" w:rsidRPr="00000000">
        <w:rPr>
          <w:rtl w:val="0"/>
        </w:rPr>
        <w:t xml:space="preserve">: Differentially expressed genes for human skeletal muscle cell populations calculated using a Wilcoxon Rank Sum Test with Benjamini-Hochberg correction</w:t>
      </w:r>
    </w:p>
    <w:p w:rsidR="00000000" w:rsidDel="00000000" w:rsidP="00000000" w:rsidRDefault="00000000" w:rsidRPr="00000000" w14:paraId="00000041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32</w:t>
      </w:r>
      <w:r w:rsidDel="00000000" w:rsidR="00000000" w:rsidRPr="00000000">
        <w:rPr>
          <w:rtl w:val="0"/>
        </w:rPr>
        <w:t xml:space="preserve">: Differentially expressed genes for vascular cells of the human skeletal muscle calculated using a Wilcoxon Rank Sum Test with Benjamini-Hochberg correction</w:t>
      </w:r>
    </w:p>
    <w:p w:rsidR="00000000" w:rsidDel="00000000" w:rsidP="00000000" w:rsidRDefault="00000000" w:rsidRPr="00000000" w14:paraId="0000004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33</w:t>
      </w:r>
      <w:r w:rsidDel="00000000" w:rsidR="00000000" w:rsidRPr="00000000">
        <w:rPr>
          <w:rtl w:val="0"/>
        </w:rPr>
        <w:t xml:space="preserve">: Cell-cell interactions for vascular cells of the human skeletal muscle. Using CellPhoneDB statistical inference, we calculated cell-cell interactions with 9 220 cells</w:t>
      </w:r>
      <w:r w:rsidDel="00000000" w:rsidR="00000000" w:rsidRPr="00000000">
        <w:rPr>
          <w:color w:val="333333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from five donors (n = 5)</w:t>
      </w:r>
    </w:p>
    <w:p w:rsidR="00000000" w:rsidDel="00000000" w:rsidP="00000000" w:rsidRDefault="00000000" w:rsidRPr="00000000" w14:paraId="0000004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/>
      </w:pPr>
      <w:r w:rsidDel="00000000" w:rsidR="00000000" w:rsidRPr="00000000">
        <w:rPr>
          <w:b w:val="1"/>
          <w:rtl w:val="0"/>
        </w:rPr>
        <w:t xml:space="preserve">Supplementary Table 34</w:t>
      </w:r>
      <w:r w:rsidDel="00000000" w:rsidR="00000000" w:rsidRPr="00000000">
        <w:rPr>
          <w:rtl w:val="0"/>
        </w:rPr>
        <w:t xml:space="preserve">: List of gene symbols used in this study</w:t>
      </w:r>
    </w:p>
    <w:p w:rsidR="00000000" w:rsidDel="00000000" w:rsidP="00000000" w:rsidRDefault="00000000" w:rsidRPr="00000000" w14:paraId="00000047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shd w:fill="f4cccc" w:val="clear"/>
        </w:rPr>
      </w:pPr>
      <w:r w:rsidDel="00000000" w:rsidR="00000000" w:rsidRPr="00000000">
        <w:rPr>
          <w:b w:val="1"/>
          <w:rtl w:val="0"/>
        </w:rPr>
        <w:t xml:space="preserve">Supplementary Table 35</w:t>
      </w:r>
      <w:r w:rsidDel="00000000" w:rsidR="00000000" w:rsidRPr="00000000">
        <w:rPr>
          <w:rtl w:val="0"/>
        </w:rPr>
        <w:t xml:space="preserve">: Distribution of fibroblasts cell states per region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 </w:t>
      </w:r>
    </w:p>
    <w:p w:rsidR="00000000" w:rsidDel="00000000" w:rsidP="00000000" w:rsidRDefault="00000000" w:rsidRPr="00000000" w14:paraId="0000004B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shd w:fill="f4cccc" w:val="clear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