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3EE18C" w14:textId="01778AB3" w:rsidR="004100A0" w:rsidRPr="0076013B" w:rsidRDefault="0076013B" w:rsidP="004100A0">
      <w:pPr>
        <w:pStyle w:val="MDPI12title"/>
      </w:pPr>
      <w:r>
        <w:t>Supplementary M</w:t>
      </w:r>
      <w:r w:rsidRPr="0076013B">
        <w:t>ate</w:t>
      </w:r>
      <w:bookmarkStart w:id="0" w:name="_GoBack"/>
      <w:bookmarkEnd w:id="0"/>
      <w:r w:rsidRPr="0076013B">
        <w:t>rials</w:t>
      </w:r>
      <w:r w:rsidR="00584747">
        <w:rPr>
          <w:rFonts w:eastAsiaTheme="minorEastAsia" w:hint="eastAsia"/>
          <w:lang w:eastAsia="zh-CN"/>
        </w:rPr>
        <w:t>:</w:t>
      </w:r>
      <w:r w:rsidR="00584747">
        <w:t xml:space="preserve"> </w:t>
      </w:r>
      <w:r w:rsidR="006C229E" w:rsidRPr="0076013B">
        <w:t xml:space="preserve">Gene </w:t>
      </w:r>
      <w:r w:rsidRPr="0076013B">
        <w:t xml:space="preserve">Expression Signatures </w:t>
      </w:r>
      <w:r w:rsidR="006C229E" w:rsidRPr="0076013B">
        <w:t xml:space="preserve">of a </w:t>
      </w:r>
      <w:r w:rsidRPr="0076013B">
        <w:t>Preclinical Mouse Model</w:t>
      </w:r>
      <w:r w:rsidRPr="0076013B" w:rsidDel="00330045">
        <w:t xml:space="preserve"> </w:t>
      </w:r>
      <w:r w:rsidR="006C229E" w:rsidRPr="0076013B">
        <w:t xml:space="preserve">during </w:t>
      </w:r>
      <w:r w:rsidRPr="0076013B">
        <w:t xml:space="preserve">Colorectal Cancer Progression </w:t>
      </w:r>
      <w:r w:rsidR="00584747">
        <w:br/>
      </w:r>
      <w:r w:rsidRPr="0076013B">
        <w:t>under Low-Do</w:t>
      </w:r>
      <w:r w:rsidR="004100A0">
        <w:t>se Metronomic Chemotherapy</w:t>
      </w:r>
    </w:p>
    <w:tbl>
      <w:tblPr>
        <w:tblpPr w:leftFromText="198" w:rightFromText="198" w:vertAnchor="page" w:horzAnchor="margin" w:tblpY="11317"/>
        <w:tblW w:w="24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10"/>
      </w:tblGrid>
      <w:tr w:rsidR="004100A0" w:rsidRPr="004100A0" w14:paraId="61BFC43D" w14:textId="77777777" w:rsidTr="00A32BCF">
        <w:tc>
          <w:tcPr>
            <w:tcW w:w="2410" w:type="dxa"/>
            <w:shd w:val="clear" w:color="auto" w:fill="auto"/>
          </w:tcPr>
          <w:p w14:paraId="654019B8" w14:textId="77777777" w:rsidR="004100A0" w:rsidRPr="004100A0" w:rsidRDefault="004100A0" w:rsidP="00A32BCF">
            <w:pPr>
              <w:pStyle w:val="MDPI63Notes"/>
            </w:pPr>
            <w:r w:rsidRPr="004100A0">
              <w:rPr>
                <w:b/>
              </w:rPr>
              <w:t>Publisher’s Note:</w:t>
            </w:r>
            <w:r w:rsidRPr="004100A0">
              <w:t xml:space="preserve"> MDPI stays neutral with regard to jurisdictional claims in published maps and institutional affiliations.</w:t>
            </w:r>
          </w:p>
          <w:p w14:paraId="672797A2" w14:textId="77777777" w:rsidR="004100A0" w:rsidRPr="004100A0" w:rsidRDefault="004100A0" w:rsidP="00A32BCF">
            <w:pPr>
              <w:adjustRightInd w:val="0"/>
              <w:snapToGrid w:val="0"/>
              <w:spacing w:before="240" w:line="240" w:lineRule="atLeast"/>
              <w:ind w:right="113"/>
              <w:rPr>
                <w:rFonts w:ascii="Palatino Linotype" w:eastAsia="等线" w:hAnsi="Palatino Linotype"/>
                <w:bCs/>
                <w:sz w:val="14"/>
                <w:szCs w:val="14"/>
                <w:lang w:bidi="en-US"/>
              </w:rPr>
            </w:pPr>
            <w:r w:rsidRPr="004100A0">
              <w:rPr>
                <w:rFonts w:ascii="Palatino Linotype" w:eastAsia="等线" w:hAnsi="Palatino Linotype"/>
                <w:noProof/>
              </w:rPr>
              <w:drawing>
                <wp:inline distT="0" distB="0" distL="0" distR="0" wp14:anchorId="14D84795" wp14:editId="483ED66D">
                  <wp:extent cx="692150" cy="247650"/>
                  <wp:effectExtent l="0" t="0" r="0" b="0"/>
                  <wp:docPr id="1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215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F1225A" w14:textId="1F3A46C8" w:rsidR="004100A0" w:rsidRPr="004100A0" w:rsidRDefault="004100A0" w:rsidP="00A32BCF">
            <w:pPr>
              <w:adjustRightInd w:val="0"/>
              <w:snapToGrid w:val="0"/>
              <w:spacing w:before="60" w:line="240" w:lineRule="atLeast"/>
              <w:ind w:right="113"/>
              <w:rPr>
                <w:rFonts w:ascii="Palatino Linotype" w:eastAsia="等线" w:hAnsi="Palatino Linotype"/>
                <w:bCs/>
                <w:sz w:val="14"/>
                <w:szCs w:val="14"/>
                <w:lang w:bidi="en-US"/>
              </w:rPr>
            </w:pPr>
            <w:r w:rsidRPr="004100A0">
              <w:rPr>
                <w:rFonts w:ascii="Palatino Linotype" w:eastAsia="等线" w:hAnsi="Palatino Linotype"/>
                <w:b/>
                <w:bCs/>
                <w:sz w:val="14"/>
                <w:szCs w:val="14"/>
                <w:lang w:bidi="en-US"/>
              </w:rPr>
              <w:t>Copyright:</w:t>
            </w:r>
            <w:r w:rsidRPr="004100A0">
              <w:rPr>
                <w:rFonts w:ascii="Palatino Linotype" w:eastAsia="等线" w:hAnsi="Palatino Linotype"/>
                <w:bCs/>
                <w:sz w:val="14"/>
                <w:szCs w:val="14"/>
                <w:lang w:bidi="en-US"/>
              </w:rPr>
              <w:t xml:space="preserve"> © </w:t>
            </w:r>
            <w:r w:rsidR="00A04F35" w:rsidRPr="00A04F35">
              <w:rPr>
                <w:rFonts w:ascii="Palatino Linotype" w:eastAsia="等线" w:hAnsi="Palatino Linotype"/>
                <w:bCs/>
                <w:sz w:val="14"/>
                <w:szCs w:val="14"/>
                <w:lang w:bidi="en-US"/>
              </w:rPr>
              <w:t>2020 by the authors. Licensee MDPI, Basel, Switzerland. This article is an open access article distributed under the terms and conditions of the Creative Commons Attribution (CC BY) license (http://creativecommons.org/licenses/by/4.0/)</w:t>
            </w:r>
            <w:r w:rsidRPr="004100A0">
              <w:rPr>
                <w:rFonts w:ascii="Palatino Linotype" w:eastAsia="等线" w:hAnsi="Palatino Linotype"/>
                <w:bCs/>
                <w:sz w:val="14"/>
                <w:szCs w:val="14"/>
                <w:lang w:bidi="en-US"/>
              </w:rPr>
              <w:t>.</w:t>
            </w:r>
          </w:p>
        </w:tc>
      </w:tr>
    </w:tbl>
    <w:p w14:paraId="49F1ADD8" w14:textId="77777777" w:rsidR="006C229E" w:rsidRPr="00256DFC" w:rsidRDefault="006C229E" w:rsidP="0076013B">
      <w:pPr>
        <w:pStyle w:val="MDPI13authornames"/>
        <w:rPr>
          <w:lang w:val="de-DE"/>
        </w:rPr>
      </w:pPr>
      <w:r w:rsidRPr="00256DFC">
        <w:rPr>
          <w:lang w:val="de-DE"/>
        </w:rPr>
        <w:t>Hung Ho-Xuan, Gerhard Lehmann, Petar Glažar, Foivos Gypas, Norbert Eichner, Kevin Heizler, Hans J Schlitt, Mihaela Zavolan, Nikolaus Rajewsky, Gunter Meister &amp; Christina Hackl</w:t>
      </w:r>
    </w:p>
    <w:p w14:paraId="57A71BAF" w14:textId="6F0DFDE5" w:rsidR="00975F3F" w:rsidRDefault="00975F3F" w:rsidP="0076013B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drawing>
          <wp:inline distT="0" distB="0" distL="0" distR="0" wp14:anchorId="488EF565" wp14:editId="6923617F">
            <wp:extent cx="4661854" cy="6545887"/>
            <wp:effectExtent l="0" t="0" r="5715" b="7620"/>
            <wp:docPr id="1" name="Picture 1" descr="C:\Users\Hung\Desktop\Topotecan paper\New submission\201220 Fig S1 ver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ng\Desktop\Topotecan paper\New submission\201220 Fig S1 ver 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619" cy="6566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DF36C" w14:textId="49B022AC" w:rsidR="006C229E" w:rsidRPr="0076013B" w:rsidRDefault="0076013B" w:rsidP="0076013B">
      <w:pPr>
        <w:pStyle w:val="MDPI51figurecaption"/>
        <w:rPr>
          <w:color w:val="000000" w:themeColor="text1"/>
        </w:rPr>
      </w:pPr>
      <w:r w:rsidRPr="0076013B">
        <w:rPr>
          <w:b/>
          <w:color w:val="000000" w:themeColor="text1"/>
        </w:rPr>
        <w:t xml:space="preserve">Figure </w:t>
      </w:r>
      <w:r w:rsidR="0035044A">
        <w:rPr>
          <w:b/>
          <w:color w:val="000000" w:themeColor="text1"/>
        </w:rPr>
        <w:t>S</w:t>
      </w:r>
      <w:r w:rsidRPr="0076013B">
        <w:rPr>
          <w:b/>
          <w:color w:val="000000" w:themeColor="text1"/>
        </w:rPr>
        <w:t xml:space="preserve">1. </w:t>
      </w:r>
      <w:r w:rsidR="005B058C" w:rsidRPr="0076013B">
        <w:rPr>
          <w:color w:val="000000" w:themeColor="text1"/>
        </w:rPr>
        <w:t>Mice used in this study and profiling of miRNA</w:t>
      </w:r>
      <w:r w:rsidR="000C195D" w:rsidRPr="0076013B">
        <w:rPr>
          <w:color w:val="000000" w:themeColor="text1"/>
        </w:rPr>
        <w:t>s</w:t>
      </w:r>
      <w:r w:rsidR="005B058C" w:rsidRPr="0076013B">
        <w:rPr>
          <w:color w:val="000000" w:themeColor="text1"/>
        </w:rPr>
        <w:t xml:space="preserve">. </w:t>
      </w:r>
      <w:r>
        <w:rPr>
          <w:color w:val="000000" w:themeColor="text1"/>
        </w:rPr>
        <w:t>(</w:t>
      </w:r>
      <w:r w:rsidR="006C229E" w:rsidRPr="0076013B">
        <w:rPr>
          <w:b/>
          <w:color w:val="000000" w:themeColor="text1"/>
        </w:rPr>
        <w:t>A</w:t>
      </w:r>
      <w:r w:rsidR="006C229E" w:rsidRPr="0076013B">
        <w:rPr>
          <w:color w:val="000000" w:themeColor="text1"/>
        </w:rPr>
        <w:t xml:space="preserve">) </w:t>
      </w:r>
      <w:r w:rsidR="006C229E" w:rsidRPr="0076013B">
        <w:t xml:space="preserve">Mouse preparation for development of primary tumor and liver metastasis in control and treated group. In vivo bioluminescence monitoring of </w:t>
      </w:r>
      <w:proofErr w:type="spellStart"/>
      <w:r w:rsidR="005B058C" w:rsidRPr="0076013B">
        <w:t>intrasplenic</w:t>
      </w:r>
      <w:proofErr w:type="spellEnd"/>
      <w:r w:rsidR="005B058C" w:rsidRPr="0076013B">
        <w:t xml:space="preserve"> HT29 tumors. Three</w:t>
      </w:r>
      <w:r w:rsidR="006C229E" w:rsidRPr="0076013B">
        <w:t xml:space="preserve"> days after injection, primary tumors developed. For bioluminescence imaging, mice were intraperitoneally injected with 150 mg/kg of luciferin and imaged weekly. All mice were sacrificed when bioluminescence levels of </w:t>
      </w:r>
      <w:r w:rsidR="006C229E" w:rsidRPr="0076013B">
        <w:lastRenderedPageBreak/>
        <w:t>the control group reached about 500</w:t>
      </w:r>
      <w:r w:rsidR="005B058C" w:rsidRPr="0076013B">
        <w:t>,</w:t>
      </w:r>
      <w:r w:rsidR="006C229E" w:rsidRPr="0076013B">
        <w:t xml:space="preserve">000 photons/s. </w:t>
      </w:r>
      <w:r w:rsidR="005B058C" w:rsidRPr="0076013B">
        <w:rPr>
          <w:color w:val="000000" w:themeColor="text1"/>
        </w:rPr>
        <w:t>Five</w:t>
      </w:r>
      <w:r w:rsidR="006C229E" w:rsidRPr="0076013B">
        <w:rPr>
          <w:color w:val="000000" w:themeColor="text1"/>
        </w:rPr>
        <w:t xml:space="preserve"> mice were used for this experiment. </w:t>
      </w:r>
      <w:r w:rsidR="005B058C" w:rsidRPr="0076013B">
        <w:rPr>
          <w:color w:val="000000" w:themeColor="text1"/>
        </w:rPr>
        <w:t>Three</w:t>
      </w:r>
      <w:r w:rsidR="006C229E" w:rsidRPr="0076013B">
        <w:rPr>
          <w:color w:val="000000" w:themeColor="text1"/>
        </w:rPr>
        <w:t xml:space="preserve"> mice: </w:t>
      </w:r>
      <w:r w:rsidR="005B058C" w:rsidRPr="0076013B">
        <w:rPr>
          <w:color w:val="000000" w:themeColor="text1"/>
        </w:rPr>
        <w:t>#</w:t>
      </w:r>
      <w:r w:rsidR="006C229E" w:rsidRPr="0076013B">
        <w:rPr>
          <w:color w:val="000000" w:themeColor="text1"/>
        </w:rPr>
        <w:t xml:space="preserve">1, </w:t>
      </w:r>
      <w:r w:rsidR="005B058C" w:rsidRPr="0076013B">
        <w:rPr>
          <w:color w:val="000000" w:themeColor="text1"/>
        </w:rPr>
        <w:t>#</w:t>
      </w:r>
      <w:r w:rsidR="006C229E" w:rsidRPr="0076013B">
        <w:rPr>
          <w:color w:val="000000" w:themeColor="text1"/>
        </w:rPr>
        <w:t xml:space="preserve">2, </w:t>
      </w:r>
      <w:r w:rsidR="005B058C" w:rsidRPr="0076013B">
        <w:rPr>
          <w:color w:val="000000" w:themeColor="text1"/>
        </w:rPr>
        <w:t>#</w:t>
      </w:r>
      <w:r w:rsidR="006C229E" w:rsidRPr="0076013B">
        <w:rPr>
          <w:color w:val="000000" w:themeColor="text1"/>
        </w:rPr>
        <w:t xml:space="preserve">3 belong to control group while </w:t>
      </w:r>
      <w:r w:rsidR="005B058C" w:rsidRPr="0076013B">
        <w:rPr>
          <w:color w:val="000000" w:themeColor="text1"/>
        </w:rPr>
        <w:t>two</w:t>
      </w:r>
      <w:r w:rsidR="006C229E" w:rsidRPr="0076013B">
        <w:rPr>
          <w:color w:val="000000" w:themeColor="text1"/>
        </w:rPr>
        <w:t xml:space="preserve"> mice: </w:t>
      </w:r>
      <w:r w:rsidR="005B058C" w:rsidRPr="0076013B">
        <w:rPr>
          <w:color w:val="000000" w:themeColor="text1"/>
        </w:rPr>
        <w:t>#</w:t>
      </w:r>
      <w:r w:rsidR="006C229E" w:rsidRPr="0076013B">
        <w:rPr>
          <w:color w:val="000000" w:themeColor="text1"/>
        </w:rPr>
        <w:t xml:space="preserve">4, </w:t>
      </w:r>
      <w:r w:rsidR="005B058C" w:rsidRPr="0076013B">
        <w:rPr>
          <w:color w:val="000000" w:themeColor="text1"/>
        </w:rPr>
        <w:t>#</w:t>
      </w:r>
      <w:r w:rsidR="006C229E" w:rsidRPr="0076013B">
        <w:rPr>
          <w:color w:val="000000" w:themeColor="text1"/>
        </w:rPr>
        <w:t xml:space="preserve">5 belong to LDM topotecan treated group. </w:t>
      </w:r>
      <w:r>
        <w:rPr>
          <w:color w:val="000000" w:themeColor="text1"/>
        </w:rPr>
        <w:t>(</w:t>
      </w:r>
      <w:r w:rsidR="006C229E" w:rsidRPr="0076013B">
        <w:rPr>
          <w:b/>
          <w:color w:val="000000" w:themeColor="text1"/>
        </w:rPr>
        <w:t>B</w:t>
      </w:r>
      <w:r w:rsidR="006C229E" w:rsidRPr="0076013B">
        <w:rPr>
          <w:color w:val="000000" w:themeColor="text1"/>
        </w:rPr>
        <w:t xml:space="preserve">) Heatmap showing sample-to-sample distances from miRNA library. </w:t>
      </w:r>
      <w:r>
        <w:rPr>
          <w:color w:val="000000" w:themeColor="text1"/>
        </w:rPr>
        <w:t>(</w:t>
      </w:r>
      <w:r w:rsidR="006C229E" w:rsidRPr="0076013B">
        <w:rPr>
          <w:b/>
          <w:color w:val="000000" w:themeColor="text1"/>
        </w:rPr>
        <w:t>C</w:t>
      </w:r>
      <w:r w:rsidR="006C229E" w:rsidRPr="0076013B">
        <w:rPr>
          <w:color w:val="000000" w:themeColor="text1"/>
        </w:rPr>
        <w:t>) Heatmap of the top regulated miRNAs differentially expressed in HT29 compared to primary tumor from control group (C-PT), liver metastasis from control group (C-LM) and liver metastasis from treated group T-LM.</w:t>
      </w:r>
    </w:p>
    <w:p w14:paraId="1DD050D3" w14:textId="77777777" w:rsidR="00975F3F" w:rsidRPr="0076013B" w:rsidRDefault="00975F3F" w:rsidP="0076013B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drawing>
          <wp:inline distT="0" distB="0" distL="0" distR="0" wp14:anchorId="689F89EA" wp14:editId="4B7AC25B">
            <wp:extent cx="3703868" cy="1746914"/>
            <wp:effectExtent l="0" t="0" r="0" b="5715"/>
            <wp:docPr id="2" name="Picture 2" descr="C:\Users\Hung\Desktop\Topotecan paper\New submission\201220 Fig S2 - v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ung\Desktop\Topotecan paper\New submission\201220 Fig S2 - ver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272" cy="1752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B97948" w14:textId="052EF814" w:rsidR="006C229E" w:rsidRPr="0076013B" w:rsidRDefault="0076013B" w:rsidP="0076013B">
      <w:pPr>
        <w:pStyle w:val="MDPI51figurecaption"/>
        <w:rPr>
          <w:color w:val="000000" w:themeColor="text1"/>
        </w:rPr>
      </w:pPr>
      <w:r w:rsidRPr="0076013B">
        <w:rPr>
          <w:b/>
          <w:color w:val="000000" w:themeColor="text1"/>
        </w:rPr>
        <w:t xml:space="preserve">Figure </w:t>
      </w:r>
      <w:r w:rsidR="0035044A">
        <w:rPr>
          <w:b/>
          <w:color w:val="000000" w:themeColor="text1"/>
        </w:rPr>
        <w:t>S</w:t>
      </w:r>
      <w:r w:rsidRPr="0076013B">
        <w:rPr>
          <w:b/>
          <w:color w:val="000000" w:themeColor="text1"/>
        </w:rPr>
        <w:t xml:space="preserve">2. </w:t>
      </w:r>
      <w:r w:rsidR="005B058C" w:rsidRPr="0076013B">
        <w:rPr>
          <w:color w:val="000000" w:themeColor="text1"/>
        </w:rPr>
        <w:t xml:space="preserve">Quality control for </w:t>
      </w:r>
      <w:r w:rsidR="005B058C" w:rsidRPr="0076013B">
        <w:t>rRNA-depleted library</w:t>
      </w:r>
      <w:r w:rsidR="005B058C" w:rsidRPr="0076013B">
        <w:rPr>
          <w:color w:val="000000" w:themeColor="text1"/>
        </w:rPr>
        <w:t xml:space="preserve">. </w:t>
      </w:r>
      <w:r>
        <w:rPr>
          <w:color w:val="000000" w:themeColor="text1"/>
        </w:rPr>
        <w:t>(</w:t>
      </w:r>
      <w:r w:rsidR="006C229E" w:rsidRPr="0076013B">
        <w:rPr>
          <w:b/>
          <w:color w:val="000000" w:themeColor="text1"/>
        </w:rPr>
        <w:t>A</w:t>
      </w:r>
      <w:r w:rsidR="006C229E" w:rsidRPr="0076013B">
        <w:rPr>
          <w:color w:val="000000" w:themeColor="text1"/>
        </w:rPr>
        <w:t xml:space="preserve">) </w:t>
      </w:r>
      <w:r w:rsidR="006C229E" w:rsidRPr="0076013B">
        <w:t xml:space="preserve">Principal component analysis of the samples from rRNA-depleted library. </w:t>
      </w:r>
      <w:r>
        <w:t>(</w:t>
      </w:r>
      <w:r w:rsidR="006C229E" w:rsidRPr="0076013B">
        <w:rPr>
          <w:b/>
          <w:color w:val="000000" w:themeColor="text1"/>
        </w:rPr>
        <w:t>B</w:t>
      </w:r>
      <w:r w:rsidR="006C229E" w:rsidRPr="0076013B">
        <w:rPr>
          <w:color w:val="000000" w:themeColor="text1"/>
        </w:rPr>
        <w:t xml:space="preserve">) Heatmap showing sample-to-sample distances from </w:t>
      </w:r>
      <w:r w:rsidR="006C229E" w:rsidRPr="0076013B">
        <w:t>rRNA-depleted</w:t>
      </w:r>
      <w:r w:rsidR="006C229E" w:rsidRPr="0076013B">
        <w:rPr>
          <w:color w:val="000000" w:themeColor="text1"/>
        </w:rPr>
        <w:t xml:space="preserve"> library.</w:t>
      </w:r>
    </w:p>
    <w:p w14:paraId="756E95B2" w14:textId="77777777" w:rsidR="00975F3F" w:rsidRPr="0076013B" w:rsidRDefault="00975F3F" w:rsidP="0076013B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drawing>
          <wp:inline distT="0" distB="0" distL="0" distR="0" wp14:anchorId="3F7EE990" wp14:editId="02D2FE40">
            <wp:extent cx="4616436" cy="5363570"/>
            <wp:effectExtent l="0" t="0" r="0" b="8890"/>
            <wp:docPr id="3" name="Picture 3" descr="C:\Users\Hung\Desktop\Topotecan paper\New submission\201220 Fig S3-1 - v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ung\Desktop\Topotecan paper\New submission\201220 Fig S3-1 - ver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850" cy="5365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1C600" w14:textId="75EFD7B3" w:rsidR="006C229E" w:rsidRPr="0076013B" w:rsidRDefault="0076013B" w:rsidP="0076013B">
      <w:pPr>
        <w:pStyle w:val="MDPI51figurecaption"/>
      </w:pPr>
      <w:r w:rsidRPr="0076013B">
        <w:rPr>
          <w:b/>
        </w:rPr>
        <w:lastRenderedPageBreak/>
        <w:t xml:space="preserve">Figure </w:t>
      </w:r>
      <w:r w:rsidR="0035044A">
        <w:rPr>
          <w:b/>
        </w:rPr>
        <w:t>S</w:t>
      </w:r>
      <w:r w:rsidRPr="0076013B">
        <w:rPr>
          <w:b/>
        </w:rPr>
        <w:t xml:space="preserve">3. </w:t>
      </w:r>
      <w:r w:rsidR="00F319AD" w:rsidRPr="0076013B">
        <w:t xml:space="preserve">Validation of differentially expressed lincRNAs. </w:t>
      </w:r>
      <w:r>
        <w:t>(</w:t>
      </w:r>
      <w:r w:rsidR="006C229E" w:rsidRPr="0076013B">
        <w:rPr>
          <w:b/>
        </w:rPr>
        <w:t>A</w:t>
      </w:r>
      <w:r w:rsidR="006C229E" w:rsidRPr="0076013B">
        <w:t>) Northern blot validation of NEAT1 short isoform (NEAT1 v1) and MALAT1 in the primary tumor control group (C-PT), liver metastasis from control group (C-LM). 18S served as loading control</w:t>
      </w:r>
      <w:r w:rsidR="006C229E" w:rsidRPr="0076013B">
        <w:rPr>
          <w:highlight w:val="yellow"/>
        </w:rPr>
        <w:t xml:space="preserve">. </w:t>
      </w:r>
      <w:r w:rsidRPr="0076013B">
        <w:rPr>
          <w:highlight w:val="yellow"/>
        </w:rPr>
        <w:t>(</w:t>
      </w:r>
      <w:proofErr w:type="gramStart"/>
      <w:r w:rsidRPr="0076013B">
        <w:rPr>
          <w:b/>
          <w:highlight w:val="yellow"/>
        </w:rPr>
        <w:t>B</w:t>
      </w:r>
      <w:r w:rsidRPr="0076013B">
        <w:rPr>
          <w:highlight w:val="yellow"/>
        </w:rPr>
        <w:t>,</w:t>
      </w:r>
      <w:r w:rsidR="006C229E" w:rsidRPr="0076013B">
        <w:rPr>
          <w:b/>
          <w:highlight w:val="yellow"/>
        </w:rPr>
        <w:t>C</w:t>
      </w:r>
      <w:proofErr w:type="gramEnd"/>
      <w:r w:rsidR="006C229E" w:rsidRPr="0076013B">
        <w:rPr>
          <w:highlight w:val="yellow"/>
        </w:rPr>
        <w:t>)</w:t>
      </w:r>
      <w:r w:rsidR="006C229E" w:rsidRPr="0076013B">
        <w:t xml:space="preserve"> Validation of downregulated and upregulated lncRNA from primary tumor control group (C-PT), liver metastasis from control group (C-LM) compared to HT29 cells by qPCR. </w:t>
      </w:r>
      <w:r>
        <w:t>(</w:t>
      </w:r>
      <w:r w:rsidR="006C229E" w:rsidRPr="0076013B">
        <w:rPr>
          <w:b/>
        </w:rPr>
        <w:t>D</w:t>
      </w:r>
      <w:r w:rsidR="006C229E" w:rsidRPr="0076013B">
        <w:t xml:space="preserve">) Relative expression of LINC00483 and LINC01133 in Caco-2, SW620 and HT29 cells 2 days after treatment with topotecan by qPCR.  P21 served as positive control. </w:t>
      </w:r>
      <w:r>
        <w:t>(</w:t>
      </w:r>
      <w:r w:rsidR="006C229E" w:rsidRPr="0076013B">
        <w:rPr>
          <w:b/>
        </w:rPr>
        <w:t>E</w:t>
      </w:r>
      <w:r w:rsidR="006C229E" w:rsidRPr="0076013B">
        <w:t xml:space="preserve">) Gene expression for LINC00483 of different human tissue using </w:t>
      </w:r>
      <w:proofErr w:type="spellStart"/>
      <w:r w:rsidR="006C229E" w:rsidRPr="0076013B">
        <w:t>GTExPortal</w:t>
      </w:r>
      <w:proofErr w:type="spellEnd"/>
      <w:r w:rsidR="006C229E" w:rsidRPr="0076013B">
        <w:t xml:space="preserve"> web database.</w:t>
      </w:r>
    </w:p>
    <w:p w14:paraId="5DC5BD0C" w14:textId="77777777" w:rsidR="00B7394A" w:rsidRPr="0076013B" w:rsidRDefault="00B7394A" w:rsidP="0076013B">
      <w:pPr>
        <w:pStyle w:val="MDPI52figure"/>
      </w:pPr>
      <w:r w:rsidRPr="0076013B">
        <w:rPr>
          <w:noProof/>
          <w:lang w:eastAsia="en-US" w:bidi="ar-SA"/>
        </w:rPr>
        <w:drawing>
          <wp:inline distT="0" distB="0" distL="0" distR="0" wp14:anchorId="737094EB" wp14:editId="410DFA01">
            <wp:extent cx="5141527" cy="5036024"/>
            <wp:effectExtent l="0" t="0" r="2540" b="0"/>
            <wp:docPr id="4" name="Picture 4" descr="C:\Users\Hung\Desktop\Topotecan paper\New submission\201220 Fig S3-2 - v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ung\Desktop\Topotecan paper\New submission\201220 Fig S3-2 - ver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684" cy="5038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26767" w14:textId="09EC3A5E" w:rsidR="006C229E" w:rsidRPr="0076013B" w:rsidRDefault="0035044A" w:rsidP="0076013B">
      <w:pPr>
        <w:pStyle w:val="MDPI51figurecaption"/>
        <w:ind w:left="425" w:right="425"/>
        <w:jc w:val="both"/>
      </w:pPr>
      <w:r>
        <w:rPr>
          <w:b/>
        </w:rPr>
        <w:t>Figure S4</w:t>
      </w:r>
      <w:r w:rsidR="0076013B" w:rsidRPr="0076013B">
        <w:rPr>
          <w:b/>
        </w:rPr>
        <w:t xml:space="preserve">. </w:t>
      </w:r>
      <w:r w:rsidR="00F319AD" w:rsidRPr="0076013B">
        <w:t>LINC00483 potentially encodes for a microprotein named ANKRD40CL.</w:t>
      </w:r>
      <w:r w:rsidR="00F319AD" w:rsidRPr="0076013B">
        <w:rPr>
          <w:b/>
        </w:rPr>
        <w:t xml:space="preserve"> </w:t>
      </w:r>
      <w:r w:rsidR="0076013B">
        <w:rPr>
          <w:b/>
        </w:rPr>
        <w:t>(</w:t>
      </w:r>
      <w:r w:rsidR="006C229E" w:rsidRPr="0076013B">
        <w:rPr>
          <w:b/>
        </w:rPr>
        <w:t>A</w:t>
      </w:r>
      <w:r w:rsidR="006C229E" w:rsidRPr="0076013B">
        <w:t>) Locus of LINC00483. LINC00483 encodes for several transcripts, some of which might encode for protein called ANKRD40CL. Sequence alignment of ANKRD40CL and ANKRD40.</w:t>
      </w:r>
      <w:r w:rsidR="000D2859">
        <w:t xml:space="preserve"> (B)</w:t>
      </w:r>
      <w:r w:rsidR="004C52A3">
        <w:t xml:space="preserve"> Protein alignment of ANKRD40CL with ANDKRD40. </w:t>
      </w:r>
    </w:p>
    <w:p w14:paraId="3F759F6D" w14:textId="77777777" w:rsidR="00E83C43" w:rsidRPr="0076013B" w:rsidRDefault="00E83C43" w:rsidP="000D2859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lastRenderedPageBreak/>
        <w:drawing>
          <wp:inline distT="0" distB="0" distL="0" distR="0" wp14:anchorId="503CC1DE" wp14:editId="45E642C1">
            <wp:extent cx="4236907" cy="5063320"/>
            <wp:effectExtent l="0" t="0" r="0" b="4445"/>
            <wp:docPr id="5" name="Picture 5" descr="C:\Users\Hung\Desktop\Topotecan paper\New submission\201220 Figure S4 - v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ung\Desktop\Topotecan paper\New submission\201220 Figure S4 - ver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690" cy="5069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1FD9A" w14:textId="303847AA" w:rsidR="006C229E" w:rsidRPr="0076013B" w:rsidRDefault="000D2859" w:rsidP="000D2859">
      <w:pPr>
        <w:pStyle w:val="MDPI51figurecaption"/>
      </w:pPr>
      <w:r w:rsidRPr="000D2859">
        <w:rPr>
          <w:b/>
          <w:color w:val="000000" w:themeColor="text1"/>
        </w:rPr>
        <w:t xml:space="preserve">Figure </w:t>
      </w:r>
      <w:r w:rsidR="0035044A">
        <w:rPr>
          <w:b/>
          <w:color w:val="000000" w:themeColor="text1"/>
        </w:rPr>
        <w:t>S5</w:t>
      </w:r>
      <w:r w:rsidRPr="000D2859">
        <w:rPr>
          <w:b/>
          <w:color w:val="000000" w:themeColor="text1"/>
        </w:rPr>
        <w:t xml:space="preserve">. </w:t>
      </w:r>
      <w:r w:rsidR="00F319AD" w:rsidRPr="000D2859">
        <w:rPr>
          <w:color w:val="000000" w:themeColor="text1"/>
        </w:rPr>
        <w:t>Further characterization of circZNF609.</w:t>
      </w:r>
      <w:r w:rsidR="00F319AD" w:rsidRPr="0076013B">
        <w:rPr>
          <w:color w:val="000000" w:themeColor="text1"/>
        </w:rPr>
        <w:t xml:space="preserve"> </w:t>
      </w:r>
      <w:r>
        <w:rPr>
          <w:color w:val="000000" w:themeColor="text1"/>
        </w:rPr>
        <w:t>(</w:t>
      </w:r>
      <w:r w:rsidR="006C229E" w:rsidRPr="000D2859">
        <w:rPr>
          <w:b/>
          <w:color w:val="000000" w:themeColor="text1"/>
        </w:rPr>
        <w:t>A</w:t>
      </w:r>
      <w:r w:rsidR="006C229E" w:rsidRPr="0076013B">
        <w:rPr>
          <w:color w:val="000000" w:themeColor="text1"/>
        </w:rPr>
        <w:t xml:space="preserve">) </w:t>
      </w:r>
      <w:r w:rsidR="006C229E" w:rsidRPr="0076013B">
        <w:t xml:space="preserve">Scatter plot of </w:t>
      </w:r>
      <w:proofErr w:type="spellStart"/>
      <w:r w:rsidR="006C229E" w:rsidRPr="0076013B">
        <w:t>circRNA</w:t>
      </w:r>
      <w:proofErr w:type="spellEnd"/>
      <w:r w:rsidR="006C229E" w:rsidRPr="0076013B">
        <w:t xml:space="preserve"> expression in C-LM versus C-PT. </w:t>
      </w:r>
      <w:r>
        <w:t>(</w:t>
      </w:r>
      <w:r w:rsidR="006C229E" w:rsidRPr="000D2859">
        <w:rPr>
          <w:b/>
          <w:color w:val="000000" w:themeColor="text1"/>
        </w:rPr>
        <w:t>B</w:t>
      </w:r>
      <w:r w:rsidR="006C229E" w:rsidRPr="0076013B">
        <w:rPr>
          <w:color w:val="000000" w:themeColor="text1"/>
        </w:rPr>
        <w:t xml:space="preserve">) </w:t>
      </w:r>
      <w:r w:rsidR="006C229E" w:rsidRPr="0076013B">
        <w:t xml:space="preserve">Scatter plot of </w:t>
      </w:r>
      <w:proofErr w:type="spellStart"/>
      <w:r w:rsidR="006C229E" w:rsidRPr="0076013B">
        <w:t>circRNA</w:t>
      </w:r>
      <w:proofErr w:type="spellEnd"/>
      <w:r w:rsidR="006C229E" w:rsidRPr="0076013B">
        <w:t xml:space="preserve"> expression and linear transcript expression in liver metastasis versus </w:t>
      </w:r>
      <w:proofErr w:type="gramStart"/>
      <w:r w:rsidR="006C229E" w:rsidRPr="0076013B">
        <w:t>HT29.hCG.Luc</w:t>
      </w:r>
      <w:proofErr w:type="gramEnd"/>
      <w:r w:rsidR="006C229E" w:rsidRPr="0076013B">
        <w:t xml:space="preserve">. Expression of some </w:t>
      </w:r>
      <w:proofErr w:type="spellStart"/>
      <w:r w:rsidR="006C229E" w:rsidRPr="0076013B">
        <w:t>circRNAs</w:t>
      </w:r>
      <w:proofErr w:type="spellEnd"/>
      <w:r w:rsidR="006C229E" w:rsidRPr="0076013B">
        <w:t xml:space="preserve"> is independent from its </w:t>
      </w:r>
      <w:proofErr w:type="gramStart"/>
      <w:r w:rsidR="006C229E" w:rsidRPr="0076013B">
        <w:t>hots</w:t>
      </w:r>
      <w:proofErr w:type="gramEnd"/>
      <w:r w:rsidR="006C229E" w:rsidRPr="0076013B">
        <w:t xml:space="preserve"> gene. </w:t>
      </w:r>
      <w:r>
        <w:t>(</w:t>
      </w:r>
      <w:r w:rsidR="006C229E" w:rsidRPr="000D2859">
        <w:rPr>
          <w:b/>
        </w:rPr>
        <w:t>C</w:t>
      </w:r>
      <w:r w:rsidR="006C229E" w:rsidRPr="0076013B">
        <w:t>) Northern blo</w:t>
      </w:r>
      <w:r>
        <w:t xml:space="preserve">t of the fractionated </w:t>
      </w:r>
      <w:proofErr w:type="spellStart"/>
      <w:r>
        <w:t>polyA</w:t>
      </w:r>
      <w:proofErr w:type="spellEnd"/>
      <w:r>
        <w:t xml:space="preserve"> (+/−</w:t>
      </w:r>
      <w:r w:rsidR="006C229E" w:rsidRPr="0076013B">
        <w:t>) RNA from HT29 cells</w:t>
      </w:r>
      <w:r>
        <w:t xml:space="preserve">. 20 µg of Total RNA or </w:t>
      </w:r>
      <w:proofErr w:type="spellStart"/>
      <w:r>
        <w:t>polyA</w:t>
      </w:r>
      <w:proofErr w:type="spellEnd"/>
      <w:r>
        <w:t xml:space="preserve"> (−</w:t>
      </w:r>
      <w:r w:rsidR="006C229E" w:rsidRPr="0076013B">
        <w:t xml:space="preserve">) RNA and 2.5 µg of </w:t>
      </w:r>
      <w:proofErr w:type="spellStart"/>
      <w:r w:rsidR="006C229E" w:rsidRPr="0076013B">
        <w:t>polyA</w:t>
      </w:r>
      <w:proofErr w:type="spellEnd"/>
      <w:r w:rsidR="006C229E" w:rsidRPr="0076013B">
        <w:t xml:space="preserve"> (+) RNA was loaded on 1% MOPS Agarose gel. Northern blot using probes detected both ZNF609 and circZNF609 was performed. Northern blot analysis showed that circZNF609 is not enriched in the </w:t>
      </w:r>
      <w:proofErr w:type="spellStart"/>
      <w:r w:rsidR="006C229E" w:rsidRPr="0076013B">
        <w:t>polyA</w:t>
      </w:r>
      <w:proofErr w:type="spellEnd"/>
      <w:r w:rsidR="006C229E" w:rsidRPr="0076013B">
        <w:t xml:space="preserve"> (+) fraction as shown by ZNF609. </w:t>
      </w:r>
      <w:r>
        <w:t>(</w:t>
      </w:r>
      <w:r w:rsidR="006C229E" w:rsidRPr="000D2859">
        <w:rPr>
          <w:b/>
        </w:rPr>
        <w:t>D</w:t>
      </w:r>
      <w:r w:rsidR="006C229E" w:rsidRPr="0076013B">
        <w:t xml:space="preserve">) Western blot of the total lysate, nuclear and cytoplasmic fraction from HT29 cells. NONO and GAPDH served as nuclear and cytoplasmic marker, respectively. </w:t>
      </w:r>
      <w:r>
        <w:t>(</w:t>
      </w:r>
      <w:r w:rsidR="006C229E" w:rsidRPr="000D2859">
        <w:rPr>
          <w:b/>
        </w:rPr>
        <w:t>E</w:t>
      </w:r>
      <w:r w:rsidR="006C229E" w:rsidRPr="0076013B">
        <w:t>) Alignment of the amplicon</w:t>
      </w:r>
      <w:r w:rsidR="0051331D">
        <w:t>’ sequence</w:t>
      </w:r>
      <w:r w:rsidR="006C229E" w:rsidRPr="0076013B">
        <w:t xml:space="preserve"> of circZNF609 and circZfp609 that amplified by qPCR primer.</w:t>
      </w:r>
    </w:p>
    <w:p w14:paraId="1DD43886" w14:textId="77777777" w:rsidR="00E83C43" w:rsidRPr="0076013B" w:rsidRDefault="00E83C43" w:rsidP="00584747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lastRenderedPageBreak/>
        <w:drawing>
          <wp:inline distT="0" distB="0" distL="0" distR="0" wp14:anchorId="62D3F8C2" wp14:editId="678476F3">
            <wp:extent cx="4613712" cy="4988257"/>
            <wp:effectExtent l="0" t="0" r="0" b="3175"/>
            <wp:docPr id="6" name="Picture 6" descr="C:\Users\Hung\Desktop\Topotecan paper\New submission\201220 figure S5 - v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ung\Desktop\Topotecan paper\New submission\201220 figure S5 - ver2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8658" cy="499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925FF" w14:textId="2123D8DC" w:rsidR="006C229E" w:rsidRPr="0076013B" w:rsidRDefault="0035044A" w:rsidP="00584747">
      <w:pPr>
        <w:pStyle w:val="MDPI51figurecaption"/>
      </w:pPr>
      <w:r>
        <w:rPr>
          <w:b/>
        </w:rPr>
        <w:t>Figure S6</w:t>
      </w:r>
      <w:r w:rsidR="00584747" w:rsidRPr="00584747">
        <w:rPr>
          <w:b/>
        </w:rPr>
        <w:t xml:space="preserve">. </w:t>
      </w:r>
      <w:r w:rsidR="006A4654" w:rsidRPr="00584747">
        <w:t xml:space="preserve">Methods for knockdown of circZNF609 and characterization the oncogenic role of circZNF609. </w:t>
      </w:r>
      <w:r w:rsidR="00584747">
        <w:t>(</w:t>
      </w:r>
      <w:r w:rsidR="006C229E" w:rsidRPr="00584747">
        <w:rPr>
          <w:b/>
        </w:rPr>
        <w:t>A</w:t>
      </w:r>
      <w:r w:rsidR="006C229E" w:rsidRPr="0076013B">
        <w:t>)</w:t>
      </w:r>
      <w:r w:rsidR="006C229E" w:rsidRPr="0076013B">
        <w:rPr>
          <w:b/>
        </w:rPr>
        <w:t xml:space="preserve"> </w:t>
      </w:r>
      <w:r w:rsidR="006C229E" w:rsidRPr="0076013B">
        <w:t>siRNA strategy for targeting circZNF609. Alignment of the siRNA with junction o</w:t>
      </w:r>
      <w:r w:rsidR="006A4654" w:rsidRPr="0076013B">
        <w:t>f circZNF609 is indicated. All three</w:t>
      </w:r>
      <w:r w:rsidR="006C229E" w:rsidRPr="0076013B">
        <w:t xml:space="preserve"> designed sequences spanning the junction of circZNF609 contain four Ts in a row in front of the stop signal, therefore lead to premature abortion of Pol-III transcription. Alternatively, artificial microRNA (</w:t>
      </w:r>
      <w:proofErr w:type="spellStart"/>
      <w:r w:rsidR="006C229E" w:rsidRPr="0076013B">
        <w:t>amiRNA</w:t>
      </w:r>
      <w:proofErr w:type="spellEnd"/>
      <w:r w:rsidR="006C229E" w:rsidRPr="0076013B">
        <w:t xml:space="preserve">) construct based on pri-miR-331 driven by Pol-II promoter was developed. </w:t>
      </w:r>
      <w:r w:rsidR="00584747">
        <w:t>(</w:t>
      </w:r>
      <w:r w:rsidR="006C229E" w:rsidRPr="00584747">
        <w:rPr>
          <w:b/>
        </w:rPr>
        <w:t>B</w:t>
      </w:r>
      <w:r w:rsidR="006C229E" w:rsidRPr="0076013B">
        <w:t xml:space="preserve">) HEK293T was transfected with the constructs consecutively expressing pri-miR-331 or different </w:t>
      </w:r>
      <w:proofErr w:type="spellStart"/>
      <w:r w:rsidR="006C229E" w:rsidRPr="0076013B">
        <w:t>amiRNAs</w:t>
      </w:r>
      <w:proofErr w:type="spellEnd"/>
      <w:r w:rsidR="006C229E" w:rsidRPr="0076013B">
        <w:t xml:space="preserve">. 2 days post-transfection, RNA was harvested for northern blot analysis using probes targeting the desired sequence of siRNA targeting circZNF609 (siRNA 03). </w:t>
      </w:r>
      <w:r w:rsidR="00584747">
        <w:t>(</w:t>
      </w:r>
      <w:r w:rsidR="006C229E" w:rsidRPr="00584747">
        <w:rPr>
          <w:b/>
        </w:rPr>
        <w:t>C</w:t>
      </w:r>
      <w:r w:rsidR="006C229E" w:rsidRPr="0076013B">
        <w:t xml:space="preserve">) Part of the lentiviral vectors used for generating HT29-sh-circZNF609 and HCT116-sh-circZNF609 cell lines </w:t>
      </w:r>
      <w:r w:rsidR="00584747">
        <w:t>(</w:t>
      </w:r>
      <w:r w:rsidR="006C229E" w:rsidRPr="00584747">
        <w:rPr>
          <w:b/>
        </w:rPr>
        <w:t>D</w:t>
      </w:r>
      <w:r w:rsidR="006C229E" w:rsidRPr="0076013B">
        <w:t>) Relative expression of circZNF609 and ZNF609 from primary tumors (PT) and liver metastasis (LM) isolated from tumors developed in SCID mice injected with HT29-sh-circZNF609 cell lines. Data represents relative expression normalized to RPL32 from untreated animal (Dox (</w:t>
      </w:r>
      <w:r w:rsidR="00584747">
        <w:t>−</w:t>
      </w:r>
      <w:r w:rsidR="006C229E" w:rsidRPr="0076013B">
        <w:t>),</w:t>
      </w:r>
      <w:r w:rsidR="006C229E" w:rsidRPr="00584747">
        <w:rPr>
          <w:i/>
        </w:rPr>
        <w:t xml:space="preserve"> n</w:t>
      </w:r>
      <w:r w:rsidR="00584747">
        <w:t xml:space="preserve"> </w:t>
      </w:r>
      <w:r w:rsidR="006C229E" w:rsidRPr="0076013B">
        <w:t>=</w:t>
      </w:r>
      <w:r w:rsidR="00584747">
        <w:t xml:space="preserve"> </w:t>
      </w:r>
      <w:r w:rsidR="006C229E" w:rsidRPr="0076013B">
        <w:t xml:space="preserve">4) and </w:t>
      </w:r>
      <w:proofErr w:type="spellStart"/>
      <w:r w:rsidR="006C229E" w:rsidRPr="0076013B">
        <w:t>Doxycyline</w:t>
      </w:r>
      <w:proofErr w:type="spellEnd"/>
      <w:r w:rsidR="006C229E" w:rsidRPr="0076013B">
        <w:t xml:space="preserve"> treated animal (</w:t>
      </w:r>
      <w:proofErr w:type="gramStart"/>
      <w:r w:rsidR="006C229E" w:rsidRPr="0076013B">
        <w:t>Dox(</w:t>
      </w:r>
      <w:proofErr w:type="gramEnd"/>
      <w:r w:rsidR="006C229E" w:rsidRPr="0076013B">
        <w:t xml:space="preserve">+), </w:t>
      </w:r>
      <w:r w:rsidR="006C229E" w:rsidRPr="00584747">
        <w:rPr>
          <w:i/>
        </w:rPr>
        <w:t>n</w:t>
      </w:r>
      <w:r w:rsidR="00584747">
        <w:rPr>
          <w:i/>
        </w:rPr>
        <w:t xml:space="preserve"> </w:t>
      </w:r>
      <w:r w:rsidR="006C229E" w:rsidRPr="0076013B">
        <w:t xml:space="preserve">= 4). </w:t>
      </w:r>
      <w:r w:rsidR="00584747">
        <w:t>(</w:t>
      </w:r>
      <w:r w:rsidR="006C229E" w:rsidRPr="00584747">
        <w:rPr>
          <w:b/>
        </w:rPr>
        <w:t>E</w:t>
      </w:r>
      <w:r w:rsidR="006C229E" w:rsidRPr="0076013B">
        <w:t xml:space="preserve">) </w:t>
      </w:r>
      <w:r w:rsidR="006C229E" w:rsidRPr="00584747">
        <w:t>In vivo</w:t>
      </w:r>
      <w:r w:rsidR="006C229E" w:rsidRPr="0076013B">
        <w:t xml:space="preserve"> data of tumor resected from the mice subcutaneously injected with CMT93-sh-circZfp609 upon doxycycline induction. The tumor development was calculated by measuring the tumor weight. </w:t>
      </w:r>
      <w:r w:rsidR="00584747">
        <w:t>(</w:t>
      </w:r>
      <w:r w:rsidR="006C229E" w:rsidRPr="00584747">
        <w:rPr>
          <w:b/>
        </w:rPr>
        <w:t>F</w:t>
      </w:r>
      <w:r w:rsidR="006C229E" w:rsidRPr="0076013B">
        <w:t xml:space="preserve">) </w:t>
      </w:r>
      <w:r w:rsidR="006C229E" w:rsidRPr="00584747">
        <w:t>In vivo</w:t>
      </w:r>
      <w:r w:rsidR="006C229E" w:rsidRPr="0076013B">
        <w:t xml:space="preserve"> data from the mice overexpressing circZNF609 upon doxycycline induction (</w:t>
      </w:r>
      <w:r w:rsidR="006C229E" w:rsidRPr="00584747">
        <w:rPr>
          <w:i/>
        </w:rPr>
        <w:t>n</w:t>
      </w:r>
      <w:r w:rsidR="00584747">
        <w:t xml:space="preserve"> </w:t>
      </w:r>
      <w:r w:rsidR="006C229E" w:rsidRPr="0076013B">
        <w:t>=</w:t>
      </w:r>
      <w:r w:rsidR="00584747">
        <w:t xml:space="preserve"> </w:t>
      </w:r>
      <w:r w:rsidR="006C229E" w:rsidRPr="0076013B">
        <w:t xml:space="preserve">10). Induction of circZNF609 by doxycycline increases tumor volume. Dox: </w:t>
      </w:r>
      <w:proofErr w:type="spellStart"/>
      <w:r w:rsidR="006C229E" w:rsidRPr="0076013B">
        <w:t>Doxycyline</w:t>
      </w:r>
      <w:proofErr w:type="spellEnd"/>
      <w:r w:rsidR="006C229E" w:rsidRPr="0076013B">
        <w:t>.</w:t>
      </w:r>
    </w:p>
    <w:p w14:paraId="3583A61E" w14:textId="1639530F" w:rsidR="00E83C43" w:rsidRPr="0076013B" w:rsidRDefault="00D473B2" w:rsidP="00584747">
      <w:pPr>
        <w:pStyle w:val="MDPI52figure"/>
        <w:ind w:left="2608"/>
        <w:jc w:val="left"/>
      </w:pPr>
      <w:r w:rsidRPr="00D473B2">
        <w:rPr>
          <w:noProof/>
          <w:lang w:eastAsia="en-US" w:bidi="ar-SA"/>
        </w:rPr>
        <w:lastRenderedPageBreak/>
        <w:drawing>
          <wp:inline distT="0" distB="0" distL="0" distR="0" wp14:anchorId="00D7A706" wp14:editId="3C73B63F">
            <wp:extent cx="4875887" cy="5042414"/>
            <wp:effectExtent l="0" t="0" r="1270" b="6350"/>
            <wp:docPr id="15" name="Picture 15" descr="C:\Users\Hung\Desktop\Topotecan paper\final proof\201220 Fig S6 final ver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ng\Desktop\Topotecan paper\final proof\201220 Fig S6 final ver 3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835" cy="5058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897C1" w14:textId="67BCFA30" w:rsidR="006C229E" w:rsidRPr="0076013B" w:rsidRDefault="0035044A" w:rsidP="00584747">
      <w:pPr>
        <w:pStyle w:val="MDPI51figurecaption"/>
      </w:pPr>
      <w:r>
        <w:rPr>
          <w:b/>
        </w:rPr>
        <w:t>Figure S7</w:t>
      </w:r>
      <w:r w:rsidR="00584747" w:rsidRPr="00584747">
        <w:rPr>
          <w:b/>
        </w:rPr>
        <w:t xml:space="preserve">. </w:t>
      </w:r>
      <w:r w:rsidR="006A4654" w:rsidRPr="0076013B">
        <w:t xml:space="preserve">Differentially expressed </w:t>
      </w:r>
      <w:proofErr w:type="spellStart"/>
      <w:r w:rsidR="006A4654" w:rsidRPr="0076013B">
        <w:t>circRNAs</w:t>
      </w:r>
      <w:proofErr w:type="spellEnd"/>
      <w:r w:rsidR="006A4654" w:rsidRPr="0076013B">
        <w:t xml:space="preserve"> during LDM treatment and validation of RNA candidates in HT29-topotecan resistance cell line</w:t>
      </w:r>
      <w:r w:rsidR="000C195D" w:rsidRPr="0076013B">
        <w:t>.</w:t>
      </w:r>
      <w:r w:rsidR="006A4654" w:rsidRPr="0076013B">
        <w:t xml:space="preserve"> </w:t>
      </w:r>
      <w:r w:rsidR="00584747">
        <w:t>(</w:t>
      </w:r>
      <w:r w:rsidR="00B97350" w:rsidRPr="00584747">
        <w:rPr>
          <w:b/>
        </w:rPr>
        <w:t>A</w:t>
      </w:r>
      <w:r w:rsidR="00B97350" w:rsidRPr="0076013B">
        <w:t xml:space="preserve">) Scatter plot of </w:t>
      </w:r>
      <w:proofErr w:type="spellStart"/>
      <w:r w:rsidR="00B97350" w:rsidRPr="0076013B">
        <w:t>circRNA</w:t>
      </w:r>
      <w:proofErr w:type="spellEnd"/>
      <w:r w:rsidR="00B97350" w:rsidRPr="0076013B">
        <w:t xml:space="preserve"> expression in T-LM versus C-LM. </w:t>
      </w:r>
      <w:r w:rsidR="00584747">
        <w:t>(</w:t>
      </w:r>
      <w:r w:rsidR="00B97350" w:rsidRPr="00584747">
        <w:rPr>
          <w:b/>
        </w:rPr>
        <w:t>B</w:t>
      </w:r>
      <w:r w:rsidR="00B97350" w:rsidRPr="0076013B">
        <w:t xml:space="preserve">) Heatmap of differentially expressed </w:t>
      </w:r>
      <w:proofErr w:type="spellStart"/>
      <w:r w:rsidR="00B97350" w:rsidRPr="0076013B">
        <w:t>circRNAs</w:t>
      </w:r>
      <w:proofErr w:type="spellEnd"/>
      <w:r w:rsidR="00B97350" w:rsidRPr="0076013B">
        <w:t xml:space="preserve"> in T-LM versus C-LM. The total number of reads supporting a particular head-to-tail junction was used as an absolute measure of </w:t>
      </w:r>
      <w:proofErr w:type="spellStart"/>
      <w:r w:rsidR="00B97350" w:rsidRPr="0076013B">
        <w:t>circRNA</w:t>
      </w:r>
      <w:proofErr w:type="spellEnd"/>
      <w:r w:rsidR="00B97350" w:rsidRPr="0076013B">
        <w:t xml:space="preserve"> abundance. </w:t>
      </w:r>
      <w:r w:rsidR="00584747">
        <w:t>(</w:t>
      </w:r>
      <w:r w:rsidR="00B97350" w:rsidRPr="00584747">
        <w:rPr>
          <w:b/>
        </w:rPr>
        <w:t>C</w:t>
      </w:r>
      <w:r w:rsidR="00B97350" w:rsidRPr="0076013B">
        <w:t>) Examination of the validated candidates from HT29-topotecan resistance compared to HT29 parental cell line by qPCR</w:t>
      </w:r>
      <w:r w:rsidR="006C35FF" w:rsidRPr="0076013B">
        <w:t>.</w:t>
      </w:r>
    </w:p>
    <w:p w14:paraId="41723833" w14:textId="77777777" w:rsidR="004E6060" w:rsidRPr="0076013B" w:rsidRDefault="004E6060" w:rsidP="00584747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lastRenderedPageBreak/>
        <w:drawing>
          <wp:inline distT="0" distB="0" distL="0" distR="0" wp14:anchorId="357410A1" wp14:editId="51418D00">
            <wp:extent cx="4049559" cy="3459708"/>
            <wp:effectExtent l="0" t="0" r="8255" b="7620"/>
            <wp:docPr id="8" name="Picture 8" descr="C:\Users\Hung\Desktop\Topotecan paper\original blot\Original Fig 1G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ung\Desktop\Topotecan paper\original blot\Original Fig 1G-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2487" cy="3462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9FC1CF" w14:textId="77777777" w:rsidR="004E6060" w:rsidRPr="0076013B" w:rsidRDefault="004E6060" w:rsidP="00584747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drawing>
          <wp:inline distT="0" distB="0" distL="0" distR="0" wp14:anchorId="0D470DA3" wp14:editId="732F0799">
            <wp:extent cx="4215179" cy="5070144"/>
            <wp:effectExtent l="0" t="0" r="0" b="0"/>
            <wp:docPr id="9" name="Picture 9" descr="C:\Users\Hung\Desktop\Topotecan paper\original blot\Original Fig 1G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ung\Desktop\Topotecan paper\original blot\Original Fig 1G-2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7356" cy="5072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C91B9" w14:textId="77777777" w:rsidR="004E6060" w:rsidRPr="0076013B" w:rsidRDefault="004E6060" w:rsidP="00584747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lastRenderedPageBreak/>
        <w:drawing>
          <wp:inline distT="0" distB="0" distL="0" distR="0" wp14:anchorId="0F758516" wp14:editId="7C1E12C1">
            <wp:extent cx="4775097" cy="7890244"/>
            <wp:effectExtent l="0" t="0" r="6985" b="0"/>
            <wp:docPr id="10" name="Picture 10" descr="C:\Users\Hung\Desktop\Topotecan paper\original blot\Original Fig S3-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ung\Desktop\Topotecan paper\original blot\Original Fig S3-1A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440" cy="7894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F8C21" w14:textId="77777777" w:rsidR="004E6060" w:rsidRPr="0076013B" w:rsidRDefault="004E6060" w:rsidP="00584747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lastRenderedPageBreak/>
        <w:drawing>
          <wp:inline distT="0" distB="0" distL="0" distR="0" wp14:anchorId="73C2C04B" wp14:editId="1157FA9B">
            <wp:extent cx="3981450" cy="4772025"/>
            <wp:effectExtent l="0" t="0" r="0" b="9525"/>
            <wp:docPr id="11" name="Picture 11" descr="C:\Users\Hung\Desktop\Topotecan paper\original blot\Original Fig S4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ung\Desktop\Topotecan paper\original blot\Original Fig S4D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F9C38" w14:textId="77777777" w:rsidR="004E6060" w:rsidRPr="0076013B" w:rsidRDefault="004E6060" w:rsidP="00584747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lastRenderedPageBreak/>
        <w:drawing>
          <wp:inline distT="0" distB="0" distL="0" distR="0" wp14:anchorId="7735BB6F" wp14:editId="6F6D0F14">
            <wp:extent cx="4833990" cy="6380329"/>
            <wp:effectExtent l="0" t="0" r="5080" b="1905"/>
            <wp:docPr id="12" name="Picture 12" descr="C:\Users\Hung\Desktop\Topotecan paper\original blot\Original Fig S5B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ung\Desktop\Topotecan paper\original blot\Original Fig S5B-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613" cy="6383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98B5BC" w14:textId="77777777" w:rsidR="004E6060" w:rsidRDefault="004E6060" w:rsidP="00584747">
      <w:pPr>
        <w:pStyle w:val="MDPI52figure"/>
        <w:ind w:left="2608"/>
        <w:jc w:val="left"/>
      </w:pPr>
      <w:r w:rsidRPr="0076013B">
        <w:rPr>
          <w:noProof/>
          <w:lang w:eastAsia="en-US" w:bidi="ar-SA"/>
        </w:rPr>
        <w:lastRenderedPageBreak/>
        <w:drawing>
          <wp:inline distT="0" distB="0" distL="0" distR="0" wp14:anchorId="25A28909" wp14:editId="276851B4">
            <wp:extent cx="3718882" cy="5570703"/>
            <wp:effectExtent l="0" t="0" r="0" b="0"/>
            <wp:docPr id="13" name="Picture 13" descr="C:\Users\Hung\Desktop\Topotecan paper\original blot\Original Fig S5B -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ung\Desktop\Topotecan paper\original blot\Original Fig S5B - 2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903" cy="557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73FC1" w14:textId="3E236607" w:rsidR="00584747" w:rsidRPr="0035044A" w:rsidRDefault="0035044A" w:rsidP="00584747">
      <w:pPr>
        <w:pStyle w:val="MDPI52figure"/>
        <w:ind w:left="2608"/>
        <w:jc w:val="left"/>
      </w:pPr>
      <w:r>
        <w:rPr>
          <w:b/>
        </w:rPr>
        <w:t>Figure S8</w:t>
      </w:r>
      <w:r w:rsidR="00584747" w:rsidRPr="00584747">
        <w:rPr>
          <w:b/>
        </w:rPr>
        <w:t>.</w:t>
      </w:r>
      <w:r w:rsidR="00584747">
        <w:rPr>
          <w:b/>
        </w:rPr>
        <w:t xml:space="preserve"> </w:t>
      </w:r>
      <w:r w:rsidR="00584747" w:rsidRPr="0035044A">
        <w:t xml:space="preserve">Uncropped Western Blots </w:t>
      </w:r>
      <w:r w:rsidR="00256DFC">
        <w:t>and Northern Blots</w:t>
      </w:r>
      <w:r w:rsidR="00A04F35">
        <w:t>.</w:t>
      </w:r>
    </w:p>
    <w:sectPr w:rsidR="00584747" w:rsidRPr="0035044A" w:rsidSect="00A04F35">
      <w:headerReference w:type="default" r:id="rId21"/>
      <w:headerReference w:type="first" r:id="rId22"/>
      <w:type w:val="continuous"/>
      <w:pgSz w:w="11909" w:h="16834"/>
      <w:pgMar w:top="1418" w:right="720" w:bottom="1077" w:left="720" w:header="1021" w:footer="340" w:gutter="0"/>
      <w:cols w:space="708"/>
      <w:bidi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C179D6" w14:textId="77777777" w:rsidR="00423CB9" w:rsidRDefault="00423CB9" w:rsidP="0076013B">
      <w:r>
        <w:separator/>
      </w:r>
    </w:p>
  </w:endnote>
  <w:endnote w:type="continuationSeparator" w:id="0">
    <w:p w14:paraId="77311C28" w14:textId="77777777" w:rsidR="00423CB9" w:rsidRDefault="00423CB9" w:rsidP="007601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6AE02AC" w14:textId="77777777" w:rsidR="00423CB9" w:rsidRDefault="00423CB9" w:rsidP="0076013B">
      <w:r>
        <w:separator/>
      </w:r>
    </w:p>
  </w:footnote>
  <w:footnote w:type="continuationSeparator" w:id="0">
    <w:p w14:paraId="39E95D95" w14:textId="77777777" w:rsidR="00423CB9" w:rsidRDefault="00423CB9" w:rsidP="007601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488947" w14:textId="252256EE" w:rsidR="00A04F35" w:rsidRPr="00A04F35" w:rsidRDefault="00A04F35" w:rsidP="00A04F35">
    <w:pPr>
      <w:tabs>
        <w:tab w:val="right" w:pos="10466"/>
      </w:tabs>
      <w:adjustRightInd w:val="0"/>
      <w:snapToGrid w:val="0"/>
      <w:rPr>
        <w:sz w:val="16"/>
      </w:rPr>
    </w:pPr>
    <w:r>
      <w:rPr>
        <w:i/>
        <w:sz w:val="16"/>
      </w:rPr>
      <w:t xml:space="preserve">Cancers </w:t>
    </w:r>
    <w:r w:rsidRPr="001059C9">
      <w:rPr>
        <w:b/>
        <w:sz w:val="16"/>
      </w:rPr>
      <w:t>2021</w:t>
    </w:r>
    <w:r w:rsidRPr="00F71A8C">
      <w:rPr>
        <w:sz w:val="16"/>
      </w:rPr>
      <w:t xml:space="preserve">, </w:t>
    </w:r>
    <w:r w:rsidRPr="001059C9">
      <w:rPr>
        <w:i/>
        <w:sz w:val="16"/>
      </w:rPr>
      <w:t>13</w:t>
    </w:r>
    <w:r>
      <w:rPr>
        <w:sz w:val="16"/>
      </w:rPr>
      <w:tab/>
    </w:r>
    <w:r>
      <w:rPr>
        <w:sz w:val="16"/>
      </w:rPr>
      <w:t>S</w:t>
    </w:r>
    <w:r>
      <w:rPr>
        <w:sz w:val="16"/>
      </w:rPr>
      <w:fldChar w:fldCharType="begin"/>
    </w:r>
    <w:r>
      <w:rPr>
        <w:sz w:val="16"/>
      </w:rPr>
      <w:instrText xml:space="preserve"> PAGE   \* MERGEFORMAT </w:instrText>
    </w:r>
    <w:r>
      <w:rPr>
        <w:sz w:val="16"/>
      </w:rPr>
      <w:fldChar w:fldCharType="separate"/>
    </w:r>
    <w:r>
      <w:rPr>
        <w:sz w:val="16"/>
      </w:rPr>
      <w:t>2</w:t>
    </w:r>
    <w:r>
      <w:rPr>
        <w:sz w:val="16"/>
      </w:rPr>
      <w:fldChar w:fldCharType="end"/>
    </w:r>
    <w:r>
      <w:rPr>
        <w:sz w:val="16"/>
      </w:rPr>
      <w:t xml:space="preserve"> of </w:t>
    </w:r>
    <w:r>
      <w:rPr>
        <w:sz w:val="16"/>
      </w:rPr>
      <w:t>S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>
      <w:rPr>
        <w:sz w:val="16"/>
      </w:rPr>
      <w:t>6</w:t>
    </w:r>
    <w:r>
      <w:rPr>
        <w:sz w:val="16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E83663" w14:textId="037E6731" w:rsidR="00A04F35" w:rsidRDefault="00A04F35" w:rsidP="00A04F35">
    <w:pPr>
      <w:tabs>
        <w:tab w:val="right" w:pos="10466"/>
      </w:tabs>
      <w:adjustRightInd w:val="0"/>
      <w:snapToGrid w:val="0"/>
      <w:rPr>
        <w:sz w:val="16"/>
      </w:rPr>
    </w:pPr>
    <w:r>
      <w:rPr>
        <w:i/>
        <w:sz w:val="16"/>
      </w:rPr>
      <w:t xml:space="preserve">Cancers </w:t>
    </w:r>
    <w:r w:rsidRPr="001059C9">
      <w:rPr>
        <w:b/>
        <w:sz w:val="16"/>
      </w:rPr>
      <w:t>2021</w:t>
    </w:r>
    <w:r w:rsidRPr="00F71A8C">
      <w:rPr>
        <w:sz w:val="16"/>
      </w:rPr>
      <w:t xml:space="preserve">, </w:t>
    </w:r>
    <w:r w:rsidRPr="001059C9">
      <w:rPr>
        <w:i/>
        <w:sz w:val="16"/>
      </w:rPr>
      <w:t>13</w:t>
    </w:r>
    <w:r>
      <w:rPr>
        <w:sz w:val="16"/>
      </w:rPr>
      <w:tab/>
    </w:r>
    <w:r>
      <w:rPr>
        <w:sz w:val="16"/>
      </w:rPr>
      <w:t>S</w:t>
    </w:r>
    <w:r>
      <w:rPr>
        <w:sz w:val="16"/>
      </w:rPr>
      <w:fldChar w:fldCharType="begin"/>
    </w:r>
    <w:r>
      <w:rPr>
        <w:sz w:val="16"/>
      </w:rPr>
      <w:instrText xml:space="preserve"> PAGE   \* MERGEFORMAT </w:instrText>
    </w:r>
    <w:r>
      <w:rPr>
        <w:sz w:val="16"/>
      </w:rPr>
      <w:fldChar w:fldCharType="separate"/>
    </w:r>
    <w:r>
      <w:rPr>
        <w:sz w:val="16"/>
      </w:rPr>
      <w:t>2</w:t>
    </w:r>
    <w:r>
      <w:rPr>
        <w:sz w:val="16"/>
      </w:rPr>
      <w:fldChar w:fldCharType="end"/>
    </w:r>
    <w:r>
      <w:rPr>
        <w:sz w:val="16"/>
      </w:rPr>
      <w:t xml:space="preserve"> of </w:t>
    </w:r>
    <w:r>
      <w:rPr>
        <w:sz w:val="16"/>
      </w:rPr>
      <w:t>S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>
      <w:rPr>
        <w:sz w:val="16"/>
      </w:rPr>
      <w:t>6</w:t>
    </w:r>
    <w:r>
      <w:rPr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1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510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5EE2"/>
    <w:rsid w:val="00030B67"/>
    <w:rsid w:val="000B5EE2"/>
    <w:rsid w:val="000C195D"/>
    <w:rsid w:val="000D2859"/>
    <w:rsid w:val="000D6DD5"/>
    <w:rsid w:val="001C24C9"/>
    <w:rsid w:val="00256DFC"/>
    <w:rsid w:val="00330044"/>
    <w:rsid w:val="0035044A"/>
    <w:rsid w:val="004100A0"/>
    <w:rsid w:val="00423CB9"/>
    <w:rsid w:val="004815FF"/>
    <w:rsid w:val="00485AAC"/>
    <w:rsid w:val="004C52A3"/>
    <w:rsid w:val="004E6060"/>
    <w:rsid w:val="00506EBD"/>
    <w:rsid w:val="0051331D"/>
    <w:rsid w:val="00584747"/>
    <w:rsid w:val="005B058C"/>
    <w:rsid w:val="00691D9E"/>
    <w:rsid w:val="006A4654"/>
    <w:rsid w:val="006C229E"/>
    <w:rsid w:val="006C35FF"/>
    <w:rsid w:val="007000B5"/>
    <w:rsid w:val="0076013B"/>
    <w:rsid w:val="00815290"/>
    <w:rsid w:val="00975F3F"/>
    <w:rsid w:val="00A04F35"/>
    <w:rsid w:val="00A32BCF"/>
    <w:rsid w:val="00A71CF1"/>
    <w:rsid w:val="00B7394A"/>
    <w:rsid w:val="00B97350"/>
    <w:rsid w:val="00BD600A"/>
    <w:rsid w:val="00C73BCC"/>
    <w:rsid w:val="00D34938"/>
    <w:rsid w:val="00D473B2"/>
    <w:rsid w:val="00E83C43"/>
    <w:rsid w:val="00EF1723"/>
    <w:rsid w:val="00F319AD"/>
    <w:rsid w:val="00F82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B7D178"/>
  <w15:chartTrackingRefBased/>
  <w15:docId w15:val="{9642D153-DC2E-4644-B964-F46E0AFF9D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宋体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C229E"/>
    <w:pPr>
      <w:spacing w:after="0" w:line="240" w:lineRule="auto"/>
    </w:pPr>
    <w:rPr>
      <w:rFonts w:asciiTheme="majorHAnsi" w:hAnsiTheme="majorHAns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6013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6013B"/>
    <w:rPr>
      <w:rFonts w:asciiTheme="majorHAnsi" w:hAnsiTheme="majorHAnsi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6013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6013B"/>
    <w:rPr>
      <w:rFonts w:asciiTheme="majorHAnsi" w:hAnsiTheme="majorHAnsi"/>
      <w:sz w:val="24"/>
      <w:szCs w:val="24"/>
    </w:rPr>
  </w:style>
  <w:style w:type="paragraph" w:customStyle="1" w:styleId="MDPI11articletype">
    <w:name w:val="MDPI_1.1_article_type"/>
    <w:next w:val="Normal"/>
    <w:qFormat/>
    <w:rsid w:val="0076013B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76013B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76013B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76013B"/>
    <w:pPr>
      <w:adjustRightInd w:val="0"/>
      <w:snapToGrid w:val="0"/>
      <w:spacing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0"/>
      <w:lang w:eastAsia="de-DE" w:bidi="en-US"/>
    </w:rPr>
  </w:style>
  <w:style w:type="paragraph" w:customStyle="1" w:styleId="MDPI15academiceditor">
    <w:name w:val="MDPI_1.5_academic_editor"/>
    <w:qFormat/>
    <w:rsid w:val="0076013B"/>
    <w:pPr>
      <w:adjustRightInd w:val="0"/>
      <w:snapToGrid w:val="0"/>
      <w:spacing w:before="240"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lang w:eastAsia="de-DE" w:bidi="en-US"/>
    </w:rPr>
  </w:style>
  <w:style w:type="paragraph" w:customStyle="1" w:styleId="MDPI16affiliation">
    <w:name w:val="MDPI_1.6_affiliation"/>
    <w:qFormat/>
    <w:rsid w:val="0076013B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76013B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color w:val="000000"/>
      <w:sz w:val="18"/>
      <w:lang w:eastAsia="de-DE" w:bidi="en-US"/>
    </w:rPr>
  </w:style>
  <w:style w:type="paragraph" w:customStyle="1" w:styleId="MDPI18keywords">
    <w:name w:val="MDPI_1.8_keywords"/>
    <w:next w:val="Normal"/>
    <w:qFormat/>
    <w:rsid w:val="0076013B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lang w:eastAsia="de-DE" w:bidi="en-US"/>
    </w:rPr>
  </w:style>
  <w:style w:type="paragraph" w:customStyle="1" w:styleId="MDPI19classification">
    <w:name w:val="MDPI_1.9_classification"/>
    <w:qFormat/>
    <w:rsid w:val="0076013B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9line">
    <w:name w:val="MDPI_1.9_line"/>
    <w:qFormat/>
    <w:rsid w:val="0076013B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76013B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eastAsia="de-DE" w:bidi="en-US"/>
    </w:rPr>
  </w:style>
  <w:style w:type="paragraph" w:customStyle="1" w:styleId="MDPI22heading2">
    <w:name w:val="MDPI_2.2_heading2"/>
    <w:qFormat/>
    <w:rsid w:val="0076013B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eastAsia="de-DE" w:bidi="en-US"/>
    </w:rPr>
  </w:style>
  <w:style w:type="paragraph" w:customStyle="1" w:styleId="MDPI23heading3">
    <w:name w:val="MDPI_2.3_heading3"/>
    <w:qFormat/>
    <w:rsid w:val="0076013B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1text">
    <w:name w:val="MDPI_3.1_text"/>
    <w:qFormat/>
    <w:rsid w:val="0076013B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2textnoindent">
    <w:name w:val="MDPI_3.2_text_no_indent"/>
    <w:basedOn w:val="MDPI31text"/>
    <w:qFormat/>
    <w:rsid w:val="0076013B"/>
    <w:pPr>
      <w:ind w:firstLine="0"/>
    </w:pPr>
  </w:style>
  <w:style w:type="paragraph" w:customStyle="1" w:styleId="MDPI33textspaceafter">
    <w:name w:val="MDPI_3.3_text_space_after"/>
    <w:qFormat/>
    <w:rsid w:val="0076013B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4textspacebefore">
    <w:name w:val="MDPI_3.4_text_space_before"/>
    <w:qFormat/>
    <w:rsid w:val="0076013B"/>
    <w:pPr>
      <w:adjustRightInd w:val="0"/>
      <w:snapToGrid w:val="0"/>
      <w:spacing w:before="24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5textbeforelist">
    <w:name w:val="MDPI_3.5_text_before_list"/>
    <w:qFormat/>
    <w:rsid w:val="0076013B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6textafterlist">
    <w:name w:val="MDPI_3.6_text_after_list"/>
    <w:qFormat/>
    <w:rsid w:val="0076013B"/>
    <w:pPr>
      <w:adjustRightInd w:val="0"/>
      <w:snapToGrid w:val="0"/>
      <w:spacing w:before="12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7itemize">
    <w:name w:val="MDPI_3.7_itemize"/>
    <w:qFormat/>
    <w:rsid w:val="0076013B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color w:val="000000"/>
      <w:sz w:val="20"/>
      <w:lang w:eastAsia="de-DE" w:bidi="en-US"/>
    </w:rPr>
  </w:style>
  <w:style w:type="paragraph" w:customStyle="1" w:styleId="MDPI38bullet">
    <w:name w:val="MDPI_3.8_bullet"/>
    <w:qFormat/>
    <w:rsid w:val="0076013B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color w:val="000000"/>
      <w:sz w:val="20"/>
      <w:lang w:eastAsia="de-DE" w:bidi="en-US"/>
    </w:rPr>
  </w:style>
  <w:style w:type="paragraph" w:customStyle="1" w:styleId="MDPI39equation">
    <w:name w:val="MDPI_3.9_equation"/>
    <w:qFormat/>
    <w:rsid w:val="0076013B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aequationnumber">
    <w:name w:val="MDPI_3.a_equation_number"/>
    <w:qFormat/>
    <w:rsid w:val="0076013B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411onetablecaption">
    <w:name w:val="MDPI_4.1.1_one_table_caption"/>
    <w:qFormat/>
    <w:rsid w:val="0076013B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eastAsia="zh-CN" w:bidi="en-US"/>
    </w:rPr>
  </w:style>
  <w:style w:type="paragraph" w:customStyle="1" w:styleId="MDPI41tablecaption">
    <w:name w:val="MDPI_4.1_table_caption"/>
    <w:qFormat/>
    <w:rsid w:val="0076013B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6013B"/>
    <w:pPr>
      <w:adjustRightInd w:val="0"/>
      <w:snapToGrid w:val="0"/>
      <w:spacing w:after="0" w:line="240" w:lineRule="auto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2tablebody">
    <w:name w:val="MDPI_4.2_table_body"/>
    <w:qFormat/>
    <w:rsid w:val="0076013B"/>
    <w:pPr>
      <w:adjustRightInd w:val="0"/>
      <w:snapToGrid w:val="0"/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43tablefooter">
    <w:name w:val="MDPI_4.3_table_footer"/>
    <w:next w:val="MDPI31text"/>
    <w:qFormat/>
    <w:rsid w:val="0076013B"/>
    <w:pPr>
      <w:adjustRightInd w:val="0"/>
      <w:snapToGrid w:val="0"/>
      <w:spacing w:after="240" w:line="228" w:lineRule="auto"/>
      <w:ind w:left="2608"/>
    </w:pPr>
    <w:rPr>
      <w:rFonts w:ascii="Palatino Linotype" w:eastAsia="Times New Roman" w:hAnsi="Palatino Linotype" w:cs="Cordia New"/>
      <w:color w:val="000000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76013B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color w:val="000000"/>
      <w:sz w:val="18"/>
      <w:szCs w:val="20"/>
      <w:lang w:eastAsia="zh-CN" w:bidi="en-US"/>
    </w:rPr>
  </w:style>
  <w:style w:type="paragraph" w:customStyle="1" w:styleId="MDPI51figurecaption">
    <w:name w:val="MDPI_5.1_figure_caption"/>
    <w:qFormat/>
    <w:rsid w:val="0076013B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76013B"/>
    <w:pPr>
      <w:adjustRightInd w:val="0"/>
      <w:snapToGrid w:val="0"/>
      <w:spacing w:before="24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61Citation">
    <w:name w:val="MDPI_6.1_Citation"/>
    <w:qFormat/>
    <w:rsid w:val="0076013B"/>
    <w:pPr>
      <w:adjustRightInd w:val="0"/>
      <w:snapToGrid w:val="0"/>
      <w:spacing w:after="0" w:line="240" w:lineRule="atLeast"/>
      <w:ind w:right="113"/>
    </w:pPr>
    <w:rPr>
      <w:rFonts w:ascii="Palatino Linotype" w:eastAsiaTheme="minorEastAsia" w:hAnsi="Palatino Linotype"/>
      <w:sz w:val="14"/>
      <w:lang w:eastAsia="zh-CN"/>
    </w:rPr>
  </w:style>
  <w:style w:type="paragraph" w:customStyle="1" w:styleId="MDPI61Supplementary">
    <w:name w:val="MDPI_6.1_Supplementary"/>
    <w:basedOn w:val="Normal"/>
    <w:qFormat/>
    <w:rsid w:val="0076013B"/>
    <w:pPr>
      <w:adjustRightInd w:val="0"/>
      <w:snapToGrid w:val="0"/>
      <w:spacing w:before="24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bidi="en-US"/>
    </w:rPr>
  </w:style>
  <w:style w:type="paragraph" w:customStyle="1" w:styleId="MDPI62Acknowledgments">
    <w:name w:val="MDPI_6.2_Acknowledgments"/>
    <w:qFormat/>
    <w:rsid w:val="0076013B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62BackMatter">
    <w:name w:val="MDPI_6.2_BackMatter"/>
    <w:qFormat/>
    <w:rsid w:val="0076013B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bidi="en-US"/>
    </w:rPr>
  </w:style>
  <w:style w:type="paragraph" w:customStyle="1" w:styleId="MDPI63AuthorContributions">
    <w:name w:val="MDPI_6.3_AuthorContributions"/>
    <w:basedOn w:val="MDPI62Acknowledgments"/>
    <w:qFormat/>
    <w:rsid w:val="0076013B"/>
    <w:rPr>
      <w:rFonts w:eastAsia="宋体"/>
      <w:color w:val="auto"/>
      <w:lang w:eastAsia="en-US"/>
    </w:rPr>
  </w:style>
  <w:style w:type="paragraph" w:customStyle="1" w:styleId="MDPI63Notes">
    <w:name w:val="MDPI_6.3_Notes"/>
    <w:qFormat/>
    <w:rsid w:val="0076013B"/>
    <w:pPr>
      <w:adjustRightInd w:val="0"/>
      <w:snapToGrid w:val="0"/>
      <w:spacing w:after="120" w:line="240" w:lineRule="atLeast"/>
      <w:ind w:right="113"/>
    </w:pPr>
    <w:rPr>
      <w:rFonts w:ascii="Palatino Linotype" w:hAnsi="Palatino Linotype" w:cs="Times New Roman"/>
      <w:snapToGrid w:val="0"/>
      <w:color w:val="000000" w:themeColor="text1"/>
      <w:sz w:val="14"/>
      <w:szCs w:val="20"/>
      <w:lang w:bidi="en-US"/>
    </w:rPr>
  </w:style>
  <w:style w:type="paragraph" w:customStyle="1" w:styleId="MDPI64CoI">
    <w:name w:val="MDPI_6.4_CoI"/>
    <w:basedOn w:val="MDPI62Acknowledgments"/>
    <w:qFormat/>
    <w:rsid w:val="0076013B"/>
  </w:style>
  <w:style w:type="paragraph" w:customStyle="1" w:styleId="MDPI71References">
    <w:name w:val="MDPI_7.1_References"/>
    <w:qFormat/>
    <w:rsid w:val="0076013B"/>
    <w:pPr>
      <w:adjustRightInd w:val="0"/>
      <w:snapToGrid w:val="0"/>
      <w:spacing w:after="0" w:line="228" w:lineRule="auto"/>
      <w:ind w:left="425" w:hanging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76013B"/>
    <w:pPr>
      <w:adjustRightInd w:val="0"/>
      <w:snapToGrid w:val="0"/>
      <w:spacing w:before="240" w:after="0" w:line="240" w:lineRule="atLeast"/>
      <w:ind w:right="113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4"/>
      <w:szCs w:val="20"/>
      <w:lang w:val="en-GB" w:eastAsia="en-GB"/>
    </w:rPr>
  </w:style>
  <w:style w:type="paragraph" w:customStyle="1" w:styleId="MDPI73CopyrightImage">
    <w:name w:val="MDPI_7.3_CopyrightImage"/>
    <w:rsid w:val="0076013B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eastAsia="de-CH"/>
    </w:rPr>
  </w:style>
  <w:style w:type="paragraph" w:customStyle="1" w:styleId="MDPI74PublishersNote">
    <w:name w:val="MDPI_7.4_Publisher'sNote"/>
    <w:qFormat/>
    <w:rsid w:val="0076013B"/>
    <w:pPr>
      <w:adjustRightInd w:val="0"/>
      <w:snapToGrid w:val="0"/>
      <w:spacing w:before="240" w:after="240" w:line="200" w:lineRule="atLeast"/>
    </w:pPr>
    <w:rPr>
      <w:rFonts w:ascii="Palatino Linotype" w:hAnsi="Palatino Linotype" w:cs="Times New Roman"/>
      <w:sz w:val="18"/>
      <w:lang w:eastAsia="zh-CN"/>
    </w:rPr>
  </w:style>
  <w:style w:type="paragraph" w:customStyle="1" w:styleId="MDPI81theorem">
    <w:name w:val="MDPI_8.1_theorem"/>
    <w:qFormat/>
    <w:rsid w:val="0076013B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82proof">
    <w:name w:val="MDPI_8.2_proof"/>
    <w:qFormat/>
    <w:rsid w:val="0076013B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equationFram">
    <w:name w:val="MDPI_equationFram"/>
    <w:qFormat/>
    <w:rsid w:val="0076013B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footer">
    <w:name w:val="MDPI_footer"/>
    <w:qFormat/>
    <w:rsid w:val="0076013B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76013B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eastAsia="de-DE"/>
    </w:rPr>
  </w:style>
  <w:style w:type="paragraph" w:customStyle="1" w:styleId="MDPIheader">
    <w:name w:val="MDPI_header"/>
    <w:qFormat/>
    <w:rsid w:val="0076013B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eastAsia="de-DE"/>
    </w:rPr>
  </w:style>
  <w:style w:type="paragraph" w:customStyle="1" w:styleId="MDPIheadercitation">
    <w:name w:val="MDPI_header_citation"/>
    <w:rsid w:val="0076013B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headerjournallogo">
    <w:name w:val="MDPI_header_journal_logo"/>
    <w:qFormat/>
    <w:rsid w:val="0076013B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eastAsia="de-CH"/>
    </w:rPr>
  </w:style>
  <w:style w:type="paragraph" w:customStyle="1" w:styleId="MDPIheadermdpilogo">
    <w:name w:val="MDPI_header_mdpi_logo"/>
    <w:qFormat/>
    <w:rsid w:val="0076013B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eastAsia="de-CH"/>
    </w:rPr>
  </w:style>
  <w:style w:type="table" w:customStyle="1" w:styleId="MDPITable">
    <w:name w:val="MDPI_Table"/>
    <w:basedOn w:val="TableNormal"/>
    <w:uiPriority w:val="99"/>
    <w:rsid w:val="0076013B"/>
    <w:pPr>
      <w:spacing w:after="0" w:line="240" w:lineRule="auto"/>
    </w:pPr>
    <w:rPr>
      <w:rFonts w:ascii="Palatino Linotype" w:hAnsi="Palatino Linotype" w:cs="Times New Roman"/>
      <w:color w:val="000000" w:themeColor="text1"/>
      <w:sz w:val="20"/>
      <w:szCs w:val="20"/>
      <w:lang w:val="en-CA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76013B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eastAsia="de-DE" w:bidi="en-US"/>
    </w:rPr>
  </w:style>
  <w:style w:type="paragraph" w:customStyle="1" w:styleId="MDPItitle">
    <w:name w:val="MDPI_title"/>
    <w:qFormat/>
    <w:rsid w:val="0076013B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76013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6013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6013B"/>
    <w:rPr>
      <w:rFonts w:asciiTheme="majorHAnsi" w:hAnsiTheme="maj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013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6013B"/>
    <w:rPr>
      <w:rFonts w:asciiTheme="majorHAnsi" w:hAnsiTheme="majorHAnsi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6013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013B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A04F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rsid w:val="00A04F3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11</Pages>
  <Words>846</Words>
  <Characters>5031</Characters>
  <Application>Microsoft Office Word</Application>
  <DocSecurity>0</DocSecurity>
  <Lines>88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_x000d_</dc:title>
  <dc:subject/>
  <dc:creator>MDPI</dc:creator>
  <cp:keywords/>
  <dc:description/>
  <cp:lastModifiedBy>MDPI</cp:lastModifiedBy>
  <cp:revision>28</cp:revision>
  <dcterms:created xsi:type="dcterms:W3CDTF">2020-11-27T19:28:00Z</dcterms:created>
  <dcterms:modified xsi:type="dcterms:W3CDTF">2020-12-26T02:02:00Z</dcterms:modified>
</cp:coreProperties>
</file>