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27EEE6" w14:textId="77777777" w:rsidR="00654E8F" w:rsidRPr="001549D3" w:rsidRDefault="00654E8F" w:rsidP="0001436A">
      <w:pPr>
        <w:pStyle w:val="SupplementaryMaterial"/>
        <w:rPr>
          <w:b w:val="0"/>
        </w:rPr>
      </w:pPr>
      <w:r w:rsidRPr="001549D3">
        <w:t>Supplementary Material</w:t>
      </w:r>
    </w:p>
    <w:p w14:paraId="4D059444" w14:textId="29832636" w:rsidR="00994A3D" w:rsidRDefault="00654E8F" w:rsidP="0001436A">
      <w:pPr>
        <w:pStyle w:val="berschrift1"/>
      </w:pPr>
      <w:r w:rsidRPr="00994A3D">
        <w:t>Supplementary Figures and Tables</w:t>
      </w:r>
    </w:p>
    <w:p w14:paraId="275DA888" w14:textId="0B351D95" w:rsidR="00723A66" w:rsidRPr="00723A66" w:rsidRDefault="00723A66" w:rsidP="00723A66">
      <w:r>
        <w:t>Supplementary tables can</w:t>
      </w:r>
      <w:r w:rsidR="00A740E2">
        <w:t xml:space="preserve"> be</w:t>
      </w:r>
      <w:bookmarkStart w:id="0" w:name="_GoBack"/>
      <w:bookmarkEnd w:id="0"/>
      <w:r>
        <w:t xml:space="preserve"> found as Excel sheets under the following names:</w:t>
      </w:r>
    </w:p>
    <w:p w14:paraId="2B998F1E" w14:textId="77777777" w:rsidR="00851229" w:rsidRDefault="00851229" w:rsidP="00851229">
      <w:pPr>
        <w:spacing w:line="360" w:lineRule="auto"/>
        <w:jc w:val="both"/>
      </w:pPr>
      <w:r w:rsidRPr="00A0576C">
        <w:rPr>
          <w:b/>
        </w:rPr>
        <w:t>Supplementary Table 1</w:t>
      </w:r>
      <w:r>
        <w:t xml:space="preserve">: </w:t>
      </w:r>
      <w:r w:rsidRPr="00A0576C">
        <w:t xml:space="preserve">Raw data of CD154+CD137+CD4+ </w:t>
      </w:r>
      <w:r>
        <w:t>and CD137+ CD8+ T cell frequencies</w:t>
      </w:r>
    </w:p>
    <w:p w14:paraId="3D1444B2" w14:textId="77777777" w:rsidR="00851229" w:rsidRPr="00A0576C" w:rsidRDefault="00851229" w:rsidP="00851229">
      <w:pPr>
        <w:spacing w:line="360" w:lineRule="auto"/>
        <w:jc w:val="both"/>
        <w:rPr>
          <w:rFonts w:ascii="Calibri" w:eastAsia="Times New Roman" w:hAnsi="Calibri" w:cs="Calibri"/>
          <w:b/>
          <w:bCs/>
          <w:sz w:val="28"/>
          <w:szCs w:val="28"/>
        </w:rPr>
      </w:pPr>
      <w:r w:rsidRPr="00A0576C">
        <w:rPr>
          <w:b/>
        </w:rPr>
        <w:t>Supplementary Table 2:</w:t>
      </w:r>
      <w:r>
        <w:t xml:space="preserve"> </w:t>
      </w:r>
      <w:r w:rsidRPr="00A0576C">
        <w:t>Summary of C</w:t>
      </w:r>
      <w:r>
        <w:t xml:space="preserve">D154+CD137+CD4+ and CD137+CD8+ </w:t>
      </w:r>
      <w:r w:rsidRPr="00A0576C">
        <w:t>T cell frequencies in</w:t>
      </w:r>
      <w:r>
        <w:t xml:space="preserve"> CVID,</w:t>
      </w:r>
      <w:r w:rsidRPr="00A0576C">
        <w:t xml:space="preserve"> post COVID-19 </w:t>
      </w:r>
      <w:r>
        <w:t xml:space="preserve">and unexposed </w:t>
      </w:r>
      <w:r w:rsidRPr="00A0576C">
        <w:t>HC</w:t>
      </w:r>
    </w:p>
    <w:p w14:paraId="63D7C2B0" w14:textId="7E09A43D" w:rsidR="00994A3D" w:rsidRDefault="00994A3D" w:rsidP="0001436A">
      <w:pPr>
        <w:pStyle w:val="berschrift2"/>
      </w:pPr>
      <w:r w:rsidRPr="0001436A">
        <w:t>Supplementary</w:t>
      </w:r>
      <w:r w:rsidRPr="001549D3">
        <w:t xml:space="preserve"> Figures</w:t>
      </w:r>
    </w:p>
    <w:p w14:paraId="52EEB178" w14:textId="70AD6C73" w:rsidR="003862E9" w:rsidRPr="00B102C8" w:rsidRDefault="008D4234" w:rsidP="003862E9">
      <w:pPr>
        <w:spacing w:after="0"/>
      </w:pPr>
      <w:r>
        <w:rPr>
          <w:noProof/>
          <w:lang w:val="de-DE" w:eastAsia="de-DE"/>
        </w:rPr>
        <w:drawing>
          <wp:inline distT="0" distB="0" distL="0" distR="0" wp14:anchorId="48266120" wp14:editId="40AD3520">
            <wp:extent cx="3304750" cy="2648310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upplementary Figure 1_SARS-COV-2 IgG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2046" cy="2654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E7D955" w14:textId="63F7716C" w:rsidR="003862E9" w:rsidRDefault="003862E9" w:rsidP="003862E9">
      <w:pPr>
        <w:pStyle w:val="Default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bookmarkStart w:id="1" w:name="OLE_LINK2"/>
      <w:r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Supplementary Figure 1:</w:t>
      </w:r>
      <w:bookmarkEnd w:id="1"/>
      <w:r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 xml:space="preserve"> Anti SARS-CoV-2 ELISA (IgG) of CVID patients, unexposed HC and post COVID-19 HC. </w:t>
      </w:r>
      <w:r w:rsidRP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Serum IgG against the N-terminal domain of the spike protein including the immunologically relevant receptor binding domain (RBD) of SARS-CoV-2 analyzed by EUROIMMUN </w:t>
      </w:r>
      <w:r w:rsidRPr="00B102C8">
        <w:rPr>
          <w:rFonts w:ascii="Times New Roman" w:hAnsi="Times New Roman" w:cs="Times New Roman"/>
          <w:sz w:val="20"/>
          <w:szCs w:val="20"/>
          <w:lang w:val="en-US"/>
        </w:rPr>
        <w:t xml:space="preserve">Anti-SARS-CoV-2 ELISA (IgG). </w:t>
      </w:r>
      <w:r w:rsidR="00412408" w:rsidRPr="00B102C8">
        <w:rPr>
          <w:rFonts w:ascii="Times New Roman" w:hAnsi="Times New Roman" w:cs="Times New Roman"/>
          <w:sz w:val="20"/>
          <w:szCs w:val="20"/>
          <w:lang w:val="en-US"/>
        </w:rPr>
        <w:t xml:space="preserve">All CVID patients and unexposed HC are negative for anti-SARS-CoV-2 IgG. </w:t>
      </w:r>
      <w:r w:rsidRPr="00B102C8">
        <w:rPr>
          <w:rFonts w:ascii="Times New Roman" w:hAnsi="Times New Roman" w:cs="Times New Roman"/>
          <w:sz w:val="20"/>
          <w:szCs w:val="20"/>
          <w:lang w:val="en-US"/>
        </w:rPr>
        <w:t xml:space="preserve">Results are evaluated by calculating a ratio of the OD of the control or patient sample over the OD of the calibrator. A ratio of &lt;0.8 is negative, ratio ≥ </w:t>
      </w:r>
      <w:r w:rsidR="00412408" w:rsidRPr="00B102C8">
        <w:rPr>
          <w:rFonts w:ascii="Times New Roman" w:hAnsi="Times New Roman" w:cs="Times New Roman"/>
          <w:sz w:val="20"/>
          <w:szCs w:val="20"/>
          <w:lang w:val="en-US"/>
        </w:rPr>
        <w:t xml:space="preserve">0.8 to &lt;1.1 is borderline, ratio ≥1.1 is positive (dotted line). </w:t>
      </w:r>
      <w:r w:rsidR="005553AA" w:rsidRPr="005553AA">
        <w:rPr>
          <w:rFonts w:ascii="Times New Roman" w:hAnsi="Times New Roman" w:cs="Times New Roman"/>
          <w:sz w:val="20"/>
          <w:szCs w:val="20"/>
          <w:lang w:val="en-US"/>
        </w:rPr>
        <w:t>Median and interquartile range (IQR) are indicated.</w:t>
      </w:r>
      <w:r w:rsidR="005553AA" w:rsidRPr="00314164">
        <w:rPr>
          <w:lang w:val="en-US"/>
        </w:rPr>
        <w:t xml:space="preserve"> </w:t>
      </w:r>
      <w:r w:rsidR="005553AA" w:rsidRPr="005553AA">
        <w:rPr>
          <w:rFonts w:ascii="Times New Roman" w:hAnsi="Times New Roman" w:cs="Times New Roman"/>
          <w:sz w:val="20"/>
          <w:szCs w:val="20"/>
          <w:lang w:val="en-US"/>
        </w:rPr>
        <w:t>Statistical analysis was performed by non-parametric two-tailed Mann–Whitney-U test for comparison of control and patient groups. A p-value ≤ 0.05 was considered as statistically significant. p ≤ 0.05 = *; p ≤ 0.005 = **</w:t>
      </w:r>
      <w:r w:rsidR="005553AA">
        <w:rPr>
          <w:rFonts w:ascii="Times New Roman" w:hAnsi="Times New Roman" w:cs="Times New Roman"/>
          <w:sz w:val="20"/>
          <w:szCs w:val="20"/>
          <w:lang w:val="en-US"/>
        </w:rPr>
        <w:t xml:space="preserve">; </w:t>
      </w:r>
      <w:r w:rsidR="005553AA" w:rsidRPr="005553AA">
        <w:rPr>
          <w:rFonts w:ascii="Times New Roman" w:hAnsi="Times New Roman" w:cs="Times New Roman"/>
          <w:sz w:val="20"/>
          <w:szCs w:val="20"/>
          <w:lang w:val="en-US"/>
        </w:rPr>
        <w:t>p ≤ 0.0</w:t>
      </w:r>
      <w:r w:rsidR="005553AA">
        <w:rPr>
          <w:rFonts w:ascii="Times New Roman" w:hAnsi="Times New Roman" w:cs="Times New Roman"/>
          <w:sz w:val="20"/>
          <w:szCs w:val="20"/>
          <w:lang w:val="en-US"/>
        </w:rPr>
        <w:t>0</w:t>
      </w:r>
      <w:r w:rsidR="005553AA" w:rsidRPr="005553AA">
        <w:rPr>
          <w:rFonts w:ascii="Times New Roman" w:hAnsi="Times New Roman" w:cs="Times New Roman"/>
          <w:sz w:val="20"/>
          <w:szCs w:val="20"/>
          <w:lang w:val="en-US"/>
        </w:rPr>
        <w:t>05 = **</w:t>
      </w:r>
      <w:r w:rsidR="005553AA">
        <w:rPr>
          <w:rFonts w:ascii="Times New Roman" w:hAnsi="Times New Roman" w:cs="Times New Roman"/>
          <w:sz w:val="20"/>
          <w:szCs w:val="20"/>
          <w:lang w:val="en-US"/>
        </w:rPr>
        <w:t>*;</w:t>
      </w:r>
      <w:r w:rsidR="005553AA" w:rsidRPr="005553AA">
        <w:rPr>
          <w:rFonts w:ascii="Times New Roman" w:hAnsi="Times New Roman" w:cs="Times New Roman"/>
          <w:sz w:val="20"/>
          <w:szCs w:val="20"/>
          <w:lang w:val="en-US"/>
        </w:rPr>
        <w:t xml:space="preserve"> </w:t>
      </w:r>
      <w:r w:rsidR="005553AA">
        <w:rPr>
          <w:rFonts w:ascii="Times New Roman" w:hAnsi="Times New Roman" w:cs="Times New Roman"/>
          <w:sz w:val="20"/>
          <w:szCs w:val="20"/>
          <w:lang w:val="en-US"/>
        </w:rPr>
        <w:t>p &lt;</w:t>
      </w:r>
      <w:r w:rsidR="005553AA" w:rsidRPr="005553AA">
        <w:rPr>
          <w:rFonts w:ascii="Times New Roman" w:hAnsi="Times New Roman" w:cs="Times New Roman"/>
          <w:sz w:val="20"/>
          <w:szCs w:val="20"/>
          <w:lang w:val="en-US"/>
        </w:rPr>
        <w:t xml:space="preserve"> 0.00</w:t>
      </w:r>
      <w:r w:rsidR="005553AA">
        <w:rPr>
          <w:rFonts w:ascii="Times New Roman" w:hAnsi="Times New Roman" w:cs="Times New Roman"/>
          <w:sz w:val="20"/>
          <w:szCs w:val="20"/>
          <w:lang w:val="en-US"/>
        </w:rPr>
        <w:t>01</w:t>
      </w:r>
      <w:r w:rsidR="005553AA" w:rsidRPr="005553AA">
        <w:rPr>
          <w:rFonts w:ascii="Times New Roman" w:hAnsi="Times New Roman" w:cs="Times New Roman"/>
          <w:sz w:val="20"/>
          <w:szCs w:val="20"/>
          <w:lang w:val="en-US"/>
        </w:rPr>
        <w:t xml:space="preserve"> = *</w:t>
      </w:r>
      <w:r w:rsidR="005553AA">
        <w:rPr>
          <w:rFonts w:ascii="Times New Roman" w:hAnsi="Times New Roman" w:cs="Times New Roman"/>
          <w:sz w:val="20"/>
          <w:szCs w:val="20"/>
          <w:lang w:val="en-US"/>
        </w:rPr>
        <w:t>**</w:t>
      </w:r>
      <w:r w:rsidR="005553AA" w:rsidRPr="005553AA">
        <w:rPr>
          <w:rFonts w:ascii="Times New Roman" w:hAnsi="Times New Roman" w:cs="Times New Roman"/>
          <w:sz w:val="20"/>
          <w:szCs w:val="20"/>
          <w:lang w:val="en-US"/>
        </w:rPr>
        <w:t>*</w:t>
      </w:r>
      <w:r w:rsidR="005553AA">
        <w:rPr>
          <w:rFonts w:ascii="Times New Roman" w:hAnsi="Times New Roman" w:cs="Times New Roman"/>
          <w:sz w:val="20"/>
          <w:szCs w:val="20"/>
          <w:lang w:val="en-US"/>
        </w:rPr>
        <w:t>.</w:t>
      </w:r>
    </w:p>
    <w:p w14:paraId="2328802C" w14:textId="39235BFD" w:rsidR="00CE7747" w:rsidRDefault="00697EBC" w:rsidP="00CE7747">
      <w:pPr>
        <w:pStyle w:val="Default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hAnsi="Times New Roman" w:cs="Times New Roman"/>
          <w:noProof/>
          <w:sz w:val="20"/>
          <w:szCs w:val="20"/>
          <w:lang w:eastAsia="de-DE"/>
        </w:rPr>
        <w:lastRenderedPageBreak/>
        <w:drawing>
          <wp:inline distT="0" distB="0" distL="0" distR="0" wp14:anchorId="1C8CD899" wp14:editId="6F1E15C6">
            <wp:extent cx="6208395" cy="4634865"/>
            <wp:effectExtent l="0" t="0" r="190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 Figure 3_Revised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463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9E10A" w14:textId="2DA53622" w:rsidR="00CE7747" w:rsidRPr="007E226D" w:rsidRDefault="00CE7747" w:rsidP="00CE7747">
      <w:pPr>
        <w:pStyle w:val="Default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Supplementary Figure 2</w:t>
      </w:r>
      <w:r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:</w:t>
      </w:r>
      <w:r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 xml:space="preserve"> T cell frequencies of CVID </w:t>
      </w:r>
      <w:r w:rsidR="00D05ADF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patients</w:t>
      </w:r>
      <w:r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 xml:space="preserve"> unexposed and post COVID-19 HCs. </w:t>
      </w:r>
      <w:r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Frequencies of CD3+. CD4+ and CD8+ T cell frequencies were analyzed by flow cytometry and calculated as percentage of single, living lymphocytes. CVID patients show higher frequencies of CD3+ </w:t>
      </w:r>
      <w:r w:rsidRPr="005553AA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(A)</w:t>
      </w:r>
      <w:r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 and CD8+ </w:t>
      </w:r>
      <w:r w:rsidRPr="005553AA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(C)</w:t>
      </w:r>
      <w:r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 T cells </w:t>
      </w:r>
      <w:r w:rsidRPr="005553AA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>compared to unexposed</w:t>
      </w:r>
      <w:r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 and post COVID-19 HC. No differences in CD4+ T cells was observed </w:t>
      </w:r>
      <w:r w:rsidRPr="005553AA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(B)</w:t>
      </w:r>
      <w:r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>.</w:t>
      </w:r>
      <w:r w:rsidRPr="008834C8">
        <w:rPr>
          <w:rFonts w:eastAsia="+mn-ea" w:cs="+mn-cs"/>
          <w:kern w:val="24"/>
          <w:sz w:val="20"/>
          <w:lang w:val="en-US" w:eastAsia="de-DE"/>
        </w:rPr>
        <w:t xml:space="preserve"> </w:t>
      </w:r>
      <w:r w:rsidRPr="005553AA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>Median and interquartile range (IQR) are indicated. Statistical analysis was performed by non-parametric two-tailed Mann–Whitney-U test for comparison of control and patient groups. A p-value ≤ 0.05 was considered as statistically significant. p ≤ 0.05 = *; p ≤ 0.005 = **</w:t>
      </w:r>
    </w:p>
    <w:p w14:paraId="26C71819" w14:textId="77777777" w:rsidR="00CE7747" w:rsidRPr="00B102C8" w:rsidRDefault="00CE7747" w:rsidP="003862E9">
      <w:pPr>
        <w:pStyle w:val="Default"/>
        <w:jc w:val="both"/>
        <w:rPr>
          <w:rFonts w:ascii="Times New Roman" w:hAnsi="Times New Roman" w:cs="Times New Roman"/>
          <w:sz w:val="20"/>
          <w:szCs w:val="20"/>
          <w:lang w:val="en-US"/>
        </w:rPr>
      </w:pPr>
    </w:p>
    <w:p w14:paraId="555B79F6" w14:textId="4235EA26" w:rsidR="00A852F7" w:rsidRPr="008D4234" w:rsidRDefault="008D4234" w:rsidP="00A852F7">
      <w:pPr>
        <w:pStyle w:val="Default"/>
        <w:jc w:val="both"/>
        <w:rPr>
          <w:rFonts w:ascii="Times New Roman" w:hAnsi="Times New Roman" w:cs="Times New Roman"/>
          <w:i/>
          <w:sz w:val="20"/>
          <w:szCs w:val="20"/>
          <w:lang w:val="en-US"/>
        </w:rPr>
      </w:pPr>
      <w:r>
        <w:rPr>
          <w:rFonts w:ascii="Times New Roman" w:hAnsi="Times New Roman" w:cs="Times New Roman"/>
          <w:i/>
          <w:noProof/>
          <w:sz w:val="20"/>
          <w:szCs w:val="20"/>
          <w:lang w:eastAsia="de-DE"/>
        </w:rPr>
        <w:lastRenderedPageBreak/>
        <w:drawing>
          <wp:inline distT="0" distB="0" distL="0" distR="0" wp14:anchorId="29649D88" wp14:editId="711981EB">
            <wp:extent cx="6208395" cy="5476240"/>
            <wp:effectExtent l="0" t="0" r="1905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upplementary Figure  2_age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547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5CAB5" w14:textId="51520BAE" w:rsidR="00B102C8" w:rsidRDefault="00A852F7" w:rsidP="003862E9">
      <w:pPr>
        <w:pStyle w:val="Default"/>
        <w:jc w:val="both"/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</w:pPr>
      <w:bookmarkStart w:id="2" w:name="OLE_LINK3"/>
      <w:r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 xml:space="preserve">Supplementary Figure </w:t>
      </w:r>
      <w:r w:rsidR="00CE7747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3</w:t>
      </w:r>
      <w:r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 xml:space="preserve">: </w:t>
      </w:r>
      <w:bookmarkEnd w:id="2"/>
      <w:r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 xml:space="preserve">Analysis of age </w:t>
      </w:r>
      <w:r w:rsidR="008834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distribution</w:t>
      </w:r>
      <w:r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 xml:space="preserve"> in SARS-CoV-2 pe</w:t>
      </w:r>
      <w:r w:rsid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p</w:t>
      </w:r>
      <w:r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tide responders and non-responders.</w:t>
      </w:r>
      <w:r w:rsidR="00B102C8"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 xml:space="preserve"> </w:t>
      </w:r>
      <w:r w:rsidR="00B102C8" w:rsidRP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The age of responders and non-responders to SARS-CoV-2 </w:t>
      </w:r>
      <w:r w:rsidR="008834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spike </w:t>
      </w:r>
      <w:r w:rsidR="00B102C8" w:rsidRP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peptides was analyzed for reactive CD4+ and CD8+ T cells in CVID </w:t>
      </w:r>
      <w:r w:rsidR="00B102C8"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(A)</w:t>
      </w:r>
      <w:r w:rsidR="00B102C8" w:rsidRP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, unexposed HC </w:t>
      </w:r>
      <w:r w:rsidR="00B102C8"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(B)</w:t>
      </w:r>
      <w:r w:rsidR="00B102C8" w:rsidRP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 and post COVID-19 HC </w:t>
      </w:r>
      <w:r w:rsidR="00B102C8" w:rsidRPr="00B102C8">
        <w:rPr>
          <w:rFonts w:ascii="Times New Roman" w:eastAsia="+mn-ea" w:hAnsi="Times New Roman" w:cs="Times New Roman"/>
          <w:b/>
          <w:kern w:val="24"/>
          <w:sz w:val="20"/>
          <w:szCs w:val="20"/>
          <w:lang w:val="en-US" w:eastAsia="de-DE"/>
        </w:rPr>
        <w:t>(C)</w:t>
      </w:r>
      <w:r w:rsidR="00B102C8" w:rsidRP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>. No differences o</w:t>
      </w:r>
      <w:r w:rsid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>f age between responders and non-</w:t>
      </w:r>
      <w:r w:rsidR="00B102C8" w:rsidRP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>responder</w:t>
      </w:r>
      <w:r w:rsid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>s</w:t>
      </w:r>
      <w:r w:rsidR="00B102C8" w:rsidRP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 was observed. </w:t>
      </w:r>
      <w:r w:rsidR="005553AA" w:rsidRPr="005553AA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 xml:space="preserve">Median and interquartile range (IQR) are indicated. </w:t>
      </w:r>
      <w:r w:rsidR="00B102C8" w:rsidRP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>Statistical analysis was performed by non-parametric two-tailed Mann–Whitney-U test. A p-value ≤ 0.05 was considered as statistically significant. p ≤ 0.05 = *; p ≤ 0.005 = **</w:t>
      </w:r>
      <w:r w:rsidR="005553AA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t>.</w:t>
      </w:r>
      <w:r w:rsidR="00B102C8">
        <w:rPr>
          <w:rFonts w:ascii="Times New Roman" w:eastAsia="+mn-ea" w:hAnsi="Times New Roman" w:cs="Times New Roman"/>
          <w:kern w:val="24"/>
          <w:sz w:val="20"/>
          <w:szCs w:val="20"/>
          <w:lang w:val="en-US" w:eastAsia="de-DE"/>
        </w:rPr>
        <w:br w:type="page"/>
      </w:r>
    </w:p>
    <w:p w14:paraId="444A6107" w14:textId="74534315" w:rsidR="00C843D9" w:rsidRDefault="0087696C" w:rsidP="00C843D9">
      <w:pPr>
        <w:spacing w:before="0" w:after="0"/>
        <w:ind w:left="-709"/>
        <w:rPr>
          <w:rFonts w:eastAsia="+mn-ea" w:cs="+mn-cs"/>
          <w:b/>
          <w:color w:val="000000"/>
          <w:kern w:val="24"/>
          <w:sz w:val="20"/>
          <w:lang w:eastAsia="de-DE"/>
        </w:rPr>
      </w:pPr>
      <w:r>
        <w:rPr>
          <w:rFonts w:eastAsia="+mn-ea" w:cs="+mn-cs"/>
          <w:b/>
          <w:noProof/>
          <w:color w:val="000000"/>
          <w:kern w:val="24"/>
          <w:sz w:val="20"/>
          <w:lang w:val="de-DE" w:eastAsia="de-DE"/>
        </w:rPr>
        <w:lastRenderedPageBreak/>
        <w:drawing>
          <wp:inline distT="0" distB="0" distL="0" distR="0" wp14:anchorId="39416B73" wp14:editId="5DA02DCA">
            <wp:extent cx="5511967" cy="718185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ementary Figure 4 a_Cytokines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3035" cy="7196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93AC0" w14:textId="64D80210" w:rsidR="00C843D9" w:rsidRPr="00627B1D" w:rsidRDefault="004369A2" w:rsidP="00851229">
      <w:pPr>
        <w:ind w:left="-709"/>
        <w:jc w:val="both"/>
        <w:rPr>
          <w:lang w:val="en-GB"/>
        </w:rPr>
      </w:pPr>
      <w:r>
        <w:rPr>
          <w:rFonts w:eastAsia="+mn-ea" w:cs="+mn-cs"/>
          <w:b/>
          <w:color w:val="000000"/>
          <w:kern w:val="24"/>
          <w:sz w:val="20"/>
          <w:lang w:eastAsia="de-DE"/>
        </w:rPr>
        <w:t>Supplementary Figure 4</w:t>
      </w:r>
      <w:r w:rsidR="00C843D9" w:rsidRPr="00654274">
        <w:rPr>
          <w:rFonts w:eastAsia="+mn-ea" w:cs="+mn-cs"/>
          <w:b/>
          <w:color w:val="000000"/>
          <w:kern w:val="24"/>
          <w:sz w:val="20"/>
          <w:lang w:eastAsia="de-DE"/>
        </w:rPr>
        <w:t>a: Cytokine</w:t>
      </w:r>
      <w:r w:rsidR="00C843D9" w:rsidRPr="00654274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>expression profiles in activated CD154+ CD137+ CD4</w:t>
      </w:r>
      <w:r w:rsidR="00C843D9">
        <w:rPr>
          <w:rFonts w:eastAsia="+mn-ea" w:cs="+mn-cs"/>
          <w:b/>
          <w:bCs/>
          <w:color w:val="000000"/>
          <w:kern w:val="24"/>
          <w:sz w:val="20"/>
          <w:lang w:eastAsia="de-DE"/>
        </w:rPr>
        <w:t xml:space="preserve"> T cells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 xml:space="preserve">.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IFN</w:t>
      </w:r>
      <w:r w:rsidR="00C843D9" w:rsidRPr="008B7CCB">
        <w:rPr>
          <w:rFonts w:eastAsia="+mn-ea" w:cs="+mn-cs"/>
          <w:color w:val="000000"/>
          <w:kern w:val="24"/>
          <w:sz w:val="20"/>
          <w:lang w:val="el-GR" w:eastAsia="de-DE"/>
        </w:rPr>
        <w:t>γ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>, TNFα, or IL2 single and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 xml:space="preserve"> double 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producing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(dp) activated CD4 T cells were analyzed by Boole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an combination gating strategy.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IFN</w:t>
      </w:r>
      <w:r w:rsidR="00C843D9" w:rsidRPr="008B7CCB">
        <w:rPr>
          <w:rFonts w:eastAsia="+mn-ea" w:cs="+mn-cs"/>
          <w:color w:val="000000"/>
          <w:kern w:val="24"/>
          <w:sz w:val="20"/>
          <w:lang w:val="el-GR" w:eastAsia="de-DE"/>
        </w:rPr>
        <w:t>γ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>(</w:t>
      </w:r>
      <w:r w:rsidR="00C843D9">
        <w:rPr>
          <w:rFonts w:eastAsia="+mn-ea" w:cs="+mn-cs"/>
          <w:b/>
          <w:bCs/>
          <w:color w:val="000000"/>
          <w:kern w:val="24"/>
          <w:sz w:val="20"/>
          <w:lang w:eastAsia="de-DE"/>
        </w:rPr>
        <w:t>A)</w:t>
      </w:r>
      <w:r w:rsidR="00C843D9" w:rsidRPr="00654274">
        <w:rPr>
          <w:rFonts w:eastAsia="+mn-ea" w:cs="+mn-cs"/>
          <w:bCs/>
          <w:color w:val="000000"/>
          <w:kern w:val="24"/>
          <w:sz w:val="20"/>
          <w:lang w:eastAsia="de-DE"/>
        </w:rPr>
        <w:t>,</w:t>
      </w:r>
      <w:r w:rsidR="00C843D9" w:rsidRPr="00654274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>TNFα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>(</w:t>
      </w:r>
      <w:r w:rsidR="00C843D9">
        <w:rPr>
          <w:rFonts w:eastAsia="+mn-ea" w:cs="+mn-cs"/>
          <w:b/>
          <w:bCs/>
          <w:color w:val="000000"/>
          <w:kern w:val="24"/>
          <w:sz w:val="20"/>
          <w:lang w:eastAsia="de-DE"/>
        </w:rPr>
        <w:t>B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>)</w:t>
      </w:r>
      <w:r w:rsidR="00C843D9">
        <w:rPr>
          <w:rFonts w:eastAsia="+mn-ea" w:cs="+mn-cs"/>
          <w:bCs/>
          <w:color w:val="000000"/>
          <w:kern w:val="24"/>
          <w:sz w:val="20"/>
          <w:lang w:eastAsia="de-DE"/>
        </w:rPr>
        <w:t>, IL</w:t>
      </w:r>
      <w:r w:rsidR="00C843D9" w:rsidRPr="00654274">
        <w:rPr>
          <w:rFonts w:eastAsia="+mn-ea" w:cs="+mn-cs"/>
          <w:bCs/>
          <w:color w:val="000000"/>
          <w:kern w:val="24"/>
          <w:sz w:val="20"/>
          <w:lang w:eastAsia="de-DE"/>
        </w:rPr>
        <w:t>2</w:t>
      </w:r>
      <w:r w:rsidR="00C843D9">
        <w:rPr>
          <w:rFonts w:eastAsia="+mn-ea" w:cs="+mn-cs"/>
          <w:bCs/>
          <w:color w:val="000000"/>
          <w:kern w:val="24"/>
          <w:sz w:val="20"/>
          <w:lang w:eastAsia="de-DE"/>
        </w:rPr>
        <w:t xml:space="preserve"> </w:t>
      </w:r>
      <w:r w:rsidR="00C843D9" w:rsidRPr="00654274">
        <w:rPr>
          <w:rFonts w:eastAsia="+mn-ea" w:cs="+mn-cs"/>
          <w:b/>
          <w:bCs/>
          <w:color w:val="000000"/>
          <w:kern w:val="24"/>
          <w:sz w:val="20"/>
          <w:lang w:eastAsia="de-DE"/>
        </w:rPr>
        <w:t>(C)</w:t>
      </w:r>
      <w:r w:rsidR="00C843D9" w:rsidRPr="00654274">
        <w:rPr>
          <w:rFonts w:eastAsia="+mn-ea" w:cs="+mn-cs"/>
          <w:bCs/>
          <w:color w:val="000000"/>
          <w:kern w:val="24"/>
          <w:sz w:val="20"/>
          <w:lang w:eastAsia="de-DE"/>
        </w:rPr>
        <w:t xml:space="preserve"> 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TNFα +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IFN</w:t>
      </w:r>
      <w:r w:rsidR="00C843D9" w:rsidRPr="008B7CCB">
        <w:rPr>
          <w:rFonts w:eastAsia="+mn-ea" w:cs="+mn-cs"/>
          <w:color w:val="000000"/>
          <w:kern w:val="24"/>
          <w:sz w:val="20"/>
          <w:lang w:val="el-GR" w:eastAsia="de-DE"/>
        </w:rPr>
        <w:t>γ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 w:rsidRPr="00FC05AE">
        <w:rPr>
          <w:rFonts w:eastAsia="+mn-ea" w:cs="+mn-cs"/>
          <w:b/>
          <w:color w:val="000000"/>
          <w:kern w:val="24"/>
          <w:sz w:val="20"/>
          <w:lang w:eastAsia="de-DE"/>
        </w:rPr>
        <w:t>(D)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,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IFN</w:t>
      </w:r>
      <w:r w:rsidR="00C843D9" w:rsidRPr="008B7CCB">
        <w:rPr>
          <w:rFonts w:eastAsia="+mn-ea" w:cs="+mn-cs"/>
          <w:color w:val="000000"/>
          <w:kern w:val="24"/>
          <w:sz w:val="20"/>
          <w:lang w:val="el-GR" w:eastAsia="de-DE"/>
        </w:rPr>
        <w:t>γ</w:t>
      </w:r>
      <w:r w:rsidR="00C843D9" w:rsidRPr="00627B1D">
        <w:rPr>
          <w:rFonts w:eastAsia="+mn-ea" w:cs="+mn-cs"/>
          <w:color w:val="000000"/>
          <w:kern w:val="24"/>
          <w:sz w:val="20"/>
          <w:lang w:val="en-GB" w:eastAsia="de-DE"/>
        </w:rPr>
        <w:t xml:space="preserve"> + IL2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bookmarkStart w:id="3" w:name="OLE_LINK1"/>
      <w:r w:rsidR="00C843D9" w:rsidRPr="00B61D4B">
        <w:rPr>
          <w:rFonts w:eastAsia="+mn-ea" w:cs="+mn-cs"/>
          <w:b/>
          <w:color w:val="000000"/>
          <w:kern w:val="24"/>
          <w:sz w:val="20"/>
          <w:lang w:eastAsia="de-DE"/>
        </w:rPr>
        <w:t xml:space="preserve">(E) </w:t>
      </w:r>
      <w:bookmarkEnd w:id="3"/>
      <w:r w:rsidR="00C843D9">
        <w:rPr>
          <w:rFonts w:eastAsia="+mn-ea" w:cs="+mn-cs"/>
          <w:color w:val="000000"/>
          <w:kern w:val="24"/>
          <w:sz w:val="20"/>
          <w:lang w:eastAsia="de-DE"/>
        </w:rPr>
        <w:t>producing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 xml:space="preserve"> CD4 activated T cells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 xml:space="preserve">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in response to CoV peptides (1 µg/ml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>, 16h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 xml:space="preserve">). CVID patients lacked a response to SARS-CoV-2 NCAP peptide pool in activated CD4 T cells and could not be included in the cytokine profile analyses. Median and interquartile range (IQR) are indicated. </w:t>
      </w:r>
      <w:bookmarkStart w:id="4" w:name="OLE_LINK4"/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Statistical analysis was performed by non-parametric two-tailed Mann–Whitney-U test for comparison of control and patient groups. A p-value ≤ 0.05 was considered as statistically significant. p ≤ 0.05 = *; p ≤ 0.005 = **</w:t>
      </w:r>
      <w:bookmarkEnd w:id="4"/>
    </w:p>
    <w:p w14:paraId="146456A2" w14:textId="7A200848" w:rsidR="00C843D9" w:rsidRDefault="0087696C" w:rsidP="00C843D9">
      <w:pPr>
        <w:spacing w:before="0" w:after="0"/>
        <w:ind w:left="-709"/>
        <w:jc w:val="both"/>
        <w:rPr>
          <w:rFonts w:eastAsia="+mn-ea" w:cs="+mn-cs"/>
          <w:b/>
          <w:color w:val="000000"/>
          <w:kern w:val="24"/>
          <w:sz w:val="20"/>
          <w:lang w:eastAsia="de-DE"/>
        </w:rPr>
      </w:pPr>
      <w:r>
        <w:rPr>
          <w:rFonts w:eastAsia="+mn-ea" w:cs="+mn-cs"/>
          <w:b/>
          <w:noProof/>
          <w:color w:val="000000"/>
          <w:kern w:val="24"/>
          <w:sz w:val="20"/>
          <w:lang w:val="de-DE" w:eastAsia="de-DE"/>
        </w:rPr>
        <w:lastRenderedPageBreak/>
        <w:drawing>
          <wp:inline distT="0" distB="0" distL="0" distR="0" wp14:anchorId="39EAAAF1" wp14:editId="357245E6">
            <wp:extent cx="5534238" cy="7182000"/>
            <wp:effectExtent l="0" t="0" r="9525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upplementary Figure 4 b_Cytokines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238" cy="718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9FC6A9" w14:textId="5BE6C112" w:rsidR="00C843D9" w:rsidRPr="00627B1D" w:rsidRDefault="004369A2" w:rsidP="00C843D9">
      <w:pPr>
        <w:ind w:left="-709"/>
        <w:jc w:val="both"/>
        <w:rPr>
          <w:lang w:val="en-GB"/>
        </w:rPr>
      </w:pPr>
      <w:bookmarkStart w:id="5" w:name="OLE_LINK5"/>
      <w:r>
        <w:rPr>
          <w:rFonts w:eastAsia="+mn-ea" w:cs="+mn-cs"/>
          <w:b/>
          <w:color w:val="000000"/>
          <w:kern w:val="24"/>
          <w:sz w:val="20"/>
          <w:lang w:eastAsia="de-DE"/>
        </w:rPr>
        <w:t>Supplementary Figure 4</w:t>
      </w:r>
      <w:r w:rsidR="00C843D9">
        <w:rPr>
          <w:rFonts w:eastAsia="+mn-ea" w:cs="+mn-cs"/>
          <w:b/>
          <w:color w:val="000000"/>
          <w:kern w:val="24"/>
          <w:sz w:val="20"/>
          <w:lang w:eastAsia="de-DE"/>
        </w:rPr>
        <w:t>b</w:t>
      </w:r>
      <w:r w:rsidR="00C843D9" w:rsidRPr="00654274">
        <w:rPr>
          <w:rFonts w:eastAsia="+mn-ea" w:cs="+mn-cs"/>
          <w:b/>
          <w:color w:val="000000"/>
          <w:kern w:val="24"/>
          <w:sz w:val="20"/>
          <w:lang w:eastAsia="de-DE"/>
        </w:rPr>
        <w:t>: Cytokine</w:t>
      </w:r>
      <w:r w:rsidR="00C843D9" w:rsidRPr="00654274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>express</w:t>
      </w:r>
      <w:r w:rsidR="00C843D9">
        <w:rPr>
          <w:rFonts w:eastAsia="+mn-ea" w:cs="+mn-cs"/>
          <w:b/>
          <w:bCs/>
          <w:color w:val="000000"/>
          <w:kern w:val="24"/>
          <w:sz w:val="20"/>
          <w:lang w:eastAsia="de-DE"/>
        </w:rPr>
        <w:t>ion profiles in activated CD137+ CD8 T cells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 xml:space="preserve">.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IFN</w:t>
      </w:r>
      <w:r w:rsidR="00C843D9" w:rsidRPr="008B7CCB">
        <w:rPr>
          <w:rFonts w:eastAsia="+mn-ea" w:cs="+mn-cs"/>
          <w:color w:val="000000"/>
          <w:kern w:val="24"/>
          <w:sz w:val="20"/>
          <w:lang w:val="el-GR" w:eastAsia="de-DE"/>
        </w:rPr>
        <w:t>γ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>, TNFα, or IL2 single and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 xml:space="preserve"> double 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producing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 xml:space="preserve">(dp) </w:t>
      </w:r>
      <w:r w:rsidR="00922161">
        <w:rPr>
          <w:rFonts w:eastAsia="+mn-ea" w:cs="+mn-cs"/>
          <w:color w:val="000000"/>
          <w:kern w:val="24"/>
          <w:sz w:val="20"/>
          <w:lang w:eastAsia="de-DE"/>
        </w:rPr>
        <w:t xml:space="preserve">activated 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>D8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 xml:space="preserve"> T cells were analyzed by Boole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an combination gating strategy.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IFN</w:t>
      </w:r>
      <w:r w:rsidR="00C843D9" w:rsidRPr="008B7CCB">
        <w:rPr>
          <w:rFonts w:eastAsia="+mn-ea" w:cs="+mn-cs"/>
          <w:color w:val="000000"/>
          <w:kern w:val="24"/>
          <w:sz w:val="20"/>
          <w:lang w:val="el-GR" w:eastAsia="de-DE"/>
        </w:rPr>
        <w:t>γ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>(</w:t>
      </w:r>
      <w:r w:rsidR="00C843D9">
        <w:rPr>
          <w:rFonts w:eastAsia="+mn-ea" w:cs="+mn-cs"/>
          <w:b/>
          <w:bCs/>
          <w:color w:val="000000"/>
          <w:kern w:val="24"/>
          <w:sz w:val="20"/>
          <w:lang w:eastAsia="de-DE"/>
        </w:rPr>
        <w:t>A)</w:t>
      </w:r>
      <w:r w:rsidR="00C843D9" w:rsidRPr="00654274">
        <w:rPr>
          <w:rFonts w:eastAsia="+mn-ea" w:cs="+mn-cs"/>
          <w:bCs/>
          <w:color w:val="000000"/>
          <w:kern w:val="24"/>
          <w:sz w:val="20"/>
          <w:lang w:eastAsia="de-DE"/>
        </w:rPr>
        <w:t>,</w:t>
      </w:r>
      <w:r w:rsidR="00C843D9" w:rsidRPr="00654274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>TNFα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>(</w:t>
      </w:r>
      <w:r w:rsidR="00C843D9">
        <w:rPr>
          <w:rFonts w:eastAsia="+mn-ea" w:cs="+mn-cs"/>
          <w:b/>
          <w:bCs/>
          <w:color w:val="000000"/>
          <w:kern w:val="24"/>
          <w:sz w:val="20"/>
          <w:lang w:eastAsia="de-DE"/>
        </w:rPr>
        <w:t>B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>)</w:t>
      </w:r>
      <w:r w:rsidR="00C843D9">
        <w:rPr>
          <w:rFonts w:eastAsia="+mn-ea" w:cs="+mn-cs"/>
          <w:bCs/>
          <w:color w:val="000000"/>
          <w:kern w:val="24"/>
          <w:sz w:val="20"/>
          <w:lang w:eastAsia="de-DE"/>
        </w:rPr>
        <w:t>, IL</w:t>
      </w:r>
      <w:r w:rsidR="00C843D9" w:rsidRPr="00654274">
        <w:rPr>
          <w:rFonts w:eastAsia="+mn-ea" w:cs="+mn-cs"/>
          <w:bCs/>
          <w:color w:val="000000"/>
          <w:kern w:val="24"/>
          <w:sz w:val="20"/>
          <w:lang w:eastAsia="de-DE"/>
        </w:rPr>
        <w:t>2</w:t>
      </w:r>
      <w:r w:rsidR="00C843D9">
        <w:rPr>
          <w:rFonts w:eastAsia="+mn-ea" w:cs="+mn-cs"/>
          <w:bCs/>
          <w:color w:val="000000"/>
          <w:kern w:val="24"/>
          <w:sz w:val="20"/>
          <w:lang w:eastAsia="de-DE"/>
        </w:rPr>
        <w:t xml:space="preserve"> </w:t>
      </w:r>
      <w:r w:rsidR="00C843D9" w:rsidRPr="00654274">
        <w:rPr>
          <w:rFonts w:eastAsia="+mn-ea" w:cs="+mn-cs"/>
          <w:b/>
          <w:bCs/>
          <w:color w:val="000000"/>
          <w:kern w:val="24"/>
          <w:sz w:val="20"/>
          <w:lang w:eastAsia="de-DE"/>
        </w:rPr>
        <w:t>(C)</w:t>
      </w:r>
      <w:r w:rsidR="00C843D9" w:rsidRPr="00654274">
        <w:rPr>
          <w:rFonts w:eastAsia="+mn-ea" w:cs="+mn-cs"/>
          <w:bCs/>
          <w:color w:val="000000"/>
          <w:kern w:val="24"/>
          <w:sz w:val="20"/>
          <w:lang w:eastAsia="de-DE"/>
        </w:rPr>
        <w:t xml:space="preserve">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IFN</w:t>
      </w:r>
      <w:r w:rsidR="00C843D9" w:rsidRPr="008B7CCB">
        <w:rPr>
          <w:rFonts w:eastAsia="+mn-ea" w:cs="+mn-cs"/>
          <w:color w:val="000000"/>
          <w:kern w:val="24"/>
          <w:sz w:val="20"/>
          <w:lang w:val="el-GR" w:eastAsia="de-DE"/>
        </w:rPr>
        <w:t>γ</w:t>
      </w:r>
      <w:r w:rsidR="00C843D9" w:rsidRPr="00627B1D">
        <w:rPr>
          <w:rFonts w:eastAsia="+mn-ea" w:cs="+mn-cs"/>
          <w:color w:val="000000"/>
          <w:kern w:val="24"/>
          <w:sz w:val="20"/>
          <w:lang w:val="en-GB" w:eastAsia="de-DE"/>
        </w:rPr>
        <w:t xml:space="preserve"> + IL2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 w:rsidRPr="00FC05AE">
        <w:rPr>
          <w:rFonts w:eastAsia="+mn-ea" w:cs="+mn-cs"/>
          <w:b/>
          <w:color w:val="000000"/>
          <w:kern w:val="24"/>
          <w:sz w:val="20"/>
          <w:lang w:eastAsia="de-DE"/>
        </w:rPr>
        <w:t>(D)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>, TNFα</w:t>
      </w:r>
      <w:r w:rsidR="00C843D9" w:rsidRPr="00627B1D">
        <w:rPr>
          <w:rFonts w:eastAsia="+mn-ea" w:cs="+mn-cs"/>
          <w:color w:val="000000"/>
          <w:kern w:val="24"/>
          <w:sz w:val="20"/>
          <w:lang w:val="en-GB" w:eastAsia="de-DE"/>
        </w:rPr>
        <w:t xml:space="preserve"> + IL2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 xml:space="preserve"> </w:t>
      </w:r>
      <w:r w:rsidR="00C843D9" w:rsidRPr="00B61D4B">
        <w:rPr>
          <w:rFonts w:eastAsia="+mn-ea" w:cs="+mn-cs"/>
          <w:b/>
          <w:color w:val="000000"/>
          <w:kern w:val="24"/>
          <w:sz w:val="20"/>
          <w:lang w:eastAsia="de-DE"/>
        </w:rPr>
        <w:t xml:space="preserve">(E) 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>producing CD8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 xml:space="preserve"> activated T cells</w:t>
      </w:r>
      <w:r w:rsidR="00C843D9" w:rsidRPr="008B7CCB">
        <w:rPr>
          <w:rFonts w:eastAsia="+mn-ea" w:cs="+mn-cs"/>
          <w:b/>
          <w:bCs/>
          <w:color w:val="000000"/>
          <w:kern w:val="24"/>
          <w:sz w:val="20"/>
          <w:lang w:eastAsia="de-DE"/>
        </w:rPr>
        <w:t xml:space="preserve"> 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in response to CoV peptides (1 µg/ml</w:t>
      </w:r>
      <w:r w:rsidR="00C843D9">
        <w:rPr>
          <w:rFonts w:eastAsia="+mn-ea" w:cs="+mn-cs"/>
          <w:color w:val="000000"/>
          <w:kern w:val="24"/>
          <w:sz w:val="20"/>
          <w:lang w:eastAsia="de-DE"/>
        </w:rPr>
        <w:t>, 16h</w:t>
      </w:r>
      <w:r w:rsidR="00C843D9" w:rsidRPr="008B7CCB">
        <w:rPr>
          <w:rFonts w:eastAsia="+mn-ea" w:cs="+mn-cs"/>
          <w:color w:val="000000"/>
          <w:kern w:val="24"/>
          <w:sz w:val="20"/>
          <w:lang w:eastAsia="de-DE"/>
        </w:rPr>
        <w:t>). Median and interquartile range (IQR) are indicated. Statistical analysis was performed by non-parametric two-tailed Mann–Whitney-U test for comparison of control and patient groups. A p-value ≤ 0.05 was considered as statistically significant. p ≤ 0.05 = *; p ≤ 0.005 = **</w:t>
      </w:r>
      <w:bookmarkEnd w:id="5"/>
    </w:p>
    <w:sectPr w:rsidR="00C843D9" w:rsidRPr="00627B1D" w:rsidSect="0093429D">
      <w:headerReference w:type="even" r:id="rId13"/>
      <w:footerReference w:type="even" r:id="rId14"/>
      <w:footerReference w:type="default" r:id="rId15"/>
      <w:headerReference w:type="first" r:id="rId16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376407" w14:textId="77777777" w:rsidR="00E97860" w:rsidRDefault="00E97860" w:rsidP="00117666">
      <w:pPr>
        <w:spacing w:after="0"/>
      </w:pPr>
      <w:r>
        <w:separator/>
      </w:r>
    </w:p>
  </w:endnote>
  <w:endnote w:type="continuationSeparator" w:id="0">
    <w:p w14:paraId="448BFD08" w14:textId="77777777" w:rsidR="00E97860" w:rsidRDefault="00E97860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93025F" w14:textId="77777777" w:rsidR="00995F6A" w:rsidRPr="00577C4C" w:rsidRDefault="00C52A7B">
    <w:pPr>
      <w:rPr>
        <w:color w:val="C0000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50165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5016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259EA502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A740E2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9.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jTALwIAAF8EAAAOAAAAZHJzL2Uyb0RvYy54bWysVFtv2jAYfZ+0/2D5fSQwoG1EqFgrpkmo&#10;rQRTn43jQKT4MtuQsF+/YydQ1u1p2ovz3fzdznFm962syVFYV2mV0+EgpUQorotK7XL6fbP8dEuJ&#10;80wVrNZK5PQkHL2ff/wwa0wmRnqv60JYgiTKZY3J6d57kyWJ43shmRtoIxScpbaSeah2lxSWNcgu&#10;62SUptOk0bYwVnPhHKyPnZPOY/6yFNw/l6UTntQ5RW8+njae23Am8xnLdpaZfcX7Ntg/dCFZpVD0&#10;kuqReUYOtvojlay41U6XfsC1THRZVlzEGTDNMH03zXrPjIizYDnOXNbk/l9a/nR8saQqgB0liklA&#10;tBGtJ190S4ZhO41xGYLWBmG+hTlE9nYHYxi6La0MX4xD4MeeT5fdhmQ8XJqktzdTuDh8k3Q4ncTl&#10;J2+3jXX+q9CSBCGnFtjFlbLjynlUROg5JBRTelnVdcSvVqTJ6fQzUv7mwY1aBYuITOjThIm6zoPk&#10;223bj7PVxQlTWt2xxBm+rNDKijn/wixoge5Bdf+Mo6w1SupeomSv7c+/2UM80IKXkgY0y6n7cWBW&#10;UFJ/U8DxbjgeB15GZTy5GUGx157ttUcd5IMGk4EVuotiiPf1WSytlq94EYtQFS6mOGrn1J/FB9+R&#10;Hy+Ki8UiBoGJhvmVWhseUoeFhUVv2ldmTY+GB45P+kxIlr0DpYsNN51ZHDygiYiFBXdbBXxBAYsj&#10;kP2LC8/kWo9Rb/+F+S8AAAD//wMAUEsDBBQABgAIAAAAIQB3LuzN2QAAAAQBAAAPAAAAZHJzL2Rv&#10;d25yZXYueG1sTI/BTsMwEETvSPyDtUhcELUbpBZCNhWqlHPVtB/gxksSsNdR7DTh7zFc4LLSaEYz&#10;b4vd4qy40hh6zwjrlQJB3HjTc4twPlWPzyBC1Gy09UwIXxRgV97eFDo3fuYjXevYilTCIdcIXYxD&#10;LmVoOnI6rPxAnLx3PzodkxxbaUY9p3JnZabURjrdc1ro9ED7jprPenIIPpsf7LFeV/vD/FGpw0Sn&#10;OhDi/d3y9goi0hL/wvCDn9ChTEwXP7EJwiKkR+LvTV72tN2AuCBsXxTIspD/4ctvAAAA//8DAFBL&#10;AQItABQABgAIAAAAIQC2gziS/gAAAOEBAAATAAAAAAAAAAAAAAAAAAAAAABbQ29udGVudF9UeXBl&#10;c10ueG1sUEsBAi0AFAAGAAgAAAAhADj9If/WAAAAlAEAAAsAAAAAAAAAAAAAAAAALwEAAF9yZWxz&#10;Ly5yZWxzUEsBAi0AFAAGAAgAAAAhALnSNMAvAgAAXwQAAA4AAAAAAAAAAAAAAAAALgIAAGRycy9l&#10;Mm9Eb2MueG1sUEsBAi0AFAAGAAgAAAAhAHcu7M3ZAAAABAEAAA8AAAAAAAAAAAAAAAAAiQQAAGRy&#10;cy9kb3ducmV2LnhtbFBLBQYAAAAABAAEAPMAAACPBQAAAAA=&#10;" filled="f" stroked="f" strokeweight=".5pt">
              <v:textbox style="mso-fit-shape-to-text:t">
                <w:txbxContent>
                  <w:p w14:paraId="50BC4D33" w14:textId="259EA502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A740E2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4D6A35" w14:textId="77777777" w:rsidR="00995F6A" w:rsidRPr="00577C4C" w:rsidRDefault="00C52A7B">
    <w:pPr>
      <w:rPr>
        <w:b/>
        <w:sz w:val="2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501650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5016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1BE083D5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A740E2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5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9.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dVENQIAAGgEAAAOAAAAZHJzL2Uyb0RvYy54bWysVF1v2jAUfZ+0/2D5fSQwoG1EqFgrpkmo&#10;rQRTn43jkEiO7dmGhP36HTtAWbenaS/O/fL1vefcm9l910hyENbVWuV0OEgpEYrrola7nH7fLD/d&#10;UuI8UwWTWomcHoWj9/OPH2atycRIV1oWwhIkUS5rTU4r702WJI5XomFuoI1QcJbaNsxDtbuksKxF&#10;9kYmozSdJq22hbGaC+dgfeyddB7zl6Xg/rksnfBE5hS1+XjaeG7DmcxnLNtZZqqan8pg/1BFw2qF&#10;Ry+pHplnZG/rP1I1Nbfa6dIPuG4SXZY1F7EHdDNM33WzrpgRsReA48wFJvf/0vKnw4sldZHTyZQS&#10;xRpwtBGdJ190R2ACPq1xGcLWBoG+gx08n+0OxtB2V9omfNEQgR9IHy/ohmw8XJqktzdTuDh8k3Q4&#10;nUT4k7fbxjr/VeiGBCGnFuxFUNlh5TwqQeg5JDym9LKWMjIoFWlzOv2MlL95cEOqYBFxFk5pQkd9&#10;5UHy3baLCFy62uriiGat7sfFGb6sUdGKOf/CLOYDTWDm/TOOUmq8rE8SJZW2P/9mD/GgDV5KWsxb&#10;Tt2PPbOCEvlNgdC74XgcBjQq48nNCIq99myvPWrfPGiM9BDbZXgUQ7yXZ7G0unnFaizCq3AxxfF2&#10;Tv1ZfPD9FmC1uFgsYhBG0jC/UmvDQ+qAW8B7070ya06keND5pM+TybJ33PSx4aYzi70HQ5G4gHOP&#10;KlgMCsY58nlavbAv13qMevtBzH8BAAD//wMAUEsDBBQABgAIAAAAIQB3LuzN2QAAAAQBAAAPAAAA&#10;ZHJzL2Rvd25yZXYueG1sTI/BTsMwEETvSPyDtUhcELUbpBZCNhWqlHPVtB/gxksSsNdR7DTh7zFc&#10;4LLSaEYzb4vd4qy40hh6zwjrlQJB3HjTc4twPlWPzyBC1Gy09UwIXxRgV97eFDo3fuYjXevYilTC&#10;IdcIXYxDLmVoOnI6rPxAnLx3PzodkxxbaUY9p3JnZabURjrdc1ro9ED7jprPenIIPpsf7LFeV/vD&#10;/FGpw0SnOhDi/d3y9goi0hL/wvCDn9ChTEwXP7EJwiKkR+LvTV72tN2AuCBsXxTIspD/4ctvAAAA&#10;//8DAFBLAQItABQABgAIAAAAIQC2gziS/gAAAOEBAAATAAAAAAAAAAAAAAAAAAAAAABbQ29udGVu&#10;dF9UeXBlc10ueG1sUEsBAi0AFAAGAAgAAAAhADj9If/WAAAAlAEAAAsAAAAAAAAAAAAAAAAALwEA&#10;AF9yZWxzLy5yZWxzUEsBAi0AFAAGAAgAAAAhAGQx1UQ1AgAAaAQAAA4AAAAAAAAAAAAAAAAALgIA&#10;AGRycy9lMm9Eb2MueG1sUEsBAi0AFAAGAAgAAAAhAHcu7M3ZAAAABAEAAA8AAAAAAAAAAAAAAAAA&#10;jwQAAGRycy9kb3ducmV2LnhtbFBLBQYAAAAABAAEAPMAAACVBQAAAAA=&#10;" filled="f" stroked="f" strokeweight=".5pt">
              <v:textbox style="mso-fit-shape-to-text:t">
                <w:txbxContent>
                  <w:p w14:paraId="570F0D09" w14:textId="1BE083D5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A740E2">
                      <w:rPr>
                        <w:noProof/>
                        <w:color w:val="000000" w:themeColor="text1"/>
                        <w:szCs w:val="40"/>
                      </w:rPr>
                      <w:t>5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677930" w14:textId="77777777" w:rsidR="00E97860" w:rsidRDefault="00E97860" w:rsidP="00117666">
      <w:pPr>
        <w:spacing w:after="0"/>
      </w:pPr>
      <w:r>
        <w:separator/>
      </w:r>
    </w:p>
  </w:footnote>
  <w:footnote w:type="continuationSeparator" w:id="0">
    <w:p w14:paraId="602F5776" w14:textId="77777777" w:rsidR="00E97860" w:rsidRDefault="00E97860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AEF00C" w14:textId="77777777" w:rsidR="00995F6A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1D68C6" w14:textId="77777777" w:rsidR="00995F6A" w:rsidRDefault="0093429D" w:rsidP="0093429D">
    <w:r w:rsidRPr="005A1D84">
      <w:rPr>
        <w:b/>
        <w:noProof/>
        <w:color w:val="A6A6A6" w:themeColor="background1" w:themeShade="A6"/>
        <w:lang w:val="de-DE" w:eastAsia="de-DE"/>
      </w:rPr>
      <w:drawing>
        <wp:inline distT="0" distB="0" distL="0" distR="0" wp14:anchorId="07D26A56" wp14:editId="2E460F0E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52A7B" w:rsidRPr="007E3148">
      <w:rPr>
        <w:b/>
      </w:rPr>
      <w:ptab w:relativeTo="margin" w:alignment="center" w:leader="none"/>
    </w:r>
    <w:r w:rsidR="00C52A7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berschrift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enabsatz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20"/>
  <w:hyphenationZone w:val="425"/>
  <w:evenAndOddHeaders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20B5"/>
    <w:rsid w:val="0001436A"/>
    <w:rsid w:val="00034304"/>
    <w:rsid w:val="00035434"/>
    <w:rsid w:val="00052A14"/>
    <w:rsid w:val="00077D53"/>
    <w:rsid w:val="000A57F2"/>
    <w:rsid w:val="000F4C40"/>
    <w:rsid w:val="00105FD9"/>
    <w:rsid w:val="00117666"/>
    <w:rsid w:val="001549D3"/>
    <w:rsid w:val="00160065"/>
    <w:rsid w:val="00177D84"/>
    <w:rsid w:val="00267D18"/>
    <w:rsid w:val="00274347"/>
    <w:rsid w:val="002868E2"/>
    <w:rsid w:val="002869C3"/>
    <w:rsid w:val="002936E4"/>
    <w:rsid w:val="002B4A57"/>
    <w:rsid w:val="002C74CA"/>
    <w:rsid w:val="003123F4"/>
    <w:rsid w:val="00314164"/>
    <w:rsid w:val="003544FB"/>
    <w:rsid w:val="003862E9"/>
    <w:rsid w:val="003D2F2D"/>
    <w:rsid w:val="00401590"/>
    <w:rsid w:val="00412408"/>
    <w:rsid w:val="004369A2"/>
    <w:rsid w:val="00447801"/>
    <w:rsid w:val="00452E9C"/>
    <w:rsid w:val="004735C8"/>
    <w:rsid w:val="004947A6"/>
    <w:rsid w:val="004961FF"/>
    <w:rsid w:val="00517A89"/>
    <w:rsid w:val="005250F2"/>
    <w:rsid w:val="005553AA"/>
    <w:rsid w:val="00593EEA"/>
    <w:rsid w:val="005A5EEE"/>
    <w:rsid w:val="006375C7"/>
    <w:rsid w:val="00654E8F"/>
    <w:rsid w:val="00660D05"/>
    <w:rsid w:val="006820B1"/>
    <w:rsid w:val="00697EBC"/>
    <w:rsid w:val="006B7D14"/>
    <w:rsid w:val="006D5D4D"/>
    <w:rsid w:val="00701727"/>
    <w:rsid w:val="0070566C"/>
    <w:rsid w:val="00714C50"/>
    <w:rsid w:val="00723A66"/>
    <w:rsid w:val="00725A7D"/>
    <w:rsid w:val="007501BE"/>
    <w:rsid w:val="00790BB3"/>
    <w:rsid w:val="007C206C"/>
    <w:rsid w:val="007E226D"/>
    <w:rsid w:val="00817DD6"/>
    <w:rsid w:val="0083759F"/>
    <w:rsid w:val="00851229"/>
    <w:rsid w:val="0087696C"/>
    <w:rsid w:val="008834C8"/>
    <w:rsid w:val="00885156"/>
    <w:rsid w:val="008D4234"/>
    <w:rsid w:val="009151AA"/>
    <w:rsid w:val="00922161"/>
    <w:rsid w:val="0093429D"/>
    <w:rsid w:val="00943573"/>
    <w:rsid w:val="00964134"/>
    <w:rsid w:val="00970F7D"/>
    <w:rsid w:val="00994A3D"/>
    <w:rsid w:val="009C2B12"/>
    <w:rsid w:val="00A174D9"/>
    <w:rsid w:val="00A740E2"/>
    <w:rsid w:val="00A852F7"/>
    <w:rsid w:val="00AA4D24"/>
    <w:rsid w:val="00AB6715"/>
    <w:rsid w:val="00AD60D7"/>
    <w:rsid w:val="00B102C8"/>
    <w:rsid w:val="00B1671E"/>
    <w:rsid w:val="00B25EB8"/>
    <w:rsid w:val="00B37F4D"/>
    <w:rsid w:val="00C52A7B"/>
    <w:rsid w:val="00C56BAF"/>
    <w:rsid w:val="00C679AA"/>
    <w:rsid w:val="00C75972"/>
    <w:rsid w:val="00C843D9"/>
    <w:rsid w:val="00CA2C14"/>
    <w:rsid w:val="00CD066B"/>
    <w:rsid w:val="00CE4FEE"/>
    <w:rsid w:val="00CE7747"/>
    <w:rsid w:val="00D05ADF"/>
    <w:rsid w:val="00D060CF"/>
    <w:rsid w:val="00D42F6C"/>
    <w:rsid w:val="00DB59C3"/>
    <w:rsid w:val="00DC259A"/>
    <w:rsid w:val="00DE23E8"/>
    <w:rsid w:val="00E52377"/>
    <w:rsid w:val="00E537AD"/>
    <w:rsid w:val="00E64E17"/>
    <w:rsid w:val="00E866C9"/>
    <w:rsid w:val="00E97860"/>
    <w:rsid w:val="00EA3D3C"/>
    <w:rsid w:val="00EC090A"/>
    <w:rsid w:val="00ED20B5"/>
    <w:rsid w:val="00F46900"/>
    <w:rsid w:val="00F61D89"/>
    <w:rsid w:val="00FE7C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berschrift1">
    <w:name w:val="heading 1"/>
    <w:basedOn w:val="Listenabsatz"/>
    <w:next w:val="Standard"/>
    <w:link w:val="berschrift1Zchn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berschrift2">
    <w:name w:val="heading 2"/>
    <w:basedOn w:val="berschrift1"/>
    <w:next w:val="Standard"/>
    <w:link w:val="berschrift2Zchn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berschrift3">
    <w:name w:val="heading 3"/>
    <w:basedOn w:val="Standard"/>
    <w:next w:val="Standard"/>
    <w:link w:val="berschrift3Zchn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berschrift4">
    <w:name w:val="heading 4"/>
    <w:basedOn w:val="berschrift3"/>
    <w:next w:val="Standard"/>
    <w:link w:val="berschrift4Zchn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berschrift5">
    <w:name w:val="heading 5"/>
    <w:basedOn w:val="berschrift4"/>
    <w:next w:val="Standard"/>
    <w:link w:val="berschrift5Zchn"/>
    <w:uiPriority w:val="2"/>
    <w:qFormat/>
    <w:rsid w:val="00AB6715"/>
    <w:pPr>
      <w:numPr>
        <w:ilvl w:val="4"/>
      </w:numPr>
      <w:outlineLvl w:val="4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UntertitelZchn">
    <w:name w:val="Untertitel Zchn"/>
    <w:basedOn w:val="Absatz-Standardschriftart"/>
    <w:link w:val="Untertitel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Untertitel"/>
    <w:next w:val="Standard"/>
    <w:uiPriority w:val="1"/>
    <w:qFormat/>
    <w:rsid w:val="00AB6715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uchtitel">
    <w:name w:val="Book Title"/>
    <w:basedOn w:val="Absatz-Standardschriftar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Beschriftung">
    <w:name w:val="caption"/>
    <w:basedOn w:val="Standard"/>
    <w:next w:val="KeinLeerraum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KeinLeerraum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B671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B6715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B671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Hervorhebung">
    <w:name w:val="Emphasis"/>
    <w:basedOn w:val="Absatz-Standardschriftart"/>
    <w:uiPriority w:val="20"/>
    <w:qFormat/>
    <w:rsid w:val="00AB6715"/>
    <w:rPr>
      <w:rFonts w:ascii="Times New Roman" w:hAnsi="Times New Roman"/>
      <w:i/>
      <w:iCs/>
    </w:rPr>
  </w:style>
  <w:style w:type="character" w:styleId="Endnotenzeichen">
    <w:name w:val="endnote reference"/>
    <w:basedOn w:val="Absatz-Standardschriftart"/>
    <w:uiPriority w:val="99"/>
    <w:semiHidden/>
    <w:unhideWhenUsed/>
    <w:rsid w:val="00AB6715"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AB6715"/>
    <w:rPr>
      <w:rFonts w:ascii="Times New Roman" w:hAnsi="Times New Roman"/>
      <w:sz w:val="24"/>
    </w:rPr>
  </w:style>
  <w:style w:type="character" w:styleId="Funotenzeichen">
    <w:name w:val="footnote reference"/>
    <w:basedOn w:val="Absatz-Standardschriftart"/>
    <w:uiPriority w:val="99"/>
    <w:semiHidden/>
    <w:unhideWhenUsed/>
    <w:rsid w:val="00AB6715"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sid w:val="00AB6715"/>
    <w:rPr>
      <w:rFonts w:ascii="Times New Roman" w:hAnsi="Times New Roman"/>
      <w:b/>
      <w:sz w:val="24"/>
    </w:rPr>
  </w:style>
  <w:style w:type="paragraph" w:styleId="Listenabsatz">
    <w:name w:val="List Paragraph"/>
    <w:basedOn w:val="Standard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Absatz-Standardschriftart"/>
    <w:uiPriority w:val="99"/>
    <w:unhideWhenUsed/>
    <w:rsid w:val="00AB6715"/>
    <w:rPr>
      <w:color w:val="0000FF"/>
      <w:u w:val="single"/>
    </w:rPr>
  </w:style>
  <w:style w:type="character" w:styleId="IntensiveHervorhebung">
    <w:name w:val="Intense Emphasis"/>
    <w:basedOn w:val="Absatz-Standardschriftar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iverVerweis">
    <w:name w:val="Intense Reference"/>
    <w:basedOn w:val="Absatz-Standardschriftart"/>
    <w:uiPriority w:val="32"/>
    <w:qFormat/>
    <w:rsid w:val="00AB6715"/>
    <w:rPr>
      <w:b/>
      <w:bCs/>
      <w:smallCaps/>
      <w:color w:val="auto"/>
      <w:spacing w:val="5"/>
    </w:rPr>
  </w:style>
  <w:style w:type="character" w:styleId="Zeilennummer">
    <w:name w:val="line number"/>
    <w:basedOn w:val="Absatz-Standardschriftart"/>
    <w:uiPriority w:val="99"/>
    <w:semiHidden/>
    <w:unhideWhenUsed/>
    <w:rsid w:val="00AB6715"/>
  </w:style>
  <w:style w:type="character" w:customStyle="1" w:styleId="berschrift3Zchn">
    <w:name w:val="Überschrift 3 Zchn"/>
    <w:basedOn w:val="Absatz-Standardschriftart"/>
    <w:link w:val="berschrift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StandardWeb">
    <w:name w:val="Normal (Web)"/>
    <w:basedOn w:val="Standard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Fett">
    <w:name w:val="Strong"/>
    <w:basedOn w:val="Absatz-Standardschriftart"/>
    <w:uiPriority w:val="22"/>
    <w:qFormat/>
    <w:rsid w:val="00AB6715"/>
    <w:rPr>
      <w:rFonts w:ascii="Times New Roman" w:hAnsi="Times New Roman"/>
      <w:b/>
      <w:bCs/>
    </w:rPr>
  </w:style>
  <w:style w:type="character" w:styleId="SchwacheHervorhebung">
    <w:name w:val="Subtle Emphasis"/>
    <w:basedOn w:val="Absatz-Standardschriftar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ellenraster">
    <w:name w:val="Table Grid"/>
    <w:basedOn w:val="NormaleTabelle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elZchn">
    <w:name w:val="Titel Zchn"/>
    <w:basedOn w:val="Absatz-Standardschriftart"/>
    <w:link w:val="Titel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el"/>
    <w:next w:val="Titel"/>
    <w:qFormat/>
    <w:rsid w:val="0001436A"/>
    <w:pPr>
      <w:spacing w:after="120"/>
    </w:pPr>
    <w:rPr>
      <w:i/>
    </w:rPr>
  </w:style>
  <w:style w:type="paragraph" w:customStyle="1" w:styleId="Default">
    <w:name w:val="Default"/>
    <w:rsid w:val="003862E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tif"/><Relationship Id="rId4" Type="http://schemas.openxmlformats.org/officeDocument/2006/relationships/settings" Target="settings.xml"/><Relationship Id="rId9" Type="http://schemas.openxmlformats.org/officeDocument/2006/relationships/image" Target="media/image2.tif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CB7BD678-3A81-4714-8453-CDCD7DB07A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Supplementary_Material.dotx</Template>
  <TotalTime>0</TotalTime>
  <Pages>5</Pages>
  <Words>540</Words>
  <Characters>3405</Characters>
  <Application>Microsoft Office Word</Application>
  <DocSecurity>4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Steiner, Sophie</cp:lastModifiedBy>
  <cp:revision>2</cp:revision>
  <cp:lastPrinted>2013-10-03T12:51:00Z</cp:lastPrinted>
  <dcterms:created xsi:type="dcterms:W3CDTF">2020-12-09T07:48:00Z</dcterms:created>
  <dcterms:modified xsi:type="dcterms:W3CDTF">2020-12-09T07:48:00Z</dcterms:modified>
</cp:coreProperties>
</file>