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5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3292"/>
        <w:gridCol w:w="1971"/>
        <w:gridCol w:w="1116"/>
        <w:gridCol w:w="1840"/>
        <w:gridCol w:w="1116"/>
        <w:gridCol w:w="1969"/>
        <w:gridCol w:w="1116"/>
        <w:gridCol w:w="1970"/>
        <w:gridCol w:w="1126"/>
        <w:gridCol w:w="64"/>
      </w:tblGrid>
      <w:tr w:rsidR="00952EBF" w14:paraId="372C322B" w14:textId="77777777" w:rsidTr="00054834">
        <w:trPr>
          <w:jc w:val="center"/>
        </w:trPr>
        <w:tc>
          <w:tcPr>
            <w:tcW w:w="15580" w:type="dxa"/>
            <w:gridSpan w:val="10"/>
            <w:tcBorders>
              <w:bottom w:val="single" w:sz="4" w:space="0" w:color="auto"/>
            </w:tcBorders>
            <w:vAlign w:val="center"/>
          </w:tcPr>
          <w:p w14:paraId="56E5564A" w14:textId="13F66E5D" w:rsidR="00C87591" w:rsidRPr="00993B51" w:rsidRDefault="00EB0587" w:rsidP="00C87591">
            <w:r>
              <w:rPr>
                <w:b/>
                <w:bCs/>
              </w:rPr>
              <w:t xml:space="preserve">Supplementary </w:t>
            </w:r>
            <w:r w:rsidR="00A23B07" w:rsidRPr="7CF93C90">
              <w:rPr>
                <w:b/>
                <w:bCs/>
              </w:rPr>
              <w:t xml:space="preserve">Table </w:t>
            </w:r>
            <w:r>
              <w:rPr>
                <w:b/>
                <w:bCs/>
              </w:rPr>
              <w:t>1</w:t>
            </w:r>
            <w:r w:rsidR="00C87591" w:rsidRPr="7CF93C90">
              <w:rPr>
                <w:b/>
                <w:bCs/>
              </w:rPr>
              <w:t>: Functional outcome measures across symptom duration and three years of follow-up by demographics and clinical factors</w:t>
            </w:r>
          </w:p>
        </w:tc>
      </w:tr>
      <w:tr w:rsidR="00952EBF" w14:paraId="44F16F6B" w14:textId="77777777" w:rsidTr="00054834">
        <w:trPr>
          <w:gridAfter w:val="1"/>
          <w:wAfter w:w="68" w:type="dxa"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7AEE" w14:textId="77777777" w:rsidR="00C87591" w:rsidRPr="00D758C9" w:rsidRDefault="00C87591" w:rsidP="004A5E48">
            <w:pPr>
              <w:jc w:val="center"/>
              <w:rPr>
                <w:rFonts w:cs="Times New Roman"/>
                <w:b/>
                <w:sz w:val="21"/>
              </w:rPr>
            </w:pPr>
            <w:r w:rsidRPr="00D758C9">
              <w:rPr>
                <w:rFonts w:cs="Times New Roman"/>
                <w:b/>
                <w:sz w:val="21"/>
              </w:rPr>
              <w:t>Characteristic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81A" w14:textId="77777777" w:rsidR="00C87591" w:rsidRPr="00D758C9" w:rsidRDefault="00C87591" w:rsidP="004A5E48">
            <w:pPr>
              <w:jc w:val="center"/>
              <w:rPr>
                <w:rFonts w:cs="Times New Roman"/>
                <w:b/>
                <w:sz w:val="21"/>
              </w:rPr>
            </w:pPr>
            <w:r w:rsidRPr="00D758C9">
              <w:rPr>
                <w:rFonts w:cs="Times New Roman"/>
                <w:b/>
                <w:sz w:val="21"/>
              </w:rPr>
              <w:t>NSAD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68B" w14:textId="77777777" w:rsidR="00C87591" w:rsidRPr="00D758C9" w:rsidRDefault="00C87591" w:rsidP="004A5E48">
            <w:pPr>
              <w:jc w:val="center"/>
              <w:rPr>
                <w:rFonts w:cs="Times New Roman"/>
                <w:b/>
                <w:sz w:val="21"/>
              </w:rPr>
            </w:pPr>
            <w:r w:rsidRPr="00D758C9">
              <w:rPr>
                <w:rFonts w:cs="Times New Roman"/>
                <w:b/>
                <w:sz w:val="21"/>
              </w:rPr>
              <w:t>ACTIVLIM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95B5" w14:textId="77777777" w:rsidR="00C87591" w:rsidRPr="00D758C9" w:rsidRDefault="00C87591" w:rsidP="004A5E48">
            <w:pPr>
              <w:jc w:val="center"/>
              <w:rPr>
                <w:rFonts w:cs="Times New Roman"/>
                <w:b/>
                <w:sz w:val="21"/>
              </w:rPr>
            </w:pPr>
            <w:r w:rsidRPr="00D758C9">
              <w:rPr>
                <w:rFonts w:cs="Times New Roman"/>
                <w:b/>
                <w:sz w:val="21"/>
              </w:rPr>
              <w:t>10 Meter Walk Test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117F9" w14:textId="77777777" w:rsidR="00C87591" w:rsidRPr="00D758C9" w:rsidRDefault="00C87591" w:rsidP="004A5E48">
            <w:pPr>
              <w:jc w:val="center"/>
              <w:rPr>
                <w:rFonts w:cs="Times New Roman"/>
                <w:b/>
                <w:sz w:val="21"/>
              </w:rPr>
            </w:pPr>
            <w:r w:rsidRPr="00D758C9">
              <w:rPr>
                <w:rFonts w:cs="Times New Roman"/>
                <w:b/>
                <w:sz w:val="21"/>
              </w:rPr>
              <w:t>6 Minute Walk Test</w:t>
            </w:r>
          </w:p>
        </w:tc>
      </w:tr>
      <w:tr w:rsidR="002C517D" w14:paraId="386DAD22" w14:textId="77777777" w:rsidTr="00054834">
        <w:trPr>
          <w:gridAfter w:val="1"/>
          <w:wAfter w:w="64" w:type="dxa"/>
          <w:trHeight w:val="576"/>
          <w:jc w:val="center"/>
        </w:trPr>
        <w:tc>
          <w:tcPr>
            <w:tcW w:w="3292" w:type="dxa"/>
            <w:vMerge/>
          </w:tcPr>
          <w:p w14:paraId="7D4C2C0A" w14:textId="77777777" w:rsidR="00C87591" w:rsidRPr="00D758C9" w:rsidRDefault="00C87591" w:rsidP="004A5E48">
            <w:pPr>
              <w:rPr>
                <w:rFonts w:cs="Times New Roman"/>
                <w:sz w:val="21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428978" w14:textId="4174FE05" w:rsidR="00C87591" w:rsidRPr="00ED6757" w:rsidRDefault="00C87591" w:rsidP="00EC0434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β</w:t>
            </w:r>
            <w:r w:rsidR="00EC0434" w:rsidRPr="00ED6757">
              <w:rPr>
                <w:rFonts w:cs="Times New Roman"/>
                <w:sz w:val="21"/>
                <w:szCs w:val="20"/>
              </w:rPr>
              <w:t xml:space="preserve"> (95% CI)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BAF5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p-value</w:t>
            </w:r>
          </w:p>
          <w:p w14:paraId="7630EDF1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(trajectory)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52572" w14:textId="5E81CCB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β</w:t>
            </w:r>
            <w:r w:rsidR="00516BAB" w:rsidRPr="00ED6757">
              <w:rPr>
                <w:rFonts w:cs="Times New Roman"/>
                <w:sz w:val="21"/>
                <w:szCs w:val="20"/>
              </w:rPr>
              <w:t xml:space="preserve"> (95% CI)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59AA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p-value</w:t>
            </w:r>
          </w:p>
          <w:p w14:paraId="47EE7AAA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(trajectory)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4B689" w14:textId="63ACE8A5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β</w:t>
            </w:r>
            <w:r w:rsidR="00790980" w:rsidRPr="00ED6757">
              <w:rPr>
                <w:rFonts w:cs="Times New Roman"/>
                <w:sz w:val="21"/>
                <w:szCs w:val="20"/>
              </w:rPr>
              <w:t xml:space="preserve"> (95% CI)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6A08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p-value</w:t>
            </w:r>
          </w:p>
          <w:p w14:paraId="715F7A96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(trajectory)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EEC9D8" w14:textId="30EB1DAD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β</w:t>
            </w:r>
            <w:r w:rsidR="003744C5" w:rsidRPr="00ED6757">
              <w:rPr>
                <w:rFonts w:cs="Times New Roman"/>
                <w:sz w:val="21"/>
                <w:szCs w:val="20"/>
              </w:rPr>
              <w:t xml:space="preserve"> (95% CI)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25F53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p-value</w:t>
            </w:r>
          </w:p>
          <w:p w14:paraId="58CFD6BB" w14:textId="77777777" w:rsidR="00C87591" w:rsidRPr="00ED6757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ED6757">
              <w:rPr>
                <w:rFonts w:cs="Times New Roman"/>
                <w:sz w:val="21"/>
                <w:szCs w:val="20"/>
              </w:rPr>
              <w:t>(trajectory)</w:t>
            </w:r>
          </w:p>
        </w:tc>
      </w:tr>
      <w:tr w:rsidR="00952EBF" w14:paraId="747D66EB" w14:textId="77777777" w:rsidTr="00054834">
        <w:trPr>
          <w:jc w:val="center"/>
        </w:trPr>
        <w:tc>
          <w:tcPr>
            <w:tcW w:w="15580" w:type="dxa"/>
            <w:gridSpan w:val="10"/>
            <w:tcBorders>
              <w:top w:val="single" w:sz="4" w:space="0" w:color="auto"/>
            </w:tcBorders>
            <w:vAlign w:val="center"/>
          </w:tcPr>
          <w:p w14:paraId="6297CC17" w14:textId="77777777" w:rsidR="00C87591" w:rsidRPr="00D758C9" w:rsidRDefault="00C87591" w:rsidP="004A5E48">
            <w:pPr>
              <w:jc w:val="center"/>
              <w:rPr>
                <w:rFonts w:cs="Times New Roman"/>
                <w:sz w:val="21"/>
                <w:vertAlign w:val="superscript"/>
              </w:rPr>
            </w:pPr>
            <w:r w:rsidRPr="00D758C9">
              <w:rPr>
                <w:rFonts w:cs="Times New Roman"/>
                <w:b/>
                <w:sz w:val="21"/>
              </w:rPr>
              <w:t xml:space="preserve">Symptom </w:t>
            </w:r>
            <w:proofErr w:type="spellStart"/>
            <w:r w:rsidRPr="00D758C9">
              <w:rPr>
                <w:rFonts w:cs="Times New Roman"/>
                <w:b/>
                <w:sz w:val="21"/>
              </w:rPr>
              <w:t>Duration</w:t>
            </w:r>
            <w:r w:rsidRPr="00D758C9">
              <w:rPr>
                <w:rFonts w:cs="Times New Roman"/>
                <w:sz w:val="21"/>
                <w:vertAlign w:val="superscript"/>
              </w:rPr>
              <w:t>a</w:t>
            </w:r>
            <w:proofErr w:type="spellEnd"/>
          </w:p>
        </w:tc>
      </w:tr>
      <w:tr w:rsidR="002C517D" w14:paraId="54E03FC6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3A0A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Symptom duration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D93E11" w14:textId="276DA110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-1.60</w:t>
            </w:r>
            <w:r w:rsidR="00EC0434" w:rsidRPr="00FE7B0D">
              <w:rPr>
                <w:rFonts w:cs="Times New Roman"/>
                <w:sz w:val="21"/>
                <w:szCs w:val="20"/>
              </w:rPr>
              <w:t xml:space="preserve"> (-1.88, -1.31)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2EE101" w14:textId="77777777" w:rsidR="00C87591" w:rsidRPr="00FE7B0D" w:rsidRDefault="00C87591" w:rsidP="004A5E48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0.0003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7A9A22" w14:textId="0E4B1626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-0.78</w:t>
            </w:r>
            <w:r w:rsidR="00516BAB" w:rsidRPr="00FE7B0D">
              <w:rPr>
                <w:rFonts w:cs="Times New Roman"/>
                <w:sz w:val="21"/>
                <w:szCs w:val="20"/>
              </w:rPr>
              <w:t xml:space="preserve"> (-0.88, -0.67)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780217" w14:textId="77777777" w:rsidR="00C87591" w:rsidRPr="00FE7B0D" w:rsidRDefault="00C87591" w:rsidP="004A5E48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0.03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F4EA05" w14:textId="3EF62573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-0.08</w:t>
            </w:r>
            <w:r w:rsidR="002C517D" w:rsidRPr="00FE7B0D">
              <w:rPr>
                <w:rFonts w:cs="Times New Roman"/>
                <w:sz w:val="21"/>
                <w:szCs w:val="20"/>
              </w:rPr>
              <w:t xml:space="preserve"> (-0.10, -0.06)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C2AE77" w14:textId="77777777" w:rsidR="00C87591" w:rsidRPr="00FE7B0D" w:rsidRDefault="00C87591" w:rsidP="004A5E48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&lt; 0.0001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ABCD3F" w14:textId="1381296D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-0.04</w:t>
            </w:r>
            <w:r w:rsidR="000C3497" w:rsidRPr="00FE7B0D">
              <w:rPr>
                <w:rFonts w:cs="Times New Roman"/>
                <w:sz w:val="21"/>
                <w:szCs w:val="20"/>
              </w:rPr>
              <w:t xml:space="preserve"> (</w:t>
            </w:r>
            <w:r w:rsidR="003744C5" w:rsidRPr="00FE7B0D">
              <w:rPr>
                <w:rFonts w:cs="Times New Roman"/>
                <w:sz w:val="21"/>
                <w:szCs w:val="20"/>
              </w:rPr>
              <w:t>-0.05, -0.03)</w:t>
            </w:r>
            <w:r w:rsidR="003744C5"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36ED9E57" w14:textId="77777777" w:rsidR="00C87591" w:rsidRPr="00AD483C" w:rsidRDefault="00C87591" w:rsidP="004A5E48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0.003</w:t>
            </w:r>
          </w:p>
        </w:tc>
      </w:tr>
      <w:tr w:rsidR="002C517D" w14:paraId="2A9631A0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  <w:shd w:val="clear" w:color="auto" w:fill="auto"/>
          </w:tcPr>
          <w:p w14:paraId="39FB6EC3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Race</w:t>
            </w:r>
          </w:p>
          <w:p w14:paraId="7DD514E4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White</w:t>
            </w:r>
          </w:p>
          <w:p w14:paraId="728F57CD" w14:textId="1E6120A2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Asian</w:t>
            </w:r>
          </w:p>
          <w:p w14:paraId="00283FC0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Hispanic</w:t>
            </w:r>
          </w:p>
          <w:p w14:paraId="232247FF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Other</w:t>
            </w:r>
          </w:p>
        </w:tc>
        <w:tc>
          <w:tcPr>
            <w:tcW w:w="1971" w:type="dxa"/>
            <w:tcBorders>
              <w:left w:val="single" w:sz="4" w:space="0" w:color="auto"/>
            </w:tcBorders>
            <w:shd w:val="clear" w:color="auto" w:fill="auto"/>
          </w:tcPr>
          <w:p w14:paraId="7530D1A9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6CE82851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215FA93C" w14:textId="2DF01ADB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-4.43</w:t>
            </w:r>
            <w:r w:rsidR="00BD425D" w:rsidRPr="00FE7B0D">
              <w:rPr>
                <w:rFonts w:cs="Times New Roman"/>
                <w:sz w:val="21"/>
                <w:szCs w:val="20"/>
              </w:rPr>
              <w:t xml:space="preserve"> (</w:t>
            </w:r>
            <w:r w:rsidR="00802494" w:rsidRPr="00FE7B0D">
              <w:rPr>
                <w:rFonts w:cs="Times New Roman"/>
                <w:sz w:val="21"/>
                <w:szCs w:val="20"/>
              </w:rPr>
              <w:t>-10.25, 1.40)</w:t>
            </w:r>
          </w:p>
          <w:p w14:paraId="6DEC155F" w14:textId="76AE8150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-5.58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(-11.93, 0.77)</w:t>
            </w:r>
          </w:p>
          <w:p w14:paraId="14FCCEA8" w14:textId="4A9E8BCB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-3.52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(-9.59, 2.55)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4190C14C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0.85</w:t>
            </w:r>
          </w:p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auto"/>
          </w:tcPr>
          <w:p w14:paraId="69545846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63CB6333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0CA97957" w14:textId="011DBD9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-0.71</w:t>
            </w:r>
            <w:r w:rsidR="00516BAB" w:rsidRPr="00FE7B0D">
              <w:rPr>
                <w:rFonts w:cs="Times New Roman"/>
                <w:sz w:val="21"/>
                <w:szCs w:val="20"/>
              </w:rPr>
              <w:t xml:space="preserve"> (-3.85, 2.43)</w:t>
            </w:r>
          </w:p>
          <w:p w14:paraId="5CA0C1F7" w14:textId="3B06723A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-0.97</w:t>
            </w:r>
            <w:r w:rsidR="00516BAB" w:rsidRPr="00FE7B0D">
              <w:rPr>
                <w:rFonts w:cs="Times New Roman"/>
                <w:sz w:val="21"/>
                <w:szCs w:val="20"/>
              </w:rPr>
              <w:t xml:space="preserve"> (-4.22, 2.27)</w:t>
            </w:r>
          </w:p>
          <w:p w14:paraId="1E3E05E3" w14:textId="7308A7E8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-0.28</w:t>
            </w:r>
            <w:r w:rsidR="00516BAB" w:rsidRPr="00FE7B0D">
              <w:rPr>
                <w:rFonts w:cs="Times New Roman"/>
                <w:sz w:val="21"/>
                <w:szCs w:val="20"/>
              </w:rPr>
              <w:t xml:space="preserve"> (-4.44, 3.87)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4C74912F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0.65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auto"/>
          </w:tcPr>
          <w:p w14:paraId="2EF28900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297E7F12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74DDA69C" w14:textId="4B799FF9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-0.53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(-0.89, -0.16)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  <w:p w14:paraId="764D9D0A" w14:textId="4E36A4A0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-0.30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(-0.69, 0.08)</w:t>
            </w:r>
          </w:p>
          <w:p w14:paraId="1A8E77E7" w14:textId="694558F1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-0.18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(-0.56, 0.21)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669AA8B7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0.11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shd w:val="clear" w:color="auto" w:fill="auto"/>
          </w:tcPr>
          <w:p w14:paraId="56475F7A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0B26B3D9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66CE4E37" w14:textId="386377EA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-0.25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(-0.42, -0.08)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  <w:p w14:paraId="139B91A3" w14:textId="235A0050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-0.15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(-0.37, 0.07)</w:t>
            </w:r>
          </w:p>
          <w:p w14:paraId="522EE524" w14:textId="6C8EF6B3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-0.09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(-0.31, 0.13)</w:t>
            </w:r>
          </w:p>
        </w:tc>
        <w:tc>
          <w:tcPr>
            <w:tcW w:w="1126" w:type="dxa"/>
          </w:tcPr>
          <w:p w14:paraId="6C19887E" w14:textId="77777777" w:rsidR="00C87591" w:rsidRPr="00AD483C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0.44</w:t>
            </w:r>
          </w:p>
        </w:tc>
      </w:tr>
      <w:tr w:rsidR="002C517D" w14:paraId="17EE9696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  <w:shd w:val="clear" w:color="auto" w:fill="auto"/>
          </w:tcPr>
          <w:p w14:paraId="5EFA97AC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Sex</w:t>
            </w:r>
          </w:p>
          <w:p w14:paraId="4E998570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Male</w:t>
            </w:r>
          </w:p>
          <w:p w14:paraId="72A0FF5D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Female</w:t>
            </w:r>
          </w:p>
        </w:tc>
        <w:tc>
          <w:tcPr>
            <w:tcW w:w="1971" w:type="dxa"/>
            <w:tcBorders>
              <w:left w:val="single" w:sz="4" w:space="0" w:color="auto"/>
            </w:tcBorders>
            <w:shd w:val="clear" w:color="auto" w:fill="auto"/>
          </w:tcPr>
          <w:p w14:paraId="25717F49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0E2CC799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66F1F546" w14:textId="033DB296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4.60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(0.90, 8.31)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6B5B5D36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0.17</w:t>
            </w:r>
          </w:p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auto"/>
          </w:tcPr>
          <w:p w14:paraId="2B13D834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335A18D6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22778A55" w14:textId="55B4C42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1.76</w:t>
            </w:r>
            <w:r w:rsidR="00516BAB" w:rsidRPr="00FE7B0D">
              <w:rPr>
                <w:rFonts w:cs="Times New Roman"/>
                <w:sz w:val="21"/>
                <w:szCs w:val="20"/>
              </w:rPr>
              <w:t xml:space="preserve"> (-0.51, 4.03)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5F02A862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0.66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auto"/>
          </w:tcPr>
          <w:p w14:paraId="040298B6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72A9412D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62364AFD" w14:textId="774E34B5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0.17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(-0.09, 0.42)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57E7BEA0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0.19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shd w:val="clear" w:color="auto" w:fill="auto"/>
          </w:tcPr>
          <w:p w14:paraId="7088DD7C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4DA5C453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6B697BBE" w14:textId="39B8C38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0.12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(-0.01, 0.25)</w:t>
            </w:r>
          </w:p>
        </w:tc>
        <w:tc>
          <w:tcPr>
            <w:tcW w:w="1126" w:type="dxa"/>
          </w:tcPr>
          <w:p w14:paraId="48BD0ED3" w14:textId="77777777" w:rsidR="00C87591" w:rsidRPr="00AD483C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0.86</w:t>
            </w:r>
          </w:p>
        </w:tc>
      </w:tr>
      <w:tr w:rsidR="002C517D" w14:paraId="1D9D2617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  <w:shd w:val="clear" w:color="auto" w:fill="auto"/>
          </w:tcPr>
          <w:p w14:paraId="3713BB7B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Age at onset</w:t>
            </w:r>
          </w:p>
        </w:tc>
        <w:tc>
          <w:tcPr>
            <w:tcW w:w="1971" w:type="dxa"/>
            <w:tcBorders>
              <w:left w:val="single" w:sz="4" w:space="0" w:color="auto"/>
            </w:tcBorders>
            <w:shd w:val="clear" w:color="auto" w:fill="auto"/>
          </w:tcPr>
          <w:p w14:paraId="0B0C2000" w14:textId="3215C233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0.26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(0.06, 0.45)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6B3449F5" w14:textId="77777777" w:rsidR="00C87591" w:rsidRPr="00FE7B0D" w:rsidRDefault="00C87591" w:rsidP="004A5E48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0.04</w:t>
            </w:r>
          </w:p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auto"/>
          </w:tcPr>
          <w:p w14:paraId="5006316A" w14:textId="59D3D2AE" w:rsidR="00C87591" w:rsidRPr="00FE7B0D" w:rsidRDefault="00516BAB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0.07 (-0.04, 0.19)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18A2A1A0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0.48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auto"/>
          </w:tcPr>
          <w:p w14:paraId="321F431A" w14:textId="16437245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0.006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(-0.007, 0.02)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745E1D53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0.85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shd w:val="clear" w:color="auto" w:fill="auto"/>
          </w:tcPr>
          <w:p w14:paraId="5997F409" w14:textId="2683EA68" w:rsidR="00C87591" w:rsidRPr="00FE7B0D" w:rsidRDefault="003744C5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0.004 (-0.002, 0.01) </w:t>
            </w:r>
          </w:p>
        </w:tc>
        <w:tc>
          <w:tcPr>
            <w:tcW w:w="1126" w:type="dxa"/>
          </w:tcPr>
          <w:p w14:paraId="3579D2EA" w14:textId="77777777" w:rsidR="00C87591" w:rsidRPr="00AD483C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0.71</w:t>
            </w:r>
          </w:p>
        </w:tc>
      </w:tr>
      <w:tr w:rsidR="002C517D" w14:paraId="0E158DD5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966E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Teen exercise level</w:t>
            </w:r>
          </w:p>
          <w:p w14:paraId="209BDA19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None</w:t>
            </w:r>
          </w:p>
          <w:p w14:paraId="160AA649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Low</w:t>
            </w:r>
          </w:p>
          <w:p w14:paraId="3199F0A6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Moderate</w:t>
            </w:r>
          </w:p>
          <w:p w14:paraId="79B1D7A2" w14:textId="77777777" w:rsidR="00C87591" w:rsidRPr="00FE7B0D" w:rsidRDefault="00C87591" w:rsidP="004A5E48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High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AA5F0F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410D8A02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3F74341C" w14:textId="718E0EFA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-0.35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(-6.37, 5.68)</w:t>
            </w:r>
          </w:p>
          <w:p w14:paraId="67FFF7A7" w14:textId="3685613A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-2.45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(-7.67, 2.78)</w:t>
            </w:r>
          </w:p>
          <w:p w14:paraId="61CCA792" w14:textId="0F2C4D32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-2.97</w:t>
            </w:r>
            <w:r w:rsidR="00802494" w:rsidRPr="00FE7B0D">
              <w:rPr>
                <w:rFonts w:cs="Times New Roman"/>
                <w:sz w:val="21"/>
                <w:szCs w:val="20"/>
              </w:rPr>
              <w:t xml:space="preserve"> (-7.48, 1.54)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6715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0.58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903858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6FCE45C9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57581B3E" w14:textId="53EA8D63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-1.42</w:t>
            </w:r>
            <w:r w:rsidR="00E86B45" w:rsidRPr="00FE7B0D">
              <w:rPr>
                <w:rFonts w:cs="Times New Roman"/>
                <w:sz w:val="21"/>
                <w:szCs w:val="20"/>
              </w:rPr>
              <w:t xml:space="preserve"> (-4.94, 2.10)</w:t>
            </w:r>
          </w:p>
          <w:p w14:paraId="6A19F0AA" w14:textId="181EF82C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-1.28</w:t>
            </w:r>
            <w:r w:rsidR="00E86B45" w:rsidRPr="00FE7B0D">
              <w:rPr>
                <w:rFonts w:cs="Times New Roman"/>
                <w:sz w:val="21"/>
                <w:szCs w:val="20"/>
              </w:rPr>
              <w:t xml:space="preserve"> (-4.34, 1.77)</w:t>
            </w:r>
          </w:p>
          <w:p w14:paraId="00328D1E" w14:textId="2FFEE48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-2.59</w:t>
            </w:r>
            <w:r w:rsidR="00E86B45" w:rsidRPr="00FE7B0D">
              <w:rPr>
                <w:rFonts w:cs="Times New Roman"/>
                <w:sz w:val="21"/>
                <w:szCs w:val="20"/>
              </w:rPr>
              <w:t xml:space="preserve"> (-5.35, 0.17)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65D5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0.60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B5D1F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13F02DBB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00170CA5" w14:textId="5BC966E4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-0.07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(-0.46, 0.31)</w:t>
            </w:r>
          </w:p>
          <w:p w14:paraId="0F4CC1C7" w14:textId="2CE35E8C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-0.05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(-0.38, 0.28)</w:t>
            </w:r>
          </w:p>
          <w:p w14:paraId="0EB2ACBD" w14:textId="2C7C626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-0.08</w:t>
            </w:r>
            <w:r w:rsidR="00A82651" w:rsidRPr="00FE7B0D">
              <w:rPr>
                <w:rFonts w:cs="Times New Roman"/>
                <w:sz w:val="21"/>
                <w:szCs w:val="20"/>
              </w:rPr>
              <w:t xml:space="preserve"> (-0.38, 0.22)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8DB1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0.08</w:t>
            </w:r>
          </w:p>
        </w:tc>
        <w:tc>
          <w:tcPr>
            <w:tcW w:w="19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DAE70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4B79DF1F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1D717956" w14:textId="15B82E78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-0.06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(-0.27, 0.15)</w:t>
            </w:r>
          </w:p>
          <w:p w14:paraId="2548A040" w14:textId="7849BF50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-0.04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(-0.21, 0.14)</w:t>
            </w:r>
          </w:p>
          <w:p w14:paraId="6E388014" w14:textId="13A86B7F" w:rsidR="00C87591" w:rsidRPr="00FE7B0D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-0.09</w:t>
            </w:r>
            <w:r w:rsidR="003744C5" w:rsidRPr="00FE7B0D">
              <w:rPr>
                <w:rFonts w:cs="Times New Roman"/>
                <w:sz w:val="21"/>
                <w:szCs w:val="20"/>
              </w:rPr>
              <w:t xml:space="preserve"> (-0.23, 0.06)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8966E63" w14:textId="77777777" w:rsidR="00C87591" w:rsidRPr="00AD483C" w:rsidRDefault="00C87591" w:rsidP="004A5E48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0.21</w:t>
            </w:r>
          </w:p>
        </w:tc>
      </w:tr>
      <w:tr w:rsidR="00952EBF" w14:paraId="42EA749B" w14:textId="77777777" w:rsidTr="00FE7B0D">
        <w:trPr>
          <w:jc w:val="center"/>
        </w:trPr>
        <w:tc>
          <w:tcPr>
            <w:tcW w:w="155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ECAE4" w14:textId="77777777" w:rsidR="00C87591" w:rsidRPr="00FE7B0D" w:rsidRDefault="00C87591" w:rsidP="004A5E48">
            <w:pPr>
              <w:jc w:val="center"/>
              <w:rPr>
                <w:rFonts w:cs="Times New Roman"/>
                <w:sz w:val="21"/>
                <w:vertAlign w:val="superscript"/>
              </w:rPr>
            </w:pPr>
            <w:r w:rsidRPr="00FE7B0D">
              <w:rPr>
                <w:rFonts w:cs="Times New Roman"/>
                <w:b/>
                <w:sz w:val="21"/>
              </w:rPr>
              <w:t>Study Follow-</w:t>
            </w:r>
            <w:proofErr w:type="spellStart"/>
            <w:r w:rsidRPr="00FE7B0D">
              <w:rPr>
                <w:rFonts w:cs="Times New Roman"/>
                <w:b/>
                <w:sz w:val="21"/>
              </w:rPr>
              <w:t>up</w:t>
            </w:r>
            <w:r w:rsidRPr="00FE7B0D">
              <w:rPr>
                <w:rFonts w:cs="Times New Roman"/>
                <w:sz w:val="21"/>
                <w:vertAlign w:val="superscript"/>
              </w:rPr>
              <w:t>b</w:t>
            </w:r>
            <w:proofErr w:type="spellEnd"/>
          </w:p>
        </w:tc>
      </w:tr>
      <w:tr w:rsidR="002C517D" w14:paraId="1B05CF9E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27D0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Follow-up time (in months)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6C37AB" w14:textId="00CD7BFA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-0.14</w:t>
            </w:r>
            <w:r w:rsidR="0001556C" w:rsidRPr="00FE7B0D">
              <w:rPr>
                <w:rFonts w:cs="Times New Roman"/>
                <w:sz w:val="21"/>
                <w:szCs w:val="20"/>
              </w:rPr>
              <w:t xml:space="preserve"> (-0.17, -0.11)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A0848C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09B838" w14:textId="2F556522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-0.09</w:t>
            </w:r>
            <w:r w:rsidR="00B93CD9" w:rsidRPr="00FE7B0D">
              <w:rPr>
                <w:rFonts w:cs="Times New Roman"/>
                <w:sz w:val="21"/>
                <w:szCs w:val="20"/>
              </w:rPr>
              <w:t xml:space="preserve"> (-0.11, -0.08)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ECE927" w14:textId="77777777" w:rsidR="00C87591" w:rsidRPr="00FE7B0D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--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B94878" w14:textId="2AC01AA6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-0.01</w:t>
            </w:r>
            <w:r w:rsidR="006845A6" w:rsidRPr="00FE7B0D">
              <w:rPr>
                <w:rFonts w:cs="Times New Roman"/>
                <w:sz w:val="21"/>
                <w:szCs w:val="20"/>
              </w:rPr>
              <w:t xml:space="preserve"> (-0.01, -0.009)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1E127C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B818A8" w14:textId="46409D7D" w:rsidR="00C87591" w:rsidRPr="00FE7B0D" w:rsidRDefault="00C87591" w:rsidP="006845A6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-0.0</w:t>
            </w:r>
            <w:r w:rsidR="006845A6" w:rsidRPr="00FE7B0D">
              <w:rPr>
                <w:rFonts w:cs="Times New Roman"/>
                <w:sz w:val="21"/>
                <w:szCs w:val="20"/>
              </w:rPr>
              <w:t>1 (-0.01, -0.004)</w:t>
            </w:r>
            <w:r w:rsidR="006845A6"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7296B760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--</w:t>
            </w:r>
          </w:p>
        </w:tc>
      </w:tr>
      <w:tr w:rsidR="002C517D" w14:paraId="65B9DBCE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  <w:shd w:val="clear" w:color="auto" w:fill="auto"/>
          </w:tcPr>
          <w:p w14:paraId="48FAB00C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Age at baseline</w:t>
            </w:r>
          </w:p>
        </w:tc>
        <w:tc>
          <w:tcPr>
            <w:tcW w:w="1971" w:type="dxa"/>
            <w:tcBorders>
              <w:left w:val="single" w:sz="4" w:space="0" w:color="auto"/>
            </w:tcBorders>
            <w:shd w:val="clear" w:color="auto" w:fill="auto"/>
          </w:tcPr>
          <w:p w14:paraId="5440996B" w14:textId="52AFA692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-0.44</w:t>
            </w:r>
            <w:r w:rsidR="0001556C" w:rsidRPr="00FE7B0D">
              <w:rPr>
                <w:rFonts w:cs="Times New Roman"/>
                <w:sz w:val="21"/>
                <w:szCs w:val="20"/>
              </w:rPr>
              <w:t xml:space="preserve"> (-0.63, -0.25)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4D4A8EA3" w14:textId="77777777" w:rsidR="00C87591" w:rsidRPr="00FE7B0D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0.002</w:t>
            </w:r>
          </w:p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auto"/>
          </w:tcPr>
          <w:p w14:paraId="404EEB37" w14:textId="5D3B26F9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-0.35</w:t>
            </w:r>
            <w:r w:rsidR="00B93CD9" w:rsidRPr="00FE7B0D">
              <w:rPr>
                <w:rFonts w:cs="Times New Roman"/>
                <w:sz w:val="21"/>
                <w:szCs w:val="20"/>
              </w:rPr>
              <w:t xml:space="preserve"> (-0.44, -0.25)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2EA27B51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0.20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auto"/>
          </w:tcPr>
          <w:p w14:paraId="2A61A034" w14:textId="5AEC5E53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-0.03</w:t>
            </w:r>
            <w:r w:rsidR="007E2C5D" w:rsidRPr="00FE7B0D">
              <w:rPr>
                <w:rFonts w:cs="Times New Roman"/>
                <w:sz w:val="21"/>
                <w:szCs w:val="20"/>
              </w:rPr>
              <w:t xml:space="preserve"> (-0.04, -0.02)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7E4BB331" w14:textId="77777777" w:rsidR="00C87591" w:rsidRPr="00FE7B0D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FE7B0D">
              <w:rPr>
                <w:rFonts w:cs="Times New Roman"/>
                <w:b/>
                <w:sz w:val="21"/>
                <w:szCs w:val="20"/>
              </w:rPr>
              <w:t>0.04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shd w:val="clear" w:color="auto" w:fill="auto"/>
          </w:tcPr>
          <w:p w14:paraId="392669DE" w14:textId="696E0376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-0.02</w:t>
            </w:r>
            <w:r w:rsidR="006845A6" w:rsidRPr="00FE7B0D">
              <w:rPr>
                <w:rFonts w:cs="Times New Roman"/>
                <w:sz w:val="21"/>
                <w:szCs w:val="20"/>
              </w:rPr>
              <w:t xml:space="preserve"> (-0.02, -0.01)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</w:tcPr>
          <w:p w14:paraId="11B84849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0.76</w:t>
            </w:r>
          </w:p>
        </w:tc>
      </w:tr>
      <w:tr w:rsidR="002C517D" w14:paraId="44B4CE5F" w14:textId="77777777" w:rsidTr="00FE7B0D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  <w:shd w:val="clear" w:color="auto" w:fill="auto"/>
          </w:tcPr>
          <w:p w14:paraId="26324C06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Race</w:t>
            </w:r>
          </w:p>
          <w:p w14:paraId="729B4204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White</w:t>
            </w:r>
          </w:p>
          <w:p w14:paraId="49408A5D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Asian</w:t>
            </w:r>
          </w:p>
          <w:p w14:paraId="4C08F5D0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Hispanic</w:t>
            </w:r>
          </w:p>
          <w:p w14:paraId="0ECB1936" w14:textId="77777777" w:rsidR="00C87591" w:rsidRPr="00FE7B0D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   Other</w:t>
            </w:r>
          </w:p>
        </w:tc>
        <w:tc>
          <w:tcPr>
            <w:tcW w:w="1971" w:type="dxa"/>
            <w:tcBorders>
              <w:left w:val="single" w:sz="4" w:space="0" w:color="auto"/>
            </w:tcBorders>
            <w:shd w:val="clear" w:color="auto" w:fill="auto"/>
          </w:tcPr>
          <w:p w14:paraId="2092EEA2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3FD9714D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13DC7682" w14:textId="647373CA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-4.07</w:t>
            </w:r>
            <w:r w:rsidR="0001556C" w:rsidRPr="00FE7B0D">
              <w:rPr>
                <w:rFonts w:cs="Times New Roman"/>
                <w:sz w:val="21"/>
                <w:szCs w:val="20"/>
              </w:rPr>
              <w:t xml:space="preserve"> (-10.12, 1.98)</w:t>
            </w:r>
          </w:p>
          <w:p w14:paraId="0BBB2369" w14:textId="10405FB1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-2.95</w:t>
            </w:r>
            <w:r w:rsidR="0001556C" w:rsidRPr="00FE7B0D">
              <w:rPr>
                <w:rFonts w:cs="Times New Roman"/>
                <w:sz w:val="21"/>
                <w:szCs w:val="20"/>
              </w:rPr>
              <w:t xml:space="preserve"> (-10.51, 4.60)</w:t>
            </w:r>
          </w:p>
          <w:p w14:paraId="254A1FE1" w14:textId="3E1AE3AA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>-7.11</w:t>
            </w:r>
            <w:r w:rsidR="0001556C" w:rsidRPr="00FE7B0D">
              <w:rPr>
                <w:rFonts w:cs="Times New Roman"/>
                <w:sz w:val="21"/>
                <w:szCs w:val="20"/>
              </w:rPr>
              <w:t xml:space="preserve"> (-12.89, -1.33)</w:t>
            </w:r>
            <w:r w:rsidR="0001556C"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27B5BF13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0.84</w:t>
            </w:r>
          </w:p>
        </w:tc>
        <w:tc>
          <w:tcPr>
            <w:tcW w:w="1840" w:type="dxa"/>
            <w:tcBorders>
              <w:left w:val="single" w:sz="4" w:space="0" w:color="auto"/>
            </w:tcBorders>
            <w:shd w:val="clear" w:color="auto" w:fill="auto"/>
          </w:tcPr>
          <w:p w14:paraId="0270088F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1F050275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1E3C184D" w14:textId="67114371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-0.09</w:t>
            </w:r>
            <w:r w:rsidR="00B93CD9" w:rsidRPr="00FE7B0D">
              <w:rPr>
                <w:rFonts w:cs="Times New Roman"/>
                <w:sz w:val="21"/>
                <w:szCs w:val="20"/>
              </w:rPr>
              <w:t xml:space="preserve"> (-3.41, 3.22)</w:t>
            </w:r>
          </w:p>
          <w:p w14:paraId="027D0BA2" w14:textId="6C5FA984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-0.08</w:t>
            </w:r>
            <w:r w:rsidR="00B93CD9" w:rsidRPr="00FE7B0D">
              <w:rPr>
                <w:rFonts w:cs="Times New Roman"/>
                <w:sz w:val="21"/>
                <w:szCs w:val="20"/>
              </w:rPr>
              <w:t xml:space="preserve"> (-4.11, 3.95)</w:t>
            </w:r>
          </w:p>
          <w:p w14:paraId="1233E82C" w14:textId="738B1A21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-1.77</w:t>
            </w:r>
            <w:r w:rsidR="00B93CD9" w:rsidRPr="00FE7B0D">
              <w:rPr>
                <w:rFonts w:cs="Times New Roman"/>
                <w:sz w:val="21"/>
                <w:szCs w:val="20"/>
              </w:rPr>
              <w:t xml:space="preserve"> (-5.79, 2.24)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6C5E9ACE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0.41</w:t>
            </w:r>
          </w:p>
        </w:tc>
        <w:tc>
          <w:tcPr>
            <w:tcW w:w="1969" w:type="dxa"/>
            <w:tcBorders>
              <w:left w:val="single" w:sz="4" w:space="0" w:color="auto"/>
            </w:tcBorders>
            <w:shd w:val="clear" w:color="auto" w:fill="auto"/>
          </w:tcPr>
          <w:p w14:paraId="0465B1DF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4C65742E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6B26DD14" w14:textId="4244BEA3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-0.39</w:t>
            </w:r>
            <w:r w:rsidR="007E2C5D" w:rsidRPr="00FE7B0D">
              <w:rPr>
                <w:rFonts w:cs="Times New Roman"/>
                <w:sz w:val="21"/>
                <w:szCs w:val="20"/>
              </w:rPr>
              <w:t xml:space="preserve"> (-0.73, -0.06)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  <w:p w14:paraId="4CFC3656" w14:textId="1B1A5F96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-0.21</w:t>
            </w:r>
            <w:r w:rsidR="007E2C5D" w:rsidRPr="00FE7B0D">
              <w:rPr>
                <w:rFonts w:cs="Times New Roman"/>
                <w:sz w:val="21"/>
                <w:szCs w:val="20"/>
              </w:rPr>
              <w:t xml:space="preserve"> (-0.60, 0.18)</w:t>
            </w:r>
          </w:p>
          <w:p w14:paraId="02BD54A4" w14:textId="6CFFFD39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-0.52</w:t>
            </w:r>
            <w:r w:rsidR="007E2C5D" w:rsidRPr="00FE7B0D">
              <w:rPr>
                <w:rFonts w:cs="Times New Roman"/>
                <w:sz w:val="21"/>
                <w:szCs w:val="20"/>
              </w:rPr>
              <w:t xml:space="preserve"> (-0.79, -0.24)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</w:tcPr>
          <w:p w14:paraId="3464D16C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0.14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shd w:val="clear" w:color="auto" w:fill="auto"/>
          </w:tcPr>
          <w:p w14:paraId="1AC2FEC5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45B49093" w14:textId="7777777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Ref.</w:t>
            </w:r>
          </w:p>
          <w:p w14:paraId="3B1B3C68" w14:textId="7F07C90C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-0.22</w:t>
            </w:r>
            <w:r w:rsidR="006845A6" w:rsidRPr="00FE7B0D">
              <w:rPr>
                <w:rFonts w:cs="Times New Roman"/>
                <w:sz w:val="21"/>
                <w:szCs w:val="20"/>
              </w:rPr>
              <w:t xml:space="preserve"> (-0.41, -0.04)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  <w:p w14:paraId="1EE935EE" w14:textId="249990F5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FE7B0D">
              <w:rPr>
                <w:rFonts w:cs="Times New Roman"/>
                <w:sz w:val="21"/>
                <w:szCs w:val="20"/>
              </w:rPr>
              <w:t>-0.08</w:t>
            </w:r>
            <w:r w:rsidR="006845A6" w:rsidRPr="00FE7B0D">
              <w:rPr>
                <w:rFonts w:cs="Times New Roman"/>
                <w:sz w:val="21"/>
                <w:szCs w:val="20"/>
              </w:rPr>
              <w:t xml:space="preserve"> (-0.31, 0.16)</w:t>
            </w:r>
          </w:p>
          <w:p w14:paraId="73C69E42" w14:textId="79920E17" w:rsidR="00C87591" w:rsidRPr="00FE7B0D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FE7B0D">
              <w:rPr>
                <w:rFonts w:cs="Times New Roman"/>
                <w:sz w:val="21"/>
                <w:szCs w:val="20"/>
              </w:rPr>
              <w:t xml:space="preserve"> -0.20</w:t>
            </w:r>
            <w:r w:rsidR="006845A6" w:rsidRPr="00FE7B0D">
              <w:rPr>
                <w:rFonts w:cs="Times New Roman"/>
                <w:sz w:val="21"/>
                <w:szCs w:val="20"/>
              </w:rPr>
              <w:t xml:space="preserve"> (-0.39, -0.01)</w:t>
            </w:r>
            <w:r w:rsidRPr="00FE7B0D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</w:tcPr>
          <w:p w14:paraId="25B25006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0.38</w:t>
            </w:r>
          </w:p>
        </w:tc>
      </w:tr>
      <w:tr w:rsidR="002C517D" w14:paraId="60C0A5C1" w14:textId="77777777" w:rsidTr="00054834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</w:tcPr>
          <w:p w14:paraId="675DE455" w14:textId="77777777" w:rsidR="00C87591" w:rsidRPr="00AD483C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Sex</w:t>
            </w:r>
          </w:p>
          <w:p w14:paraId="180D7835" w14:textId="77777777" w:rsidR="00C87591" w:rsidRPr="00AD483C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 xml:space="preserve">    Male</w:t>
            </w:r>
          </w:p>
          <w:p w14:paraId="57C94F3C" w14:textId="77777777" w:rsidR="00C87591" w:rsidRPr="00AD483C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 xml:space="preserve">    Female</w:t>
            </w:r>
          </w:p>
        </w:tc>
        <w:tc>
          <w:tcPr>
            <w:tcW w:w="1971" w:type="dxa"/>
            <w:tcBorders>
              <w:left w:val="single" w:sz="4" w:space="0" w:color="auto"/>
            </w:tcBorders>
          </w:tcPr>
          <w:p w14:paraId="60F1A3A9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312075B1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Ref.</w:t>
            </w:r>
          </w:p>
          <w:p w14:paraId="454FE556" w14:textId="7904BA6C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3.27</w:t>
            </w:r>
            <w:r w:rsidR="0001556C" w:rsidRPr="00AD483C">
              <w:rPr>
                <w:rFonts w:cs="Times New Roman"/>
                <w:sz w:val="21"/>
                <w:szCs w:val="20"/>
              </w:rPr>
              <w:t xml:space="preserve"> (-1.46, 8.00)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251DEC82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0.14</w:t>
            </w:r>
          </w:p>
        </w:tc>
        <w:tc>
          <w:tcPr>
            <w:tcW w:w="1840" w:type="dxa"/>
            <w:tcBorders>
              <w:left w:val="single" w:sz="4" w:space="0" w:color="auto"/>
            </w:tcBorders>
          </w:tcPr>
          <w:p w14:paraId="08071005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11FE4CA9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Ref.</w:t>
            </w:r>
          </w:p>
          <w:p w14:paraId="63CFB5C0" w14:textId="06FFC03A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1.07</w:t>
            </w:r>
            <w:r w:rsidR="00B93CD9" w:rsidRPr="00AD483C">
              <w:rPr>
                <w:rFonts w:cs="Times New Roman"/>
                <w:sz w:val="21"/>
                <w:szCs w:val="20"/>
              </w:rPr>
              <w:t xml:space="preserve"> (-1.51, 3.64)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327C7618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0.19</w:t>
            </w:r>
          </w:p>
        </w:tc>
        <w:tc>
          <w:tcPr>
            <w:tcW w:w="1969" w:type="dxa"/>
            <w:tcBorders>
              <w:left w:val="single" w:sz="4" w:space="0" w:color="auto"/>
            </w:tcBorders>
          </w:tcPr>
          <w:p w14:paraId="6BCB4D69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7165950D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Ref.</w:t>
            </w:r>
          </w:p>
          <w:p w14:paraId="611400BE" w14:textId="03937850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0.05</w:t>
            </w:r>
            <w:r w:rsidR="007E2C5D" w:rsidRPr="00AD483C">
              <w:rPr>
                <w:rFonts w:cs="Times New Roman"/>
                <w:sz w:val="21"/>
                <w:szCs w:val="20"/>
              </w:rPr>
              <w:t xml:space="preserve"> (-0.23, 0.34)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576D5DF3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0.22</w:t>
            </w:r>
          </w:p>
        </w:tc>
        <w:tc>
          <w:tcPr>
            <w:tcW w:w="1970" w:type="dxa"/>
            <w:tcBorders>
              <w:left w:val="single" w:sz="4" w:space="0" w:color="auto"/>
            </w:tcBorders>
          </w:tcPr>
          <w:p w14:paraId="19BA26D2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</w:p>
          <w:p w14:paraId="156FFD37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Ref.</w:t>
            </w:r>
          </w:p>
          <w:p w14:paraId="0451DFEE" w14:textId="074B2788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0.07</w:t>
            </w:r>
            <w:r w:rsidR="006845A6" w:rsidRPr="00AD483C">
              <w:rPr>
                <w:rFonts w:cs="Times New Roman"/>
                <w:sz w:val="21"/>
                <w:szCs w:val="20"/>
              </w:rPr>
              <w:t xml:space="preserve"> (-0.08, 0.22)</w:t>
            </w:r>
          </w:p>
        </w:tc>
        <w:tc>
          <w:tcPr>
            <w:tcW w:w="1126" w:type="dxa"/>
          </w:tcPr>
          <w:p w14:paraId="540862BC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0.42</w:t>
            </w:r>
          </w:p>
        </w:tc>
      </w:tr>
      <w:tr w:rsidR="002C517D" w14:paraId="01CFB48D" w14:textId="77777777" w:rsidTr="00054834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</w:tcPr>
          <w:p w14:paraId="59A3C6B0" w14:textId="77777777" w:rsidR="00C87591" w:rsidRPr="00AD483C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Age at onset</w:t>
            </w:r>
          </w:p>
        </w:tc>
        <w:tc>
          <w:tcPr>
            <w:tcW w:w="1971" w:type="dxa"/>
            <w:tcBorders>
              <w:left w:val="single" w:sz="4" w:space="0" w:color="auto"/>
            </w:tcBorders>
          </w:tcPr>
          <w:p w14:paraId="7B0A2527" w14:textId="73FB5D33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1.16</w:t>
            </w:r>
            <w:r w:rsidR="0001556C" w:rsidRPr="00AD483C">
              <w:rPr>
                <w:rFonts w:cs="Times New Roman"/>
                <w:sz w:val="21"/>
                <w:szCs w:val="20"/>
              </w:rPr>
              <w:t xml:space="preserve"> (0.85, 1.46)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4F40337E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0.06</w:t>
            </w:r>
          </w:p>
        </w:tc>
        <w:tc>
          <w:tcPr>
            <w:tcW w:w="1840" w:type="dxa"/>
            <w:tcBorders>
              <w:left w:val="single" w:sz="4" w:space="0" w:color="auto"/>
            </w:tcBorders>
          </w:tcPr>
          <w:p w14:paraId="6D043905" w14:textId="78425BD5" w:rsidR="00C87591" w:rsidRPr="00AD483C" w:rsidRDefault="00C87591" w:rsidP="00C87591">
            <w:pPr>
              <w:tabs>
                <w:tab w:val="center" w:pos="327"/>
              </w:tabs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0.68</w:t>
            </w:r>
            <w:r w:rsidR="00B93CD9" w:rsidRPr="00AD483C">
              <w:rPr>
                <w:rFonts w:cs="Times New Roman"/>
                <w:sz w:val="21"/>
                <w:szCs w:val="20"/>
              </w:rPr>
              <w:t xml:space="preserve"> </w:t>
            </w:r>
            <w:r w:rsidR="00521052" w:rsidRPr="00AD483C">
              <w:rPr>
                <w:rFonts w:cs="Times New Roman"/>
                <w:sz w:val="21"/>
                <w:szCs w:val="20"/>
              </w:rPr>
              <w:t>(0.51, 0.84)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560C6342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0.30</w:t>
            </w:r>
          </w:p>
        </w:tc>
        <w:tc>
          <w:tcPr>
            <w:tcW w:w="1969" w:type="dxa"/>
            <w:tcBorders>
              <w:left w:val="single" w:sz="4" w:space="0" w:color="auto"/>
            </w:tcBorders>
          </w:tcPr>
          <w:p w14:paraId="3448D14A" w14:textId="7B6589FF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0.05</w:t>
            </w:r>
            <w:r w:rsidR="007E2C5D" w:rsidRPr="00AD483C">
              <w:rPr>
                <w:rFonts w:cs="Times New Roman"/>
                <w:sz w:val="21"/>
                <w:szCs w:val="20"/>
              </w:rPr>
              <w:t xml:space="preserve"> (0.03, 0.07)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891D674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0.98</w:t>
            </w:r>
          </w:p>
        </w:tc>
        <w:tc>
          <w:tcPr>
            <w:tcW w:w="1970" w:type="dxa"/>
            <w:tcBorders>
              <w:left w:val="single" w:sz="4" w:space="0" w:color="auto"/>
            </w:tcBorders>
          </w:tcPr>
          <w:p w14:paraId="3DDD006D" w14:textId="7C7E87B0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0.03</w:t>
            </w:r>
            <w:r w:rsidR="006845A6" w:rsidRPr="00AD483C">
              <w:rPr>
                <w:rFonts w:cs="Times New Roman"/>
                <w:sz w:val="21"/>
                <w:szCs w:val="20"/>
              </w:rPr>
              <w:t xml:space="preserve"> (0.02, 0.04)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</w:tcPr>
          <w:p w14:paraId="626618BB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0.73</w:t>
            </w:r>
          </w:p>
        </w:tc>
      </w:tr>
      <w:tr w:rsidR="002C517D" w14:paraId="18D74DD3" w14:textId="77777777" w:rsidTr="00054834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</w:tcPr>
          <w:p w14:paraId="184E26F1" w14:textId="77777777" w:rsidR="00C87591" w:rsidRPr="00AD483C" w:rsidRDefault="00C87591" w:rsidP="00C87591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Symptom duration (at baseline)</w:t>
            </w:r>
          </w:p>
        </w:tc>
        <w:tc>
          <w:tcPr>
            <w:tcW w:w="1971" w:type="dxa"/>
            <w:tcBorders>
              <w:left w:val="single" w:sz="4" w:space="0" w:color="auto"/>
            </w:tcBorders>
          </w:tcPr>
          <w:p w14:paraId="0938BB5B" w14:textId="61FAD1E6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-1.16</w:t>
            </w:r>
            <w:r w:rsidR="0001556C" w:rsidRPr="00AD483C">
              <w:rPr>
                <w:rFonts w:cs="Times New Roman"/>
                <w:sz w:val="21"/>
                <w:szCs w:val="20"/>
              </w:rPr>
              <w:t xml:space="preserve"> (-1.46, -0.85)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0784755" w14:textId="77777777" w:rsidR="00C87591" w:rsidRPr="00AD483C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0.002</w:t>
            </w:r>
          </w:p>
        </w:tc>
        <w:tc>
          <w:tcPr>
            <w:tcW w:w="1840" w:type="dxa"/>
            <w:tcBorders>
              <w:left w:val="single" w:sz="4" w:space="0" w:color="auto"/>
            </w:tcBorders>
          </w:tcPr>
          <w:p w14:paraId="01556757" w14:textId="3A3E4320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-0.68</w:t>
            </w:r>
            <w:r w:rsidR="00BE412E" w:rsidRPr="00AD483C">
              <w:rPr>
                <w:rFonts w:cs="Times New Roman"/>
                <w:sz w:val="21"/>
                <w:szCs w:val="20"/>
              </w:rPr>
              <w:t xml:space="preserve"> (-0.84, -0.51)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446A37D1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0.20</w:t>
            </w:r>
          </w:p>
        </w:tc>
        <w:tc>
          <w:tcPr>
            <w:tcW w:w="1969" w:type="dxa"/>
            <w:tcBorders>
              <w:left w:val="single" w:sz="4" w:space="0" w:color="auto"/>
            </w:tcBorders>
          </w:tcPr>
          <w:p w14:paraId="39EC2425" w14:textId="7E1F44EC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-0.05</w:t>
            </w:r>
            <w:r w:rsidR="007E2C5D" w:rsidRPr="00AD483C">
              <w:rPr>
                <w:rFonts w:cs="Times New Roman"/>
                <w:sz w:val="21"/>
                <w:szCs w:val="20"/>
              </w:rPr>
              <w:t xml:space="preserve"> (-0.07, -0.03)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33336EDE" w14:textId="77777777" w:rsidR="00C87591" w:rsidRPr="00AD483C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0.006</w:t>
            </w:r>
          </w:p>
        </w:tc>
        <w:tc>
          <w:tcPr>
            <w:tcW w:w="1970" w:type="dxa"/>
            <w:tcBorders>
              <w:left w:val="single" w:sz="4" w:space="0" w:color="auto"/>
            </w:tcBorders>
          </w:tcPr>
          <w:p w14:paraId="573102CE" w14:textId="0E4DEB5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-0.03</w:t>
            </w:r>
            <w:r w:rsidR="006845A6" w:rsidRPr="00AD483C">
              <w:rPr>
                <w:rFonts w:cs="Times New Roman"/>
                <w:sz w:val="21"/>
                <w:szCs w:val="20"/>
              </w:rPr>
              <w:t xml:space="preserve"> (-0.04, -0.02)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</w:tcPr>
          <w:p w14:paraId="0E456F9B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0.63</w:t>
            </w:r>
          </w:p>
        </w:tc>
      </w:tr>
      <w:tr w:rsidR="002C517D" w14:paraId="4E52EFDB" w14:textId="77777777" w:rsidTr="00054834">
        <w:trPr>
          <w:gridAfter w:val="1"/>
          <w:wAfter w:w="64" w:type="dxa"/>
          <w:jc w:val="center"/>
        </w:trPr>
        <w:tc>
          <w:tcPr>
            <w:tcW w:w="3292" w:type="dxa"/>
            <w:tcBorders>
              <w:right w:val="single" w:sz="4" w:space="0" w:color="auto"/>
            </w:tcBorders>
          </w:tcPr>
          <w:p w14:paraId="5348D09A" w14:textId="6701F262" w:rsidR="00C87591" w:rsidRPr="00AD483C" w:rsidRDefault="002C517D" w:rsidP="002C517D">
            <w:pPr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 xml:space="preserve">TUG </w:t>
            </w:r>
            <w:r w:rsidR="00C87591" w:rsidRPr="00AD483C">
              <w:rPr>
                <w:rFonts w:cs="Times New Roman"/>
                <w:sz w:val="21"/>
                <w:szCs w:val="20"/>
              </w:rPr>
              <w:t>velocity at baseline (0.01 unit)</w:t>
            </w:r>
          </w:p>
        </w:tc>
        <w:tc>
          <w:tcPr>
            <w:tcW w:w="1971" w:type="dxa"/>
            <w:tcBorders>
              <w:left w:val="single" w:sz="4" w:space="0" w:color="auto"/>
            </w:tcBorders>
          </w:tcPr>
          <w:p w14:paraId="2B777D30" w14:textId="791B8C5E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2.22</w:t>
            </w:r>
            <w:r w:rsidR="0001556C" w:rsidRPr="00AD483C">
              <w:rPr>
                <w:rFonts w:cs="Times New Roman"/>
                <w:sz w:val="21"/>
                <w:szCs w:val="20"/>
              </w:rPr>
              <w:t xml:space="preserve"> (1.96, 2.49)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220A5ABA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0.17</w:t>
            </w:r>
          </w:p>
        </w:tc>
        <w:tc>
          <w:tcPr>
            <w:tcW w:w="1840" w:type="dxa"/>
            <w:tcBorders>
              <w:left w:val="single" w:sz="4" w:space="0" w:color="auto"/>
            </w:tcBorders>
          </w:tcPr>
          <w:p w14:paraId="02476592" w14:textId="0D559354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1.10</w:t>
            </w:r>
            <w:r w:rsidR="00BE412E" w:rsidRPr="00AD483C">
              <w:rPr>
                <w:rFonts w:cs="Times New Roman"/>
                <w:sz w:val="21"/>
                <w:szCs w:val="20"/>
              </w:rPr>
              <w:t xml:space="preserve"> (0.92, 1.27)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081036E8" w14:textId="77777777" w:rsidR="00C87591" w:rsidRPr="00AD483C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0.03</w:t>
            </w:r>
          </w:p>
        </w:tc>
        <w:tc>
          <w:tcPr>
            <w:tcW w:w="1969" w:type="dxa"/>
            <w:tcBorders>
              <w:left w:val="single" w:sz="4" w:space="0" w:color="auto"/>
            </w:tcBorders>
          </w:tcPr>
          <w:p w14:paraId="711723D8" w14:textId="4021298A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0.12</w:t>
            </w:r>
            <w:r w:rsidR="007E2C5D" w:rsidRPr="00AD483C">
              <w:rPr>
                <w:rFonts w:cs="Times New Roman"/>
                <w:sz w:val="21"/>
                <w:szCs w:val="20"/>
              </w:rPr>
              <w:t xml:space="preserve"> (0.11, 0.14)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1FC703D5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0.08</w:t>
            </w:r>
          </w:p>
        </w:tc>
        <w:tc>
          <w:tcPr>
            <w:tcW w:w="1970" w:type="dxa"/>
            <w:tcBorders>
              <w:left w:val="single" w:sz="4" w:space="0" w:color="auto"/>
            </w:tcBorders>
          </w:tcPr>
          <w:p w14:paraId="30EABC00" w14:textId="0B84C366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0.07</w:t>
            </w:r>
            <w:r w:rsidR="006845A6" w:rsidRPr="00AD483C">
              <w:rPr>
                <w:rFonts w:cs="Times New Roman"/>
                <w:sz w:val="21"/>
                <w:szCs w:val="20"/>
              </w:rPr>
              <w:t xml:space="preserve"> (0.06, 0.08)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</w:tcPr>
          <w:p w14:paraId="383B19A0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0.08</w:t>
            </w:r>
          </w:p>
        </w:tc>
      </w:tr>
      <w:tr w:rsidR="002C517D" w14:paraId="72498C9D" w14:textId="77777777" w:rsidTr="00054834">
        <w:trPr>
          <w:gridAfter w:val="1"/>
          <w:wAfter w:w="64" w:type="dxa"/>
          <w:jc w:val="center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</w:tcPr>
          <w:p w14:paraId="5EC89181" w14:textId="18CA56EC" w:rsidR="00C87591" w:rsidRPr="00AD483C" w:rsidRDefault="00A825EE" w:rsidP="00C87591">
            <w:pPr>
              <w:rPr>
                <w:rFonts w:cs="Times New Roman"/>
                <w:sz w:val="21"/>
                <w:szCs w:val="20"/>
              </w:rPr>
            </w:pPr>
            <w:r>
              <w:rPr>
                <w:rFonts w:cs="Times New Roman"/>
                <w:sz w:val="21"/>
                <w:szCs w:val="20"/>
              </w:rPr>
              <w:t>RFF</w:t>
            </w:r>
            <w:r w:rsidR="002C517D" w:rsidRPr="00AD483C">
              <w:rPr>
                <w:rFonts w:cs="Times New Roman"/>
                <w:sz w:val="21"/>
                <w:szCs w:val="20"/>
              </w:rPr>
              <w:t xml:space="preserve"> velocity</w:t>
            </w:r>
            <w:r w:rsidR="00C87591" w:rsidRPr="00AD483C">
              <w:rPr>
                <w:rFonts w:cs="Times New Roman"/>
                <w:sz w:val="21"/>
                <w:szCs w:val="20"/>
              </w:rPr>
              <w:t xml:space="preserve"> at baseline (0.01 unit)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</w:tcPr>
          <w:p w14:paraId="4F82DFBF" w14:textId="756EA7F6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0.77</w:t>
            </w:r>
            <w:r w:rsidR="0001556C" w:rsidRPr="00AD483C">
              <w:rPr>
                <w:rFonts w:cs="Times New Roman"/>
                <w:sz w:val="21"/>
                <w:szCs w:val="20"/>
              </w:rPr>
              <w:t xml:space="preserve"> (0.57, 0.98)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</w:tcPr>
          <w:p w14:paraId="6ACE9314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0.46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</w:tcBorders>
          </w:tcPr>
          <w:p w14:paraId="11ED474D" w14:textId="164FB0A0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0.35</w:t>
            </w:r>
            <w:r w:rsidR="00BE412E" w:rsidRPr="00AD483C">
              <w:rPr>
                <w:rFonts w:cs="Times New Roman"/>
                <w:sz w:val="21"/>
                <w:szCs w:val="20"/>
              </w:rPr>
              <w:t xml:space="preserve"> (0.24, 0.46)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</w:tcPr>
          <w:p w14:paraId="56D51124" w14:textId="77777777" w:rsidR="00C87591" w:rsidRPr="00AD483C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0.001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</w:tcBorders>
          </w:tcPr>
          <w:p w14:paraId="46FF6673" w14:textId="110CD079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0.04</w:t>
            </w:r>
            <w:r w:rsidR="007E2C5D" w:rsidRPr="00AD483C">
              <w:rPr>
                <w:rFonts w:cs="Times New Roman"/>
                <w:sz w:val="21"/>
                <w:szCs w:val="20"/>
              </w:rPr>
              <w:t xml:space="preserve"> (0.04, 0.05)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</w:tcPr>
          <w:p w14:paraId="4F0A117C" w14:textId="77777777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</w:rPr>
            </w:pPr>
            <w:r w:rsidRPr="00AD483C">
              <w:rPr>
                <w:rFonts w:cs="Times New Roman"/>
                <w:sz w:val="21"/>
                <w:szCs w:val="20"/>
              </w:rPr>
              <w:t>0.08</w:t>
            </w:r>
          </w:p>
        </w:tc>
        <w:tc>
          <w:tcPr>
            <w:tcW w:w="1970" w:type="dxa"/>
            <w:tcBorders>
              <w:left w:val="single" w:sz="4" w:space="0" w:color="auto"/>
              <w:bottom w:val="single" w:sz="4" w:space="0" w:color="auto"/>
            </w:tcBorders>
          </w:tcPr>
          <w:p w14:paraId="504D955E" w14:textId="55DE7173" w:rsidR="00C87591" w:rsidRPr="00AD483C" w:rsidRDefault="00C87591" w:rsidP="00C87591">
            <w:pPr>
              <w:jc w:val="center"/>
              <w:rPr>
                <w:rFonts w:cs="Times New Roman"/>
                <w:sz w:val="21"/>
                <w:szCs w:val="20"/>
                <w:vertAlign w:val="superscript"/>
              </w:rPr>
            </w:pPr>
            <w:r w:rsidRPr="00AD483C">
              <w:rPr>
                <w:rFonts w:cs="Times New Roman"/>
                <w:sz w:val="21"/>
                <w:szCs w:val="20"/>
              </w:rPr>
              <w:t>0.02</w:t>
            </w:r>
            <w:r w:rsidR="006845A6" w:rsidRPr="00AD483C">
              <w:rPr>
                <w:rFonts w:cs="Times New Roman"/>
                <w:sz w:val="21"/>
                <w:szCs w:val="20"/>
              </w:rPr>
              <w:t xml:space="preserve"> (0.02, 0.03)</w:t>
            </w:r>
            <w:r w:rsidRPr="00AD483C">
              <w:rPr>
                <w:rFonts w:cs="Times New Roman"/>
                <w:sz w:val="21"/>
                <w:szCs w:val="20"/>
                <w:vertAlign w:val="superscript"/>
              </w:rPr>
              <w:t>*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4B681063" w14:textId="77777777" w:rsidR="00C87591" w:rsidRPr="00AD483C" w:rsidRDefault="00C87591" w:rsidP="00C87591">
            <w:pPr>
              <w:jc w:val="center"/>
              <w:rPr>
                <w:rFonts w:cs="Times New Roman"/>
                <w:b/>
                <w:sz w:val="21"/>
                <w:szCs w:val="20"/>
              </w:rPr>
            </w:pPr>
            <w:r w:rsidRPr="00AD483C">
              <w:rPr>
                <w:rFonts w:cs="Times New Roman"/>
                <w:b/>
                <w:sz w:val="21"/>
                <w:szCs w:val="20"/>
              </w:rPr>
              <w:t>0.003</w:t>
            </w:r>
          </w:p>
        </w:tc>
      </w:tr>
      <w:tr w:rsidR="00952EBF" w14:paraId="0D37CDDF" w14:textId="77777777" w:rsidTr="00054834">
        <w:trPr>
          <w:trHeight w:val="516"/>
          <w:jc w:val="center"/>
        </w:trPr>
        <w:tc>
          <w:tcPr>
            <w:tcW w:w="15580" w:type="dxa"/>
            <w:gridSpan w:val="10"/>
            <w:tcBorders>
              <w:top w:val="single" w:sz="4" w:space="0" w:color="auto"/>
            </w:tcBorders>
          </w:tcPr>
          <w:p w14:paraId="0AA45D66" w14:textId="1B38F82E" w:rsidR="00C87591" w:rsidRPr="002C517D" w:rsidRDefault="00C87591" w:rsidP="00C87591">
            <w:pPr>
              <w:rPr>
                <w:rFonts w:cs="Times New Roman"/>
                <w:sz w:val="21"/>
              </w:rPr>
            </w:pPr>
            <w:proofErr w:type="spellStart"/>
            <w:r w:rsidRPr="002C517D">
              <w:rPr>
                <w:rFonts w:cs="Times New Roman"/>
                <w:sz w:val="21"/>
                <w:vertAlign w:val="superscript"/>
              </w:rPr>
              <w:t>a</w:t>
            </w:r>
            <w:proofErr w:type="spellEnd"/>
            <w:r w:rsidRPr="002C517D">
              <w:rPr>
                <w:rFonts w:cs="Times New Roman"/>
                <w:sz w:val="21"/>
                <w:vertAlign w:val="superscript"/>
              </w:rPr>
              <w:t xml:space="preserve"> </w:t>
            </w:r>
            <w:r w:rsidRPr="002C517D">
              <w:rPr>
                <w:rFonts w:cs="Times New Roman"/>
                <w:sz w:val="21"/>
              </w:rPr>
              <w:t xml:space="preserve">Estimates from </w:t>
            </w:r>
            <w:r w:rsidR="00C7758C" w:rsidRPr="002C517D">
              <w:rPr>
                <w:rFonts w:cs="Times New Roman"/>
                <w:sz w:val="21"/>
              </w:rPr>
              <w:t>GEE models</w:t>
            </w:r>
            <w:r w:rsidRPr="002C517D">
              <w:rPr>
                <w:rFonts w:cs="Times New Roman"/>
                <w:sz w:val="21"/>
              </w:rPr>
              <w:t xml:space="preserve"> controlling for symptom duration</w:t>
            </w:r>
            <w:r w:rsidR="00C7758C" w:rsidRPr="002C517D">
              <w:rPr>
                <w:rFonts w:cs="Times New Roman"/>
                <w:sz w:val="21"/>
              </w:rPr>
              <w:t>; no differences based on clinical diagnosis noted (data not shown)</w:t>
            </w:r>
            <w:r w:rsidRPr="002C517D">
              <w:rPr>
                <w:rFonts w:cs="Times New Roman"/>
                <w:sz w:val="21"/>
              </w:rPr>
              <w:t xml:space="preserve"> </w:t>
            </w:r>
          </w:p>
          <w:p w14:paraId="5E9FB6FE" w14:textId="597B364B" w:rsidR="00C87591" w:rsidRPr="002C517D" w:rsidRDefault="00C87591" w:rsidP="00C87591">
            <w:pPr>
              <w:rPr>
                <w:rFonts w:cs="Times New Roman"/>
                <w:sz w:val="21"/>
              </w:rPr>
            </w:pPr>
            <w:r w:rsidRPr="002C517D">
              <w:rPr>
                <w:rFonts w:cs="Times New Roman"/>
                <w:sz w:val="21"/>
                <w:vertAlign w:val="superscript"/>
              </w:rPr>
              <w:t>b</w:t>
            </w:r>
            <w:r w:rsidRPr="002C517D">
              <w:rPr>
                <w:rFonts w:cs="Times New Roman"/>
                <w:sz w:val="21"/>
              </w:rPr>
              <w:t xml:space="preserve"> Estimates from </w:t>
            </w:r>
            <w:r w:rsidR="00C7758C" w:rsidRPr="002C517D">
              <w:rPr>
                <w:rFonts w:cs="Times New Roman"/>
                <w:sz w:val="21"/>
              </w:rPr>
              <w:t>GEE models</w:t>
            </w:r>
            <w:r w:rsidRPr="002C517D">
              <w:rPr>
                <w:rFonts w:cs="Times New Roman"/>
                <w:sz w:val="21"/>
              </w:rPr>
              <w:t xml:space="preserve"> controlling for age at baseline</w:t>
            </w:r>
            <w:r w:rsidR="00C7758C" w:rsidRPr="002C517D">
              <w:rPr>
                <w:rFonts w:cs="Times New Roman"/>
                <w:sz w:val="21"/>
              </w:rPr>
              <w:t>; no differences based on clinical diagnosis or teen exercise noted (data not shown)</w:t>
            </w:r>
          </w:p>
          <w:p w14:paraId="158381EB" w14:textId="77777777" w:rsidR="00C87591" w:rsidRDefault="00C87591" w:rsidP="00C87591">
            <w:pPr>
              <w:rPr>
                <w:rFonts w:cs="Times New Roman"/>
                <w:sz w:val="21"/>
              </w:rPr>
            </w:pPr>
            <w:r w:rsidRPr="002C517D">
              <w:rPr>
                <w:rFonts w:cs="Times New Roman"/>
                <w:sz w:val="21"/>
                <w:vertAlign w:val="superscript"/>
              </w:rPr>
              <w:t xml:space="preserve">* </w:t>
            </w:r>
            <w:r w:rsidRPr="002C517D">
              <w:rPr>
                <w:rFonts w:cs="Times New Roman"/>
                <w:sz w:val="21"/>
              </w:rPr>
              <w:t>Significant or significantly different from reference category at p &lt; 0.05</w:t>
            </w:r>
          </w:p>
          <w:p w14:paraId="303C1D2B" w14:textId="3479A282" w:rsidR="009E62E1" w:rsidRPr="00C87591" w:rsidRDefault="009E62E1" w:rsidP="00C87591">
            <w:pPr>
              <w:rPr>
                <w:rFonts w:cs="Times New Roman"/>
                <w:b/>
              </w:rPr>
            </w:pPr>
            <w:r>
              <w:rPr>
                <w:rFonts w:cs="Times New Roman"/>
                <w:sz w:val="21"/>
              </w:rPr>
              <w:t>TUG = Timed Up and Go; RFF = Rise From Floor</w:t>
            </w:r>
          </w:p>
        </w:tc>
      </w:tr>
    </w:tbl>
    <w:p w14:paraId="30E18FEC" w14:textId="77777777" w:rsidR="00C87591" w:rsidRDefault="00C87591"/>
    <w:sectPr w:rsidR="00C87591" w:rsidSect="00C8759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591"/>
    <w:rsid w:val="0001556C"/>
    <w:rsid w:val="00054834"/>
    <w:rsid w:val="000C3497"/>
    <w:rsid w:val="001547B4"/>
    <w:rsid w:val="00267AEB"/>
    <w:rsid w:val="002C517D"/>
    <w:rsid w:val="003744C5"/>
    <w:rsid w:val="003D3296"/>
    <w:rsid w:val="00516BAB"/>
    <w:rsid w:val="00521052"/>
    <w:rsid w:val="006845A6"/>
    <w:rsid w:val="006A4659"/>
    <w:rsid w:val="00755793"/>
    <w:rsid w:val="00790980"/>
    <w:rsid w:val="007E2C5D"/>
    <w:rsid w:val="0080200A"/>
    <w:rsid w:val="00802494"/>
    <w:rsid w:val="00944E21"/>
    <w:rsid w:val="00952EBF"/>
    <w:rsid w:val="00984632"/>
    <w:rsid w:val="009D0465"/>
    <w:rsid w:val="009E62E1"/>
    <w:rsid w:val="00A23B07"/>
    <w:rsid w:val="00A53811"/>
    <w:rsid w:val="00A825EE"/>
    <w:rsid w:val="00A82651"/>
    <w:rsid w:val="00AD483C"/>
    <w:rsid w:val="00B93CD9"/>
    <w:rsid w:val="00BD425D"/>
    <w:rsid w:val="00BE412E"/>
    <w:rsid w:val="00C7758C"/>
    <w:rsid w:val="00C87591"/>
    <w:rsid w:val="00D758C9"/>
    <w:rsid w:val="00E86B45"/>
    <w:rsid w:val="00EB0587"/>
    <w:rsid w:val="00EC0434"/>
    <w:rsid w:val="00ED6757"/>
    <w:rsid w:val="00FE7B0D"/>
    <w:rsid w:val="693BA7FE"/>
    <w:rsid w:val="7CF9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9F970"/>
  <w15:chartTrackingRefBased/>
  <w15:docId w15:val="{93DB4A23-71BB-4F0F-945D-5855B2D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591"/>
    <w:pPr>
      <w:jc w:val="left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591"/>
    <w:pPr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7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A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A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B7566582DBD4DB4AB3EAC986A4042" ma:contentTypeVersion="4" ma:contentTypeDescription="Create a new document." ma:contentTypeScope="" ma:versionID="047f7c75acb79904e430d90f78d70a04">
  <xsd:schema xmlns:xsd="http://www.w3.org/2001/XMLSchema" xmlns:xs="http://www.w3.org/2001/XMLSchema" xmlns:p="http://schemas.microsoft.com/office/2006/metadata/properties" xmlns:ns2="7fc9424a-249d-409b-a7a4-f339f86eadfe" targetNamespace="http://schemas.microsoft.com/office/2006/metadata/properties" ma:root="true" ma:fieldsID="d019905f5596090497b896e018cd184a" ns2:_="">
    <xsd:import namespace="7fc9424a-249d-409b-a7a4-f339f86ead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9424a-249d-409b-a7a4-f339f86e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701712-B2CB-4CC6-B842-F04706DC4F8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fc9424a-249d-409b-a7a4-f339f86eadfe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957C09-D90B-470D-9631-1F6DEFE00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9424a-249d-409b-a7a4-f339f86e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7DA10-B5AB-44A3-B7F1-4A6F587CC7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San Diego Health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Marni</dc:creator>
  <cp:keywords/>
  <dc:description/>
  <cp:lastModifiedBy>Heather Hilsden</cp:lastModifiedBy>
  <cp:revision>29</cp:revision>
  <dcterms:created xsi:type="dcterms:W3CDTF">2020-11-30T18:51:00Z</dcterms:created>
  <dcterms:modified xsi:type="dcterms:W3CDTF">2021-02-02T18:50:00Z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0x010100C63B7566582DBD4DB4AB3EAC986A4042</vt:lpwstr>
  </property>
</Properties>
</file>