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00C" w:rsidRPr="00733092" w:rsidRDefault="0084500C" w:rsidP="0084500C">
      <w:pPr>
        <w:pBdr>
          <w:bottom w:val="single" w:sz="8" w:space="4" w:color="5B9BD5" w:themeColor="accent1"/>
        </w:pBdr>
        <w:spacing w:after="300" w:line="240" w:lineRule="auto"/>
        <w:contextualSpacing/>
        <w:jc w:val="both"/>
        <w:rPr>
          <w:rFonts w:eastAsiaTheme="majorEastAsia" w:cstheme="minorHAnsi"/>
          <w:color w:val="08AC9C"/>
          <w:spacing w:val="5"/>
          <w:sz w:val="52"/>
          <w:szCs w:val="52"/>
        </w:rPr>
      </w:pPr>
      <w:r w:rsidRPr="00733092">
        <w:rPr>
          <w:rFonts w:eastAsiaTheme="majorEastAsia" w:cstheme="minorHAnsi"/>
          <w:i/>
          <w:color w:val="08AC9C"/>
          <w:spacing w:val="5"/>
          <w:sz w:val="52"/>
          <w:szCs w:val="52"/>
        </w:rPr>
        <w:t>PHACTR1</w:t>
      </w:r>
      <w:r w:rsidRPr="00733092">
        <w:rPr>
          <w:rFonts w:eastAsiaTheme="majorEastAsia" w:cstheme="minorHAnsi"/>
          <w:color w:val="08AC9C"/>
          <w:spacing w:val="5"/>
          <w:sz w:val="52"/>
          <w:szCs w:val="52"/>
        </w:rPr>
        <w:t xml:space="preserve"> genetic variability </w:t>
      </w:r>
      <w:r w:rsidR="00D505E2">
        <w:rPr>
          <w:rFonts w:eastAsiaTheme="majorEastAsia" w:cstheme="minorHAnsi"/>
          <w:color w:val="08AC9C"/>
          <w:spacing w:val="5"/>
          <w:sz w:val="52"/>
          <w:szCs w:val="52"/>
        </w:rPr>
        <w:t xml:space="preserve">is not critical </w:t>
      </w:r>
      <w:r w:rsidRPr="00733092">
        <w:rPr>
          <w:rFonts w:eastAsiaTheme="majorEastAsia" w:cstheme="minorHAnsi"/>
          <w:color w:val="08AC9C"/>
          <w:spacing w:val="5"/>
          <w:sz w:val="52"/>
          <w:szCs w:val="52"/>
        </w:rPr>
        <w:t xml:space="preserve">in small vessel ischemic disease patients and </w:t>
      </w:r>
      <w:proofErr w:type="spellStart"/>
      <w:r w:rsidRPr="00733092">
        <w:rPr>
          <w:rFonts w:eastAsiaTheme="majorEastAsia" w:cstheme="minorHAnsi"/>
          <w:color w:val="08AC9C"/>
          <w:spacing w:val="5"/>
          <w:sz w:val="52"/>
          <w:szCs w:val="52"/>
        </w:rPr>
        <w:t>PcomA</w:t>
      </w:r>
      <w:proofErr w:type="spellEnd"/>
      <w:r w:rsidRPr="00733092">
        <w:rPr>
          <w:rFonts w:eastAsiaTheme="majorEastAsia" w:cstheme="minorHAnsi"/>
          <w:color w:val="08AC9C"/>
          <w:spacing w:val="5"/>
          <w:sz w:val="52"/>
          <w:szCs w:val="52"/>
        </w:rPr>
        <w:t xml:space="preserve"> recruitment in C57BL/6J mice.</w:t>
      </w:r>
    </w:p>
    <w:p w:rsidR="0084500C" w:rsidRPr="00733092" w:rsidRDefault="0084500C" w:rsidP="0084500C">
      <w:pPr>
        <w:spacing w:after="200" w:line="276" w:lineRule="auto"/>
        <w:jc w:val="both"/>
        <w:rPr>
          <w:rFonts w:eastAsiaTheme="minorEastAsia"/>
          <w:sz w:val="18"/>
          <w:szCs w:val="18"/>
          <w:vertAlign w:val="superscript"/>
        </w:rPr>
      </w:pPr>
      <w:r w:rsidRPr="00733092">
        <w:rPr>
          <w:rFonts w:eastAsiaTheme="minorEastAsia"/>
          <w:color w:val="000000" w:themeColor="text1"/>
          <w:sz w:val="18"/>
          <w:szCs w:val="18"/>
        </w:rPr>
        <w:t>Clemens Messerschmidt</w:t>
      </w:r>
      <w:r w:rsidRPr="00733092">
        <w:rPr>
          <w:rFonts w:eastAsiaTheme="minorEastAsia"/>
          <w:color w:val="000000" w:themeColor="text1"/>
          <w:sz w:val="18"/>
          <w:szCs w:val="18"/>
          <w:vertAlign w:val="superscript"/>
        </w:rPr>
        <w:t>2</w:t>
      </w:r>
      <w:r w:rsidRPr="00733092">
        <w:rPr>
          <w:rFonts w:eastAsiaTheme="minorEastAsia"/>
          <w:color w:val="000000" w:themeColor="text1"/>
          <w:sz w:val="18"/>
          <w:szCs w:val="18"/>
        </w:rPr>
        <w:t xml:space="preserve">, </w:t>
      </w:r>
      <w:r w:rsidRPr="00733092">
        <w:rPr>
          <w:rFonts w:eastAsiaTheme="minorEastAsia"/>
          <w:sz w:val="18"/>
          <w:szCs w:val="18"/>
        </w:rPr>
        <w:t>Marco Foddis</w:t>
      </w:r>
      <w:r w:rsidRPr="00733092">
        <w:rPr>
          <w:rFonts w:eastAsiaTheme="minorEastAsia"/>
          <w:sz w:val="18"/>
          <w:szCs w:val="18"/>
          <w:vertAlign w:val="superscript"/>
        </w:rPr>
        <w:t>1</w:t>
      </w:r>
      <w:r w:rsidRPr="00733092">
        <w:rPr>
          <w:rFonts w:eastAsiaTheme="minorEastAsia"/>
          <w:sz w:val="18"/>
          <w:szCs w:val="18"/>
        </w:rPr>
        <w:t xml:space="preserve">, </w:t>
      </w:r>
      <w:r w:rsidRPr="00733092">
        <w:rPr>
          <w:rFonts w:eastAsiaTheme="minorEastAsia"/>
          <w:color w:val="000000" w:themeColor="text1"/>
          <w:sz w:val="18"/>
          <w:szCs w:val="18"/>
        </w:rPr>
        <w:t>Sonja</w:t>
      </w:r>
      <w:r w:rsidRPr="00733092">
        <w:rPr>
          <w:rFonts w:eastAsiaTheme="minorEastAsia"/>
          <w:sz w:val="18"/>
          <w:szCs w:val="18"/>
        </w:rPr>
        <w:t xml:space="preserve"> Blumenau</w:t>
      </w:r>
      <w:r w:rsidRPr="00733092">
        <w:rPr>
          <w:rFonts w:eastAsiaTheme="minorEastAsia"/>
          <w:sz w:val="18"/>
          <w:szCs w:val="18"/>
          <w:vertAlign w:val="superscript"/>
        </w:rPr>
        <w:t>1</w:t>
      </w:r>
      <w:r w:rsidRPr="00733092">
        <w:rPr>
          <w:rFonts w:eastAsiaTheme="minorEastAsia"/>
          <w:sz w:val="18"/>
          <w:szCs w:val="18"/>
        </w:rPr>
        <w:t>, Susanne M</w:t>
      </w:r>
      <w:r w:rsidRPr="00733092">
        <w:rPr>
          <w:rFonts w:eastAsiaTheme="minorEastAsia" w:cstheme="minorHAnsi"/>
          <w:sz w:val="18"/>
          <w:szCs w:val="18"/>
        </w:rPr>
        <w:t>ü</w:t>
      </w:r>
      <w:r w:rsidRPr="00733092">
        <w:rPr>
          <w:rFonts w:eastAsiaTheme="minorEastAsia"/>
          <w:sz w:val="18"/>
          <w:szCs w:val="18"/>
        </w:rPr>
        <w:t>ller</w:t>
      </w:r>
      <w:r w:rsidRPr="00733092">
        <w:rPr>
          <w:rFonts w:eastAsiaTheme="minorEastAsia"/>
          <w:sz w:val="18"/>
          <w:szCs w:val="18"/>
          <w:vertAlign w:val="superscript"/>
        </w:rPr>
        <w:t>1</w:t>
      </w:r>
      <w:r w:rsidRPr="00733092">
        <w:rPr>
          <w:rFonts w:eastAsiaTheme="minorEastAsia"/>
          <w:sz w:val="18"/>
          <w:szCs w:val="18"/>
        </w:rPr>
        <w:t xml:space="preserve">, </w:t>
      </w:r>
      <w:proofErr w:type="spellStart"/>
      <w:r w:rsidRPr="00733092">
        <w:rPr>
          <w:rFonts w:eastAsiaTheme="minorEastAsia"/>
          <w:sz w:val="18"/>
          <w:szCs w:val="18"/>
        </w:rPr>
        <w:t>Kajetan</w:t>
      </w:r>
      <w:proofErr w:type="spellEnd"/>
      <w:r w:rsidRPr="00733092">
        <w:rPr>
          <w:rFonts w:eastAsiaTheme="minorEastAsia"/>
          <w:sz w:val="18"/>
          <w:szCs w:val="18"/>
        </w:rPr>
        <w:t xml:space="preserve"> Bentele</w:t>
      </w:r>
      <w:r w:rsidRPr="00733092">
        <w:rPr>
          <w:rFonts w:eastAsiaTheme="minorEastAsia"/>
          <w:sz w:val="18"/>
          <w:szCs w:val="18"/>
          <w:vertAlign w:val="superscript"/>
        </w:rPr>
        <w:t>2</w:t>
      </w:r>
      <w:r w:rsidRPr="00733092">
        <w:rPr>
          <w:rFonts w:eastAsiaTheme="minorEastAsia"/>
          <w:sz w:val="18"/>
          <w:szCs w:val="18"/>
        </w:rPr>
        <w:t>, Manuel Holtgrewe</w:t>
      </w:r>
      <w:r w:rsidRPr="00733092">
        <w:rPr>
          <w:rFonts w:eastAsiaTheme="minorEastAsia"/>
          <w:sz w:val="18"/>
          <w:szCs w:val="18"/>
          <w:vertAlign w:val="superscript"/>
        </w:rPr>
        <w:t>2</w:t>
      </w:r>
      <w:r w:rsidRPr="00733092">
        <w:rPr>
          <w:rFonts w:eastAsiaTheme="minorEastAsia"/>
          <w:sz w:val="18"/>
          <w:szCs w:val="18"/>
        </w:rPr>
        <w:t>, Celia Kun-Rodrigues</w:t>
      </w:r>
      <w:r w:rsidRPr="00733092">
        <w:rPr>
          <w:rFonts w:eastAsiaTheme="minorEastAsia"/>
          <w:sz w:val="18"/>
          <w:szCs w:val="18"/>
          <w:vertAlign w:val="superscript"/>
        </w:rPr>
        <w:t>3</w:t>
      </w:r>
      <w:r w:rsidRPr="00733092">
        <w:rPr>
          <w:rFonts w:eastAsiaTheme="minorEastAsia"/>
          <w:sz w:val="18"/>
          <w:szCs w:val="18"/>
        </w:rPr>
        <w:t>, Isabel Alonso</w:t>
      </w:r>
      <w:r w:rsidRPr="00733092">
        <w:rPr>
          <w:rFonts w:eastAsiaTheme="minorEastAsia"/>
          <w:sz w:val="18"/>
          <w:szCs w:val="18"/>
          <w:vertAlign w:val="superscript"/>
        </w:rPr>
        <w:t>4</w:t>
      </w:r>
      <w:r w:rsidRPr="00733092">
        <w:rPr>
          <w:rFonts w:eastAsiaTheme="minorEastAsia"/>
          <w:sz w:val="18"/>
          <w:szCs w:val="18"/>
        </w:rPr>
        <w:t xml:space="preserve">, Maria do </w:t>
      </w:r>
      <w:proofErr w:type="spellStart"/>
      <w:r w:rsidRPr="00733092">
        <w:rPr>
          <w:rFonts w:eastAsiaTheme="minorEastAsia"/>
          <w:sz w:val="18"/>
          <w:szCs w:val="18"/>
        </w:rPr>
        <w:t>Carmo</w:t>
      </w:r>
      <w:proofErr w:type="spellEnd"/>
      <w:r w:rsidRPr="00733092">
        <w:rPr>
          <w:rFonts w:eastAsiaTheme="minorEastAsia"/>
          <w:sz w:val="18"/>
          <w:szCs w:val="18"/>
        </w:rPr>
        <w:t xml:space="preserve"> Macario</w:t>
      </w:r>
      <w:r w:rsidRPr="00733092">
        <w:rPr>
          <w:rFonts w:eastAsiaTheme="minorEastAsia"/>
          <w:sz w:val="18"/>
          <w:szCs w:val="18"/>
          <w:vertAlign w:val="superscript"/>
        </w:rPr>
        <w:t>5</w:t>
      </w:r>
      <w:r w:rsidRPr="00733092">
        <w:rPr>
          <w:rFonts w:eastAsiaTheme="minorEastAsia"/>
          <w:sz w:val="18"/>
          <w:szCs w:val="18"/>
        </w:rPr>
        <w:t>, Ana Sofia Morgadinho</w:t>
      </w:r>
      <w:r w:rsidRPr="00733092">
        <w:rPr>
          <w:rFonts w:eastAsiaTheme="minorEastAsia"/>
          <w:sz w:val="18"/>
          <w:szCs w:val="18"/>
          <w:vertAlign w:val="superscript"/>
        </w:rPr>
        <w:t>5</w:t>
      </w:r>
      <w:r w:rsidRPr="00733092">
        <w:rPr>
          <w:rFonts w:eastAsiaTheme="minorEastAsia"/>
          <w:sz w:val="18"/>
          <w:szCs w:val="18"/>
        </w:rPr>
        <w:t xml:space="preserve">, Ana </w:t>
      </w:r>
      <w:proofErr w:type="spellStart"/>
      <w:r w:rsidRPr="00733092">
        <w:rPr>
          <w:rFonts w:eastAsiaTheme="minorEastAsia"/>
          <w:sz w:val="18"/>
          <w:szCs w:val="18"/>
        </w:rPr>
        <w:t>Graça</w:t>
      </w:r>
      <w:proofErr w:type="spellEnd"/>
      <w:r w:rsidRPr="00733092">
        <w:rPr>
          <w:rFonts w:eastAsiaTheme="minorEastAsia"/>
          <w:sz w:val="18"/>
          <w:szCs w:val="18"/>
        </w:rPr>
        <w:t xml:space="preserve"> Velon</w:t>
      </w:r>
      <w:r w:rsidRPr="00733092">
        <w:rPr>
          <w:rFonts w:eastAsiaTheme="minorEastAsia"/>
          <w:sz w:val="18"/>
          <w:szCs w:val="18"/>
          <w:vertAlign w:val="superscript"/>
        </w:rPr>
        <w:t>6</w:t>
      </w:r>
      <w:r w:rsidRPr="00733092">
        <w:rPr>
          <w:rFonts w:eastAsiaTheme="minorEastAsia"/>
          <w:sz w:val="18"/>
          <w:szCs w:val="18"/>
        </w:rPr>
        <w:t>, Gustavo Santo</w:t>
      </w:r>
      <w:r w:rsidRPr="00733092">
        <w:rPr>
          <w:rFonts w:eastAsiaTheme="minorEastAsia"/>
          <w:sz w:val="18"/>
          <w:szCs w:val="18"/>
          <w:vertAlign w:val="superscript"/>
        </w:rPr>
        <w:t>5,8</w:t>
      </w:r>
      <w:r w:rsidRPr="00733092">
        <w:rPr>
          <w:rFonts w:eastAsiaTheme="minorEastAsia"/>
          <w:sz w:val="18"/>
          <w:szCs w:val="18"/>
        </w:rPr>
        <w:t>, Isabel Santana</w:t>
      </w:r>
      <w:r w:rsidRPr="00733092">
        <w:rPr>
          <w:rFonts w:eastAsiaTheme="minorEastAsia"/>
          <w:sz w:val="18"/>
          <w:szCs w:val="18"/>
          <w:vertAlign w:val="superscript"/>
        </w:rPr>
        <w:t>5,7,8</w:t>
      </w:r>
      <w:r w:rsidRPr="00733092">
        <w:rPr>
          <w:rFonts w:eastAsiaTheme="minorEastAsia"/>
          <w:sz w:val="18"/>
          <w:szCs w:val="18"/>
        </w:rPr>
        <w:t>, Saana Mönkäre</w:t>
      </w:r>
      <w:r w:rsidRPr="00733092">
        <w:rPr>
          <w:rFonts w:eastAsiaTheme="minorEastAsia"/>
          <w:sz w:val="18"/>
          <w:szCs w:val="18"/>
          <w:vertAlign w:val="superscript"/>
        </w:rPr>
        <w:t>9,10</w:t>
      </w:r>
      <w:r w:rsidRPr="00733092">
        <w:rPr>
          <w:rFonts w:eastAsiaTheme="minorEastAsia"/>
          <w:sz w:val="18"/>
          <w:szCs w:val="18"/>
        </w:rPr>
        <w:t xml:space="preserve">, </w:t>
      </w:r>
      <w:proofErr w:type="spellStart"/>
      <w:r w:rsidRPr="00733092">
        <w:rPr>
          <w:rFonts w:eastAsiaTheme="minorEastAsia"/>
          <w:sz w:val="18"/>
          <w:szCs w:val="18"/>
        </w:rPr>
        <w:t>Liina</w:t>
      </w:r>
      <w:proofErr w:type="spellEnd"/>
      <w:r w:rsidRPr="00733092">
        <w:rPr>
          <w:rFonts w:eastAsiaTheme="minorEastAsia"/>
          <w:sz w:val="18"/>
          <w:szCs w:val="18"/>
        </w:rPr>
        <w:t xml:space="preserve"> Kuuluvainen</w:t>
      </w:r>
      <w:r w:rsidRPr="00733092">
        <w:rPr>
          <w:rFonts w:eastAsiaTheme="minorEastAsia"/>
          <w:sz w:val="18"/>
          <w:szCs w:val="18"/>
          <w:vertAlign w:val="superscript"/>
        </w:rPr>
        <w:t>11,12</w:t>
      </w:r>
      <w:r w:rsidRPr="00733092">
        <w:rPr>
          <w:rFonts w:eastAsiaTheme="minorEastAsia"/>
          <w:sz w:val="18"/>
          <w:szCs w:val="18"/>
        </w:rPr>
        <w:t>, Johanna Schleutker</w:t>
      </w:r>
      <w:r w:rsidRPr="00733092">
        <w:rPr>
          <w:rFonts w:eastAsiaTheme="minorEastAsia"/>
          <w:sz w:val="18"/>
          <w:szCs w:val="18"/>
          <w:vertAlign w:val="superscript"/>
        </w:rPr>
        <w:t>10</w:t>
      </w:r>
      <w:r w:rsidRPr="00733092">
        <w:rPr>
          <w:rFonts w:eastAsiaTheme="minorEastAsia"/>
          <w:sz w:val="18"/>
          <w:szCs w:val="18"/>
        </w:rPr>
        <w:t>, Minna Pöyhönen</w:t>
      </w:r>
      <w:r w:rsidRPr="00733092">
        <w:rPr>
          <w:rFonts w:eastAsiaTheme="minorEastAsia"/>
          <w:sz w:val="18"/>
          <w:szCs w:val="18"/>
          <w:vertAlign w:val="superscript"/>
        </w:rPr>
        <w:t>9,11</w:t>
      </w:r>
      <w:r w:rsidRPr="00733092">
        <w:rPr>
          <w:rFonts w:eastAsiaTheme="minorEastAsia"/>
          <w:sz w:val="18"/>
          <w:szCs w:val="18"/>
        </w:rPr>
        <w:t xml:space="preserve">, </w:t>
      </w:r>
      <w:proofErr w:type="spellStart"/>
      <w:r w:rsidRPr="00733092">
        <w:rPr>
          <w:rFonts w:eastAsiaTheme="minorEastAsia"/>
          <w:sz w:val="18"/>
          <w:szCs w:val="18"/>
        </w:rPr>
        <w:t>Liisa</w:t>
      </w:r>
      <w:proofErr w:type="spellEnd"/>
      <w:r w:rsidRPr="00733092">
        <w:rPr>
          <w:rFonts w:eastAsiaTheme="minorEastAsia"/>
          <w:sz w:val="18"/>
          <w:szCs w:val="18"/>
        </w:rPr>
        <w:t xml:space="preserve"> Myllykangas</w:t>
      </w:r>
      <w:r w:rsidRPr="00733092">
        <w:rPr>
          <w:rFonts w:eastAsiaTheme="minorEastAsia"/>
          <w:sz w:val="18"/>
          <w:szCs w:val="18"/>
          <w:vertAlign w:val="superscript"/>
        </w:rPr>
        <w:t>13</w:t>
      </w:r>
      <w:r w:rsidRPr="00733092">
        <w:rPr>
          <w:rFonts w:eastAsiaTheme="minorEastAsia"/>
          <w:sz w:val="18"/>
          <w:szCs w:val="18"/>
        </w:rPr>
        <w:t>, Assunta Senatore</w:t>
      </w:r>
      <w:r w:rsidRPr="00733092">
        <w:rPr>
          <w:rFonts w:eastAsiaTheme="minorEastAsia"/>
          <w:sz w:val="18"/>
          <w:szCs w:val="18"/>
          <w:vertAlign w:val="superscript"/>
        </w:rPr>
        <w:t>14</w:t>
      </w:r>
      <w:r w:rsidRPr="00733092">
        <w:rPr>
          <w:rFonts w:eastAsiaTheme="minorEastAsia"/>
          <w:sz w:val="18"/>
          <w:szCs w:val="18"/>
        </w:rPr>
        <w:t>, Daniel Berchtold</w:t>
      </w:r>
      <w:r w:rsidRPr="00733092">
        <w:rPr>
          <w:rFonts w:eastAsiaTheme="minorEastAsia"/>
          <w:sz w:val="18"/>
          <w:szCs w:val="18"/>
          <w:vertAlign w:val="superscript"/>
        </w:rPr>
        <w:t>1</w:t>
      </w:r>
      <w:r w:rsidRPr="00733092">
        <w:rPr>
          <w:rFonts w:eastAsiaTheme="minorEastAsia"/>
          <w:sz w:val="18"/>
          <w:szCs w:val="18"/>
        </w:rPr>
        <w:t xml:space="preserve">, </w:t>
      </w:r>
      <w:proofErr w:type="spellStart"/>
      <w:r w:rsidRPr="00733092">
        <w:rPr>
          <w:rFonts w:cstheme="minorHAnsi"/>
          <w:sz w:val="18"/>
          <w:szCs w:val="18"/>
        </w:rPr>
        <w:t>Katarzyna</w:t>
      </w:r>
      <w:proofErr w:type="spellEnd"/>
      <w:r w:rsidRPr="00733092">
        <w:rPr>
          <w:rFonts w:cstheme="minorHAnsi"/>
          <w:sz w:val="18"/>
          <w:szCs w:val="18"/>
        </w:rPr>
        <w:t xml:space="preserve"> Winek</w:t>
      </w:r>
      <w:r w:rsidRPr="00733092">
        <w:rPr>
          <w:rFonts w:cstheme="minorHAnsi"/>
          <w:sz w:val="18"/>
          <w:szCs w:val="18"/>
          <w:vertAlign w:val="superscript"/>
        </w:rPr>
        <w:t>1</w:t>
      </w:r>
      <w:r w:rsidRPr="00733092">
        <w:rPr>
          <w:rFonts w:cstheme="minorHAnsi"/>
          <w:sz w:val="18"/>
          <w:szCs w:val="18"/>
        </w:rPr>
        <w:t>, Andreas Meisel</w:t>
      </w:r>
      <w:r w:rsidRPr="00733092">
        <w:rPr>
          <w:rFonts w:cstheme="minorHAnsi"/>
          <w:sz w:val="18"/>
          <w:szCs w:val="18"/>
          <w:vertAlign w:val="superscript"/>
        </w:rPr>
        <w:t>1</w:t>
      </w:r>
      <w:r w:rsidRPr="00733092">
        <w:t>,</w:t>
      </w:r>
      <w:r w:rsidRPr="00733092">
        <w:rPr>
          <w:rFonts w:eastAsiaTheme="minorEastAsia"/>
          <w:sz w:val="18"/>
          <w:szCs w:val="18"/>
        </w:rPr>
        <w:t xml:space="preserve"> Aleksandra Pavlovic</w:t>
      </w:r>
      <w:r w:rsidRPr="00733092">
        <w:rPr>
          <w:rFonts w:eastAsiaTheme="minorEastAsia"/>
          <w:sz w:val="18"/>
          <w:szCs w:val="18"/>
          <w:vertAlign w:val="superscript"/>
        </w:rPr>
        <w:t>15</w:t>
      </w:r>
      <w:r w:rsidRPr="00733092">
        <w:rPr>
          <w:rFonts w:eastAsiaTheme="minorEastAsia"/>
          <w:sz w:val="18"/>
          <w:szCs w:val="18"/>
        </w:rPr>
        <w:t>, Vladimir Kostic</w:t>
      </w:r>
      <w:r w:rsidRPr="00733092">
        <w:rPr>
          <w:rFonts w:eastAsiaTheme="minorEastAsia"/>
          <w:sz w:val="18"/>
          <w:szCs w:val="18"/>
          <w:vertAlign w:val="superscript"/>
        </w:rPr>
        <w:t>15</w:t>
      </w:r>
      <w:r w:rsidRPr="00733092">
        <w:rPr>
          <w:rFonts w:eastAsiaTheme="minorEastAsia"/>
          <w:sz w:val="18"/>
          <w:szCs w:val="18"/>
        </w:rPr>
        <w:t xml:space="preserve">, </w:t>
      </w:r>
      <w:proofErr w:type="spellStart"/>
      <w:r w:rsidRPr="00733092">
        <w:rPr>
          <w:rFonts w:eastAsiaTheme="minorEastAsia"/>
          <w:sz w:val="18"/>
          <w:szCs w:val="18"/>
        </w:rPr>
        <w:t>Valerija</w:t>
      </w:r>
      <w:proofErr w:type="spellEnd"/>
      <w:r w:rsidRPr="00733092">
        <w:rPr>
          <w:rFonts w:eastAsiaTheme="minorEastAsia"/>
          <w:sz w:val="18"/>
          <w:szCs w:val="18"/>
        </w:rPr>
        <w:t xml:space="preserve"> Dobricic</w:t>
      </w:r>
      <w:r w:rsidRPr="00733092">
        <w:rPr>
          <w:rFonts w:eastAsiaTheme="minorEastAsia"/>
          <w:sz w:val="18"/>
          <w:szCs w:val="18"/>
          <w:vertAlign w:val="superscript"/>
        </w:rPr>
        <w:t>15,16</w:t>
      </w:r>
      <w:r w:rsidRPr="00733092">
        <w:rPr>
          <w:rFonts w:eastAsiaTheme="minorEastAsia"/>
          <w:sz w:val="18"/>
          <w:szCs w:val="18"/>
        </w:rPr>
        <w:t>, Ebba Lohmann</w:t>
      </w:r>
      <w:r w:rsidRPr="00733092">
        <w:rPr>
          <w:rFonts w:eastAsiaTheme="minorEastAsia"/>
          <w:sz w:val="18"/>
          <w:szCs w:val="18"/>
          <w:vertAlign w:val="superscript"/>
        </w:rPr>
        <w:t>17,18,19</w:t>
      </w:r>
      <w:r w:rsidRPr="00733092">
        <w:rPr>
          <w:rFonts w:eastAsiaTheme="minorEastAsia"/>
          <w:sz w:val="18"/>
          <w:szCs w:val="18"/>
        </w:rPr>
        <w:t xml:space="preserve">, </w:t>
      </w:r>
      <w:proofErr w:type="spellStart"/>
      <w:r w:rsidRPr="00733092">
        <w:rPr>
          <w:rFonts w:eastAsiaTheme="minorEastAsia"/>
          <w:sz w:val="18"/>
          <w:szCs w:val="18"/>
        </w:rPr>
        <w:t>Hasmet</w:t>
      </w:r>
      <w:proofErr w:type="spellEnd"/>
      <w:r w:rsidRPr="00733092">
        <w:rPr>
          <w:rFonts w:eastAsiaTheme="minorEastAsia"/>
          <w:sz w:val="18"/>
          <w:szCs w:val="18"/>
        </w:rPr>
        <w:t xml:space="preserve"> Hanagasi</w:t>
      </w:r>
      <w:r w:rsidRPr="00733092">
        <w:rPr>
          <w:rFonts w:eastAsiaTheme="minorEastAsia"/>
          <w:sz w:val="18"/>
          <w:szCs w:val="18"/>
          <w:vertAlign w:val="superscript"/>
        </w:rPr>
        <w:t>17</w:t>
      </w:r>
      <w:r w:rsidRPr="00733092">
        <w:rPr>
          <w:rFonts w:eastAsiaTheme="minorEastAsia"/>
          <w:sz w:val="18"/>
          <w:szCs w:val="18"/>
        </w:rPr>
        <w:t>, Gamze Guven</w:t>
      </w:r>
      <w:r w:rsidRPr="00733092">
        <w:rPr>
          <w:rFonts w:eastAsiaTheme="minorEastAsia"/>
          <w:sz w:val="18"/>
          <w:szCs w:val="18"/>
          <w:vertAlign w:val="superscript"/>
        </w:rPr>
        <w:t>20</w:t>
      </w:r>
      <w:r w:rsidRPr="00733092">
        <w:rPr>
          <w:rFonts w:eastAsiaTheme="minorEastAsia"/>
          <w:sz w:val="18"/>
          <w:szCs w:val="18"/>
        </w:rPr>
        <w:t xml:space="preserve">, </w:t>
      </w:r>
      <w:proofErr w:type="spellStart"/>
      <w:r w:rsidRPr="00733092">
        <w:rPr>
          <w:rFonts w:eastAsiaTheme="minorEastAsia"/>
          <w:sz w:val="18"/>
          <w:szCs w:val="18"/>
        </w:rPr>
        <w:t>Basar</w:t>
      </w:r>
      <w:proofErr w:type="spellEnd"/>
      <w:r w:rsidRPr="00733092">
        <w:rPr>
          <w:rFonts w:eastAsiaTheme="minorEastAsia"/>
          <w:sz w:val="18"/>
          <w:szCs w:val="18"/>
        </w:rPr>
        <w:t xml:space="preserve"> Bilgic</w:t>
      </w:r>
      <w:r w:rsidRPr="00733092">
        <w:rPr>
          <w:rFonts w:eastAsiaTheme="minorEastAsia"/>
          <w:sz w:val="18"/>
          <w:szCs w:val="18"/>
          <w:vertAlign w:val="superscript"/>
        </w:rPr>
        <w:t>17</w:t>
      </w:r>
      <w:r w:rsidRPr="00733092">
        <w:rPr>
          <w:rFonts w:eastAsiaTheme="minorEastAsia"/>
          <w:sz w:val="18"/>
          <w:szCs w:val="18"/>
        </w:rPr>
        <w:t>, Jose Bras</w:t>
      </w:r>
      <w:r w:rsidRPr="00733092">
        <w:rPr>
          <w:rFonts w:eastAsiaTheme="minorEastAsia"/>
          <w:sz w:val="18"/>
          <w:szCs w:val="18"/>
          <w:vertAlign w:val="superscript"/>
        </w:rPr>
        <w:t>3</w:t>
      </w:r>
      <w:r w:rsidRPr="00733092">
        <w:rPr>
          <w:rFonts w:eastAsiaTheme="minorEastAsia"/>
          <w:sz w:val="18"/>
          <w:szCs w:val="18"/>
        </w:rPr>
        <w:t>, Rita Guerreiro</w:t>
      </w:r>
      <w:r w:rsidRPr="00733092">
        <w:rPr>
          <w:rFonts w:eastAsiaTheme="minorEastAsia"/>
          <w:sz w:val="18"/>
          <w:szCs w:val="18"/>
          <w:vertAlign w:val="superscript"/>
        </w:rPr>
        <w:t>3</w:t>
      </w:r>
      <w:r w:rsidRPr="00733092">
        <w:rPr>
          <w:rFonts w:eastAsiaTheme="minorEastAsia"/>
          <w:sz w:val="18"/>
          <w:szCs w:val="18"/>
        </w:rPr>
        <w:t>, Dieter Beule</w:t>
      </w:r>
      <w:r w:rsidRPr="00733092">
        <w:rPr>
          <w:rFonts w:eastAsiaTheme="minorEastAsia"/>
          <w:sz w:val="18"/>
          <w:szCs w:val="18"/>
          <w:vertAlign w:val="superscript"/>
        </w:rPr>
        <w:t>2</w:t>
      </w:r>
      <w:r w:rsidRPr="00733092">
        <w:rPr>
          <w:rFonts w:eastAsiaTheme="minorEastAsia"/>
          <w:sz w:val="18"/>
          <w:szCs w:val="18"/>
        </w:rPr>
        <w:t>, Ulrich Dirnagl</w:t>
      </w:r>
      <w:r w:rsidRPr="00733092">
        <w:rPr>
          <w:rFonts w:eastAsiaTheme="minorEastAsia"/>
          <w:sz w:val="18"/>
          <w:szCs w:val="18"/>
          <w:vertAlign w:val="superscript"/>
        </w:rPr>
        <w:t>1</w:t>
      </w:r>
      <w:r w:rsidRPr="00733092">
        <w:rPr>
          <w:rFonts w:eastAsiaTheme="minorEastAsia"/>
          <w:sz w:val="18"/>
          <w:szCs w:val="18"/>
        </w:rPr>
        <w:t>, Celeste Sassi</w:t>
      </w:r>
      <w:r w:rsidRPr="00733092">
        <w:rPr>
          <w:rFonts w:eastAsiaTheme="minorEastAsia"/>
          <w:sz w:val="18"/>
          <w:szCs w:val="18"/>
          <w:vertAlign w:val="superscript"/>
        </w:rPr>
        <w:t>1</w:t>
      </w:r>
    </w:p>
    <w:p w:rsidR="0084500C" w:rsidRPr="00733092" w:rsidRDefault="0084500C" w:rsidP="0084500C">
      <w:pPr>
        <w:spacing w:after="200" w:line="240" w:lineRule="auto"/>
        <w:jc w:val="both"/>
        <w:rPr>
          <w:rFonts w:eastAsiaTheme="minorEastAsia" w:cstheme="minorHAnsi"/>
          <w:sz w:val="16"/>
          <w:szCs w:val="16"/>
        </w:rPr>
      </w:pPr>
      <w:r w:rsidRPr="00733092">
        <w:rPr>
          <w:rFonts w:eastAsiaTheme="minorEastAsia" w:cstheme="minorHAnsi"/>
          <w:sz w:val="16"/>
          <w:szCs w:val="16"/>
          <w:vertAlign w:val="superscript"/>
        </w:rPr>
        <w:t>1</w:t>
      </w:r>
      <w:r w:rsidRPr="00733092">
        <w:rPr>
          <w:rFonts w:eastAsiaTheme="minorEastAsia" w:cstheme="minorHAnsi"/>
          <w:sz w:val="16"/>
          <w:szCs w:val="16"/>
        </w:rPr>
        <w:t xml:space="preserve">Department of Experimental Neurology, Center for Stroke Research Berlin (CSB), </w:t>
      </w:r>
      <w:proofErr w:type="spellStart"/>
      <w:r w:rsidRPr="00733092">
        <w:rPr>
          <w:rFonts w:eastAsiaTheme="minorEastAsia" w:cstheme="minorHAnsi"/>
          <w:sz w:val="16"/>
          <w:szCs w:val="16"/>
        </w:rPr>
        <w:t>Charité</w:t>
      </w:r>
      <w:proofErr w:type="spellEnd"/>
      <w:r w:rsidRPr="00733092">
        <w:rPr>
          <w:rFonts w:eastAsiaTheme="minorEastAsia" w:cstheme="minorHAnsi"/>
          <w:sz w:val="16"/>
          <w:szCs w:val="16"/>
        </w:rPr>
        <w:t xml:space="preserve"> - </w:t>
      </w:r>
      <w:proofErr w:type="spellStart"/>
      <w:r w:rsidRPr="00733092">
        <w:rPr>
          <w:rFonts w:eastAsiaTheme="minorEastAsia" w:cstheme="minorHAnsi"/>
          <w:sz w:val="16"/>
          <w:szCs w:val="16"/>
        </w:rPr>
        <w:t>Universitätsmedizin</w:t>
      </w:r>
      <w:proofErr w:type="spellEnd"/>
      <w:r w:rsidRPr="00733092">
        <w:rPr>
          <w:rFonts w:eastAsiaTheme="minorEastAsia" w:cstheme="minorHAnsi"/>
          <w:sz w:val="16"/>
          <w:szCs w:val="16"/>
        </w:rPr>
        <w:t xml:space="preserve"> Berlin, Corporate Member of </w:t>
      </w:r>
      <w:proofErr w:type="spellStart"/>
      <w:r w:rsidRPr="00733092">
        <w:rPr>
          <w:rFonts w:eastAsiaTheme="minorEastAsia" w:cstheme="minorHAnsi"/>
          <w:sz w:val="16"/>
          <w:szCs w:val="16"/>
        </w:rPr>
        <w:t>Freie</w:t>
      </w:r>
      <w:proofErr w:type="spellEnd"/>
      <w:r w:rsidRPr="00733092">
        <w:rPr>
          <w:rFonts w:eastAsiaTheme="minorEastAsia" w:cstheme="minorHAnsi"/>
          <w:sz w:val="16"/>
          <w:szCs w:val="16"/>
        </w:rPr>
        <w:t xml:space="preserve"> </w:t>
      </w:r>
      <w:proofErr w:type="spellStart"/>
      <w:r w:rsidRPr="00733092">
        <w:rPr>
          <w:rFonts w:eastAsiaTheme="minorEastAsia" w:cstheme="minorHAnsi"/>
          <w:sz w:val="16"/>
          <w:szCs w:val="16"/>
        </w:rPr>
        <w:t>Universität</w:t>
      </w:r>
      <w:proofErr w:type="spellEnd"/>
      <w:r w:rsidRPr="00733092">
        <w:rPr>
          <w:rFonts w:eastAsiaTheme="minorEastAsia" w:cstheme="minorHAnsi"/>
          <w:sz w:val="16"/>
          <w:szCs w:val="16"/>
        </w:rPr>
        <w:t xml:space="preserve"> Berlin, Humboldt-</w:t>
      </w:r>
      <w:proofErr w:type="spellStart"/>
      <w:r w:rsidRPr="00733092">
        <w:rPr>
          <w:rFonts w:eastAsiaTheme="minorEastAsia" w:cstheme="minorHAnsi"/>
          <w:sz w:val="16"/>
          <w:szCs w:val="16"/>
        </w:rPr>
        <w:t>Universität</w:t>
      </w:r>
      <w:proofErr w:type="spellEnd"/>
      <w:r w:rsidRPr="00733092">
        <w:rPr>
          <w:rFonts w:eastAsiaTheme="minorEastAsia" w:cstheme="minorHAnsi"/>
          <w:sz w:val="16"/>
          <w:szCs w:val="16"/>
        </w:rPr>
        <w:t xml:space="preserve"> </w:t>
      </w:r>
      <w:proofErr w:type="spellStart"/>
      <w:r w:rsidRPr="00733092">
        <w:rPr>
          <w:rFonts w:eastAsiaTheme="minorEastAsia" w:cstheme="minorHAnsi"/>
          <w:sz w:val="16"/>
          <w:szCs w:val="16"/>
        </w:rPr>
        <w:t>zu</w:t>
      </w:r>
      <w:proofErr w:type="spellEnd"/>
      <w:r w:rsidRPr="00733092">
        <w:rPr>
          <w:rFonts w:eastAsiaTheme="minorEastAsia" w:cstheme="minorHAnsi"/>
          <w:sz w:val="16"/>
          <w:szCs w:val="16"/>
        </w:rPr>
        <w:t xml:space="preserve"> Berlin, and Berlin Institute of Health, Berlin, Germany</w:t>
      </w:r>
    </w:p>
    <w:p w:rsidR="0084500C" w:rsidRPr="00733092" w:rsidRDefault="0084500C" w:rsidP="0084500C">
      <w:pPr>
        <w:spacing w:after="200" w:line="240" w:lineRule="auto"/>
        <w:jc w:val="both"/>
        <w:rPr>
          <w:rFonts w:eastAsiaTheme="minorEastAsia" w:cstheme="minorHAnsi"/>
          <w:sz w:val="16"/>
          <w:szCs w:val="16"/>
        </w:rPr>
      </w:pPr>
      <w:r w:rsidRPr="00733092">
        <w:rPr>
          <w:rFonts w:eastAsiaTheme="minorEastAsia" w:cstheme="minorHAnsi"/>
          <w:sz w:val="16"/>
          <w:szCs w:val="16"/>
          <w:vertAlign w:val="superscript"/>
        </w:rPr>
        <w:t>2</w:t>
      </w:r>
      <w:r w:rsidRPr="00733092">
        <w:rPr>
          <w:rFonts w:eastAsiaTheme="minorEastAsia" w:cstheme="minorHAnsi"/>
          <w:sz w:val="16"/>
          <w:szCs w:val="16"/>
        </w:rPr>
        <w:t xml:space="preserve">Berlin Institute of Health, BIH, Core Unit Bioinformatics and </w:t>
      </w:r>
      <w:proofErr w:type="spellStart"/>
      <w:r w:rsidRPr="00733092">
        <w:rPr>
          <w:rFonts w:eastAsia="Times New Roman" w:cstheme="minorHAnsi"/>
          <w:color w:val="000000"/>
          <w:sz w:val="16"/>
          <w:szCs w:val="16"/>
          <w:lang w:eastAsia="en-GB"/>
        </w:rPr>
        <w:t>Charité</w:t>
      </w:r>
      <w:proofErr w:type="spellEnd"/>
      <w:r w:rsidRPr="00733092">
        <w:rPr>
          <w:rFonts w:eastAsia="Times New Roman" w:cstheme="minorHAnsi"/>
          <w:color w:val="000000"/>
          <w:sz w:val="16"/>
          <w:szCs w:val="16"/>
          <w:lang w:eastAsia="en-GB"/>
        </w:rPr>
        <w:t xml:space="preserve"> – </w:t>
      </w:r>
      <w:proofErr w:type="spellStart"/>
      <w:r w:rsidRPr="00733092">
        <w:rPr>
          <w:rFonts w:eastAsia="Times New Roman" w:cstheme="minorHAnsi"/>
          <w:color w:val="000000"/>
          <w:sz w:val="16"/>
          <w:szCs w:val="16"/>
          <w:lang w:eastAsia="en-GB"/>
        </w:rPr>
        <w:t>Universitätsmedizin</w:t>
      </w:r>
      <w:proofErr w:type="spellEnd"/>
      <w:r w:rsidRPr="00733092">
        <w:rPr>
          <w:rFonts w:eastAsia="Times New Roman" w:cstheme="minorHAnsi"/>
          <w:color w:val="000000"/>
          <w:sz w:val="16"/>
          <w:szCs w:val="16"/>
          <w:lang w:eastAsia="en-GB"/>
        </w:rPr>
        <w:t xml:space="preserve"> Berlin, Berlin</w:t>
      </w:r>
      <w:r w:rsidRPr="00733092">
        <w:rPr>
          <w:rFonts w:eastAsiaTheme="minorEastAsia" w:cstheme="minorHAnsi"/>
          <w:sz w:val="16"/>
          <w:szCs w:val="16"/>
        </w:rPr>
        <w:t xml:space="preserve"> Germany.</w:t>
      </w:r>
    </w:p>
    <w:p w:rsidR="0084500C" w:rsidRPr="00733092" w:rsidRDefault="0084500C" w:rsidP="0084500C">
      <w:pPr>
        <w:spacing w:after="0" w:line="360" w:lineRule="auto"/>
        <w:jc w:val="both"/>
        <w:rPr>
          <w:rFonts w:eastAsiaTheme="minorEastAsia"/>
          <w:sz w:val="16"/>
          <w:szCs w:val="16"/>
        </w:rPr>
      </w:pPr>
      <w:r w:rsidRPr="00733092">
        <w:rPr>
          <w:rFonts w:eastAsiaTheme="minorEastAsia"/>
          <w:sz w:val="16"/>
          <w:szCs w:val="16"/>
          <w:vertAlign w:val="superscript"/>
        </w:rPr>
        <w:t>3</w:t>
      </w:r>
      <w:r w:rsidRPr="00733092">
        <w:rPr>
          <w:rFonts w:eastAsiaTheme="minorEastAsia"/>
          <w:sz w:val="16"/>
          <w:szCs w:val="16"/>
        </w:rPr>
        <w:t xml:space="preserve">Center for Neurodegenerative Science, Van </w:t>
      </w:r>
      <w:proofErr w:type="spellStart"/>
      <w:r w:rsidRPr="00733092">
        <w:rPr>
          <w:rFonts w:eastAsiaTheme="minorEastAsia"/>
          <w:sz w:val="16"/>
          <w:szCs w:val="16"/>
        </w:rPr>
        <w:t>Andel</w:t>
      </w:r>
      <w:proofErr w:type="spellEnd"/>
      <w:r w:rsidRPr="00733092">
        <w:rPr>
          <w:rFonts w:eastAsiaTheme="minorEastAsia"/>
          <w:sz w:val="16"/>
          <w:szCs w:val="16"/>
        </w:rPr>
        <w:t xml:space="preserve"> Research Institute, Grand Rapids, Michigan</w:t>
      </w:r>
    </w:p>
    <w:p w:rsidR="0084500C" w:rsidRPr="00733092" w:rsidRDefault="0084500C" w:rsidP="0084500C">
      <w:pPr>
        <w:spacing w:after="0" w:line="360" w:lineRule="auto"/>
        <w:jc w:val="both"/>
        <w:rPr>
          <w:rFonts w:eastAsiaTheme="minorEastAsia"/>
          <w:sz w:val="16"/>
          <w:szCs w:val="16"/>
          <w:lang w:val="it-IT"/>
        </w:rPr>
      </w:pPr>
      <w:r w:rsidRPr="00733092">
        <w:rPr>
          <w:rFonts w:eastAsiaTheme="minorEastAsia"/>
          <w:sz w:val="16"/>
          <w:szCs w:val="16"/>
          <w:vertAlign w:val="superscript"/>
          <w:lang w:val="it-IT"/>
        </w:rPr>
        <w:t>4</w:t>
      </w:r>
      <w:r w:rsidRPr="00733092">
        <w:rPr>
          <w:rFonts w:eastAsiaTheme="minorEastAsia"/>
          <w:sz w:val="16"/>
          <w:szCs w:val="16"/>
          <w:lang w:val="it-IT"/>
        </w:rPr>
        <w:t>CGPP and UnIGENe, Instituto Biologia Molecular Celular, Instituto de Investigação e Inovação em Saúde, Porto, Portugal</w:t>
      </w:r>
    </w:p>
    <w:p w:rsidR="0084500C" w:rsidRPr="00733092" w:rsidRDefault="0084500C" w:rsidP="0084500C">
      <w:pPr>
        <w:spacing w:after="0" w:line="360" w:lineRule="auto"/>
        <w:rPr>
          <w:rFonts w:ascii="Calibri" w:eastAsia="Times New Roman" w:hAnsi="Calibri" w:cs="Calibri"/>
          <w:sz w:val="16"/>
          <w:szCs w:val="16"/>
          <w:lang w:val="it-IT" w:eastAsia="en-GB"/>
        </w:rPr>
      </w:pPr>
      <w:r w:rsidRPr="00733092">
        <w:rPr>
          <w:rFonts w:ascii="Calibri" w:eastAsia="Times New Roman" w:hAnsi="Calibri" w:cs="Calibri"/>
          <w:sz w:val="16"/>
          <w:szCs w:val="16"/>
          <w:vertAlign w:val="superscript"/>
          <w:lang w:val="it-IT" w:eastAsia="en-GB"/>
        </w:rPr>
        <w:t>5</w:t>
      </w:r>
      <w:r w:rsidRPr="00733092">
        <w:rPr>
          <w:rFonts w:ascii="Calibri" w:eastAsia="Times New Roman" w:hAnsi="Calibri" w:cs="Calibri"/>
          <w:sz w:val="16"/>
          <w:szCs w:val="16"/>
          <w:lang w:val="it-IT" w:eastAsia="en-GB"/>
        </w:rPr>
        <w:t>Department of Neurology, Centro Hospitalar e Universitário de Coimbra, Coimbra, Portugal</w:t>
      </w:r>
    </w:p>
    <w:p w:rsidR="0084500C" w:rsidRPr="00733092" w:rsidRDefault="0084500C" w:rsidP="0084500C">
      <w:pPr>
        <w:spacing w:after="0" w:line="360" w:lineRule="auto"/>
        <w:rPr>
          <w:rFonts w:ascii="Calibri" w:eastAsia="Times New Roman" w:hAnsi="Calibri" w:cs="Calibri"/>
          <w:sz w:val="16"/>
          <w:szCs w:val="16"/>
          <w:lang w:val="it-IT" w:eastAsia="en-GB"/>
        </w:rPr>
      </w:pPr>
      <w:r w:rsidRPr="00733092">
        <w:rPr>
          <w:rFonts w:ascii="Calibri" w:eastAsia="Times New Roman" w:hAnsi="Calibri" w:cs="Calibri"/>
          <w:sz w:val="16"/>
          <w:szCs w:val="16"/>
          <w:vertAlign w:val="superscript"/>
          <w:lang w:val="it-IT" w:eastAsia="en-GB"/>
        </w:rPr>
        <w:t xml:space="preserve">6 </w:t>
      </w:r>
      <w:r w:rsidRPr="00733092">
        <w:rPr>
          <w:rFonts w:ascii="Calibri" w:eastAsia="Times New Roman" w:hAnsi="Calibri" w:cs="Calibri"/>
          <w:sz w:val="16"/>
          <w:szCs w:val="16"/>
          <w:lang w:val="it-IT" w:eastAsia="en-GB"/>
        </w:rPr>
        <w:t>Department of Neurology, Centro Hospitalar Trás-os-Montes e Alto Douro, Portugal</w:t>
      </w:r>
    </w:p>
    <w:p w:rsidR="0084500C" w:rsidRPr="00733092" w:rsidRDefault="0084500C" w:rsidP="0084500C">
      <w:pPr>
        <w:spacing w:after="0" w:line="360" w:lineRule="auto"/>
        <w:rPr>
          <w:rFonts w:ascii="Calibri" w:eastAsia="Times New Roman" w:hAnsi="Calibri" w:cs="Calibri"/>
          <w:sz w:val="16"/>
          <w:szCs w:val="16"/>
          <w:lang w:val="it-IT" w:eastAsia="en-GB"/>
        </w:rPr>
      </w:pPr>
      <w:r w:rsidRPr="00733092">
        <w:rPr>
          <w:rFonts w:ascii="Calibri" w:eastAsia="Times New Roman" w:hAnsi="Calibri" w:cs="Calibri"/>
          <w:sz w:val="16"/>
          <w:szCs w:val="16"/>
          <w:vertAlign w:val="superscript"/>
          <w:lang w:val="it-IT" w:eastAsia="en-GB"/>
        </w:rPr>
        <w:t>7</w:t>
      </w:r>
      <w:r w:rsidRPr="00733092">
        <w:rPr>
          <w:rFonts w:ascii="Calibri" w:eastAsia="Times New Roman" w:hAnsi="Calibri" w:cs="Calibri"/>
          <w:sz w:val="16"/>
          <w:szCs w:val="16"/>
          <w:lang w:val="it-IT" w:eastAsia="en-GB"/>
        </w:rPr>
        <w:t>Faculdade de Medicina da Universidade de Coimbra, Coimbra, Portugal</w:t>
      </w:r>
    </w:p>
    <w:p w:rsidR="0084500C" w:rsidRPr="00733092" w:rsidRDefault="0084500C" w:rsidP="0084500C">
      <w:pPr>
        <w:spacing w:after="0" w:line="360" w:lineRule="auto"/>
        <w:rPr>
          <w:rFonts w:ascii="Calibri" w:eastAsia="Times New Roman" w:hAnsi="Calibri" w:cs="Calibri"/>
          <w:sz w:val="16"/>
          <w:szCs w:val="16"/>
          <w:lang w:val="it-IT" w:eastAsia="en-GB"/>
        </w:rPr>
      </w:pPr>
      <w:r w:rsidRPr="00733092">
        <w:rPr>
          <w:rFonts w:ascii="Calibri" w:eastAsia="Times New Roman" w:hAnsi="Calibri" w:cs="Calibri"/>
          <w:sz w:val="16"/>
          <w:szCs w:val="16"/>
          <w:vertAlign w:val="superscript"/>
          <w:lang w:val="it-IT" w:eastAsia="en-GB"/>
        </w:rPr>
        <w:t>8</w:t>
      </w:r>
      <w:r w:rsidRPr="00733092">
        <w:rPr>
          <w:rFonts w:ascii="Calibri" w:eastAsia="Times New Roman" w:hAnsi="Calibri" w:cs="Calibri"/>
          <w:sz w:val="16"/>
          <w:szCs w:val="16"/>
          <w:lang w:val="it-IT" w:eastAsia="en-GB"/>
        </w:rPr>
        <w:t xml:space="preserve">Centro de Neurociências e Biologia Celular da Universidade de Coimbra, Coimbra, Portugal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9</w:t>
      </w:r>
      <w:r w:rsidRPr="00733092">
        <w:rPr>
          <w:rFonts w:ascii="Calibri" w:eastAsia="Times New Roman" w:hAnsi="Calibri" w:cs="Calibri"/>
          <w:sz w:val="16"/>
          <w:szCs w:val="16"/>
          <w:lang w:eastAsia="en-GB"/>
        </w:rPr>
        <w:t xml:space="preserve">Department of Medical Genetics, University of Helsinki, Helsinki, Finland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10</w:t>
      </w:r>
      <w:r w:rsidRPr="00733092">
        <w:rPr>
          <w:rFonts w:ascii="Calibri" w:eastAsia="Times New Roman" w:hAnsi="Calibri" w:cs="Calibri"/>
          <w:sz w:val="16"/>
          <w:szCs w:val="16"/>
          <w:lang w:eastAsia="en-GB"/>
        </w:rPr>
        <w:t xml:space="preserve">Turku University Hospital, Laboratory Division, Genomics, Department of Medical Genetics, Turku, Finland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11</w:t>
      </w:r>
      <w:r w:rsidRPr="00733092">
        <w:rPr>
          <w:rFonts w:ascii="Calibri" w:eastAsia="Times New Roman" w:hAnsi="Calibri" w:cs="Calibri"/>
          <w:sz w:val="16"/>
          <w:szCs w:val="16"/>
          <w:lang w:eastAsia="en-GB"/>
        </w:rPr>
        <w:t xml:space="preserve">Department of Clinical Genetics, Helsinki University Hospital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12</w:t>
      </w:r>
      <w:r w:rsidRPr="00733092">
        <w:rPr>
          <w:rFonts w:ascii="Calibri" w:eastAsia="Times New Roman" w:hAnsi="Calibri" w:cs="Calibri"/>
          <w:sz w:val="16"/>
          <w:szCs w:val="16"/>
          <w:lang w:eastAsia="en-GB"/>
        </w:rPr>
        <w:t xml:space="preserve">Department of Medical Genetics, University of Helsinki, Helsinki, Finland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13</w:t>
      </w:r>
      <w:r w:rsidRPr="00733092">
        <w:rPr>
          <w:rFonts w:ascii="Calibri" w:eastAsia="Times New Roman" w:hAnsi="Calibri" w:cs="Calibri"/>
          <w:sz w:val="16"/>
          <w:szCs w:val="16"/>
          <w:lang w:eastAsia="en-GB"/>
        </w:rPr>
        <w:t>Department of Pathology, University of Helsinki and Helsinki University Hospital, Helsinki, Finland.</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sz w:val="16"/>
          <w:szCs w:val="16"/>
          <w:vertAlign w:val="superscript"/>
        </w:rPr>
        <w:t>14</w:t>
      </w:r>
      <w:r w:rsidRPr="00733092">
        <w:rPr>
          <w:sz w:val="16"/>
          <w:szCs w:val="16"/>
        </w:rPr>
        <w:t>Institute of Neuropathology, University of Zurich, Zurich, Switzerland.</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15</w:t>
      </w:r>
      <w:r w:rsidRPr="00733092">
        <w:rPr>
          <w:rFonts w:ascii="Calibri" w:eastAsia="Times New Roman" w:hAnsi="Calibri" w:cs="Calibri"/>
          <w:sz w:val="16"/>
          <w:szCs w:val="16"/>
          <w:lang w:eastAsia="en-GB"/>
        </w:rPr>
        <w:t xml:space="preserve">Clinic of Neurology, Faculty of Medicine, University of Belgrade, Belgrade, Serbia.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16</w:t>
      </w:r>
      <w:r w:rsidRPr="00733092">
        <w:rPr>
          <w:rFonts w:ascii="Calibri" w:eastAsia="Times New Roman" w:hAnsi="Calibri" w:cs="Calibri"/>
          <w:sz w:val="16"/>
          <w:szCs w:val="16"/>
          <w:lang w:eastAsia="en-GB"/>
        </w:rPr>
        <w:t xml:space="preserve">Lübeck Interdisciplinary Platform for Genome Analytics (LIGA), Institutes of </w:t>
      </w:r>
      <w:proofErr w:type="spellStart"/>
      <w:r w:rsidRPr="00733092">
        <w:rPr>
          <w:rFonts w:ascii="Calibri" w:eastAsia="Times New Roman" w:hAnsi="Calibri" w:cs="Calibri"/>
          <w:sz w:val="16"/>
          <w:szCs w:val="16"/>
          <w:lang w:eastAsia="en-GB"/>
        </w:rPr>
        <w:t>Neurogenetics</w:t>
      </w:r>
      <w:proofErr w:type="spellEnd"/>
      <w:r w:rsidRPr="00733092">
        <w:rPr>
          <w:rFonts w:ascii="Calibri" w:eastAsia="Times New Roman" w:hAnsi="Calibri" w:cs="Calibri"/>
          <w:sz w:val="16"/>
          <w:szCs w:val="16"/>
          <w:lang w:eastAsia="en-GB"/>
        </w:rPr>
        <w:t xml:space="preserve"> &amp; </w:t>
      </w:r>
      <w:proofErr w:type="spellStart"/>
      <w:r w:rsidRPr="00733092">
        <w:rPr>
          <w:rFonts w:ascii="Calibri" w:eastAsia="Times New Roman" w:hAnsi="Calibri" w:cs="Calibri"/>
          <w:sz w:val="16"/>
          <w:szCs w:val="16"/>
          <w:lang w:eastAsia="en-GB"/>
        </w:rPr>
        <w:t>Cardiogenetics</w:t>
      </w:r>
      <w:proofErr w:type="spellEnd"/>
      <w:r w:rsidRPr="00733092">
        <w:rPr>
          <w:rFonts w:ascii="Calibri" w:eastAsia="Times New Roman" w:hAnsi="Calibri" w:cs="Calibri"/>
          <w:sz w:val="16"/>
          <w:szCs w:val="16"/>
          <w:lang w:eastAsia="en-GB"/>
        </w:rPr>
        <w:t xml:space="preserve">, University of </w:t>
      </w:r>
      <w:proofErr w:type="spellStart"/>
      <w:r w:rsidRPr="00733092">
        <w:rPr>
          <w:rFonts w:ascii="Calibri" w:eastAsia="Times New Roman" w:hAnsi="Calibri" w:cs="Calibri"/>
          <w:sz w:val="16"/>
          <w:szCs w:val="16"/>
          <w:lang w:eastAsia="en-GB"/>
        </w:rPr>
        <w:t>Lübeck</w:t>
      </w:r>
      <w:proofErr w:type="spellEnd"/>
      <w:r w:rsidRPr="00733092">
        <w:rPr>
          <w:rFonts w:ascii="Calibri" w:eastAsia="Times New Roman" w:hAnsi="Calibri" w:cs="Calibri"/>
          <w:sz w:val="16"/>
          <w:szCs w:val="16"/>
          <w:lang w:eastAsia="en-GB"/>
        </w:rPr>
        <w:t xml:space="preserve">, </w:t>
      </w:r>
      <w:proofErr w:type="spellStart"/>
      <w:r w:rsidRPr="00733092">
        <w:rPr>
          <w:rFonts w:ascii="Calibri" w:eastAsia="Times New Roman" w:hAnsi="Calibri" w:cs="Calibri"/>
          <w:sz w:val="16"/>
          <w:szCs w:val="16"/>
          <w:lang w:eastAsia="en-GB"/>
        </w:rPr>
        <w:t>Lübeck</w:t>
      </w:r>
      <w:proofErr w:type="spellEnd"/>
      <w:r w:rsidRPr="00733092">
        <w:rPr>
          <w:rFonts w:ascii="Calibri" w:eastAsia="Times New Roman" w:hAnsi="Calibri" w:cs="Calibri"/>
          <w:sz w:val="16"/>
          <w:szCs w:val="16"/>
          <w:lang w:eastAsia="en-GB"/>
        </w:rPr>
        <w:t>, Germany.</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17</w:t>
      </w:r>
      <w:r w:rsidRPr="00733092">
        <w:rPr>
          <w:rFonts w:ascii="Calibri" w:eastAsia="Times New Roman" w:hAnsi="Calibri" w:cs="Calibri"/>
          <w:sz w:val="16"/>
          <w:szCs w:val="16"/>
          <w:lang w:eastAsia="en-GB"/>
        </w:rPr>
        <w:t>Behavioural Neurology and Movement Disorders Unit, Department of Neurology, Istanbul Faculty of Medicine, Istanbul University, Istanbul, Turkey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18</w:t>
      </w:r>
      <w:r w:rsidRPr="00733092">
        <w:rPr>
          <w:rFonts w:ascii="Calibri" w:eastAsia="Times New Roman" w:hAnsi="Calibri" w:cs="Calibri"/>
          <w:sz w:val="16"/>
          <w:szCs w:val="16"/>
          <w:lang w:eastAsia="en-GB"/>
        </w:rPr>
        <w:t xml:space="preserve">Department of Neurodegenerative Diseases, </w:t>
      </w:r>
      <w:proofErr w:type="spellStart"/>
      <w:r w:rsidRPr="00733092">
        <w:rPr>
          <w:rFonts w:ascii="Calibri" w:eastAsia="Times New Roman" w:hAnsi="Calibri" w:cs="Calibri"/>
          <w:sz w:val="16"/>
          <w:szCs w:val="16"/>
          <w:lang w:eastAsia="en-GB"/>
        </w:rPr>
        <w:t>Hertie</w:t>
      </w:r>
      <w:proofErr w:type="spellEnd"/>
      <w:r w:rsidRPr="00733092">
        <w:rPr>
          <w:rFonts w:ascii="Calibri" w:eastAsia="Times New Roman" w:hAnsi="Calibri" w:cs="Calibri"/>
          <w:sz w:val="16"/>
          <w:szCs w:val="16"/>
          <w:lang w:eastAsia="en-GB"/>
        </w:rPr>
        <w:t xml:space="preserve"> Institute for Clinical Brain Research, University of </w:t>
      </w:r>
      <w:proofErr w:type="spellStart"/>
      <w:r w:rsidRPr="00733092">
        <w:rPr>
          <w:rFonts w:ascii="Calibri" w:eastAsia="Times New Roman" w:hAnsi="Calibri" w:cs="Calibri"/>
          <w:sz w:val="16"/>
          <w:szCs w:val="16"/>
          <w:lang w:eastAsia="en-GB"/>
        </w:rPr>
        <w:t>Tübingen</w:t>
      </w:r>
      <w:proofErr w:type="spellEnd"/>
      <w:r w:rsidRPr="00733092">
        <w:rPr>
          <w:rFonts w:ascii="Calibri" w:eastAsia="Times New Roman" w:hAnsi="Calibri" w:cs="Calibri"/>
          <w:sz w:val="16"/>
          <w:szCs w:val="16"/>
          <w:lang w:eastAsia="en-GB"/>
        </w:rPr>
        <w:t xml:space="preserve">, </w:t>
      </w:r>
      <w:proofErr w:type="spellStart"/>
      <w:r w:rsidRPr="00733092">
        <w:rPr>
          <w:rFonts w:ascii="Calibri" w:eastAsia="Times New Roman" w:hAnsi="Calibri" w:cs="Calibri"/>
          <w:sz w:val="16"/>
          <w:szCs w:val="16"/>
          <w:lang w:eastAsia="en-GB"/>
        </w:rPr>
        <w:t>Tübingen</w:t>
      </w:r>
      <w:proofErr w:type="spellEnd"/>
      <w:r w:rsidRPr="00733092">
        <w:rPr>
          <w:rFonts w:ascii="Calibri" w:eastAsia="Times New Roman" w:hAnsi="Calibri" w:cs="Calibri"/>
          <w:sz w:val="16"/>
          <w:szCs w:val="16"/>
          <w:lang w:eastAsia="en-GB"/>
        </w:rPr>
        <w:t>, Germany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19</w:t>
      </w:r>
      <w:r w:rsidRPr="00733092">
        <w:rPr>
          <w:rFonts w:ascii="Calibri" w:eastAsia="Times New Roman" w:hAnsi="Calibri" w:cs="Calibri"/>
          <w:sz w:val="16"/>
          <w:szCs w:val="16"/>
          <w:lang w:eastAsia="en-GB"/>
        </w:rPr>
        <w:t xml:space="preserve">DZNE, German Center for Neurodegenerative Diseases, </w:t>
      </w:r>
      <w:proofErr w:type="spellStart"/>
      <w:r w:rsidRPr="00733092">
        <w:rPr>
          <w:rFonts w:ascii="Calibri" w:eastAsia="Times New Roman" w:hAnsi="Calibri" w:cs="Calibri"/>
          <w:sz w:val="16"/>
          <w:szCs w:val="16"/>
          <w:lang w:eastAsia="en-GB"/>
        </w:rPr>
        <w:t>Tübingen</w:t>
      </w:r>
      <w:proofErr w:type="spellEnd"/>
      <w:r w:rsidRPr="00733092">
        <w:rPr>
          <w:rFonts w:ascii="Calibri" w:eastAsia="Times New Roman" w:hAnsi="Calibri" w:cs="Calibri"/>
          <w:sz w:val="16"/>
          <w:szCs w:val="16"/>
          <w:lang w:eastAsia="en-GB"/>
        </w:rPr>
        <w:t>, Germany </w:t>
      </w:r>
    </w:p>
    <w:p w:rsidR="0084500C" w:rsidRPr="00733092" w:rsidRDefault="0084500C" w:rsidP="0084500C">
      <w:pPr>
        <w:spacing w:after="0" w:line="360" w:lineRule="auto"/>
        <w:rPr>
          <w:rFonts w:ascii="Calibri" w:eastAsia="Times New Roman" w:hAnsi="Calibri" w:cs="Calibri"/>
          <w:sz w:val="16"/>
          <w:szCs w:val="16"/>
          <w:lang w:eastAsia="en-GB"/>
        </w:rPr>
      </w:pPr>
      <w:r w:rsidRPr="00733092">
        <w:rPr>
          <w:rFonts w:ascii="Calibri" w:eastAsia="Times New Roman" w:hAnsi="Calibri" w:cs="Calibri"/>
          <w:sz w:val="16"/>
          <w:szCs w:val="16"/>
          <w:vertAlign w:val="superscript"/>
          <w:lang w:eastAsia="en-GB"/>
        </w:rPr>
        <w:t>20</w:t>
      </w:r>
      <w:r w:rsidRPr="00733092">
        <w:rPr>
          <w:rFonts w:ascii="Calibri" w:eastAsia="Times New Roman" w:hAnsi="Calibri" w:cs="Calibri"/>
          <w:sz w:val="16"/>
          <w:szCs w:val="16"/>
          <w:lang w:eastAsia="en-GB"/>
        </w:rPr>
        <w:t xml:space="preserve">Department of Genetics, Aziz </w:t>
      </w:r>
      <w:proofErr w:type="spellStart"/>
      <w:r w:rsidRPr="00733092">
        <w:rPr>
          <w:rFonts w:ascii="Calibri" w:eastAsia="Times New Roman" w:hAnsi="Calibri" w:cs="Calibri"/>
          <w:sz w:val="16"/>
          <w:szCs w:val="16"/>
          <w:lang w:eastAsia="en-GB"/>
        </w:rPr>
        <w:t>Sancar</w:t>
      </w:r>
      <w:proofErr w:type="spellEnd"/>
      <w:r w:rsidRPr="00733092">
        <w:rPr>
          <w:rFonts w:ascii="Calibri" w:eastAsia="Times New Roman" w:hAnsi="Calibri" w:cs="Calibri"/>
          <w:sz w:val="16"/>
          <w:szCs w:val="16"/>
          <w:lang w:eastAsia="en-GB"/>
        </w:rPr>
        <w:t xml:space="preserve"> Institute of Experimental Medicine, Istanbul University, Istanbul, Turkey</w:t>
      </w:r>
    </w:p>
    <w:p w:rsidR="0084500C" w:rsidRPr="00733092" w:rsidRDefault="0084500C" w:rsidP="0084500C">
      <w:pPr>
        <w:spacing w:after="0" w:line="240" w:lineRule="auto"/>
        <w:rPr>
          <w:rFonts w:ascii="Tahoma" w:eastAsia="Times New Roman" w:hAnsi="Tahoma" w:cs="Tahoma"/>
          <w:color w:val="000000"/>
          <w:sz w:val="20"/>
          <w:szCs w:val="20"/>
          <w:lang w:eastAsia="en-GB"/>
        </w:rPr>
      </w:pPr>
    </w:p>
    <w:p w:rsidR="0084500C" w:rsidRPr="00733092" w:rsidRDefault="0084500C" w:rsidP="0084500C">
      <w:pPr>
        <w:spacing w:after="200" w:line="276" w:lineRule="auto"/>
        <w:jc w:val="both"/>
        <w:rPr>
          <w:rFonts w:eastAsiaTheme="minorEastAsia"/>
          <w:color w:val="000000" w:themeColor="text1"/>
          <w:sz w:val="18"/>
          <w:szCs w:val="18"/>
        </w:rPr>
      </w:pPr>
    </w:p>
    <w:p w:rsidR="0084500C" w:rsidRPr="00733092" w:rsidRDefault="0084500C" w:rsidP="0084500C">
      <w:pPr>
        <w:spacing w:after="0" w:line="360" w:lineRule="auto"/>
        <w:jc w:val="both"/>
        <w:rPr>
          <w:rFonts w:eastAsiaTheme="minorEastAsia" w:cstheme="minorHAnsi"/>
          <w:b/>
          <w:sz w:val="16"/>
          <w:szCs w:val="16"/>
        </w:rPr>
      </w:pPr>
      <w:r w:rsidRPr="00733092">
        <w:rPr>
          <w:rFonts w:eastAsiaTheme="minorEastAsia" w:cstheme="minorHAnsi"/>
          <w:b/>
          <w:sz w:val="16"/>
          <w:szCs w:val="16"/>
        </w:rPr>
        <w:t xml:space="preserve">Corresponding author: </w:t>
      </w:r>
    </w:p>
    <w:p w:rsidR="0084500C" w:rsidRPr="00733092" w:rsidRDefault="0084500C" w:rsidP="0084500C">
      <w:pPr>
        <w:tabs>
          <w:tab w:val="left" w:pos="900"/>
        </w:tabs>
        <w:spacing w:after="0" w:line="276" w:lineRule="auto"/>
        <w:rPr>
          <w:rFonts w:eastAsiaTheme="minorEastAsia"/>
          <w:sz w:val="16"/>
          <w:szCs w:val="16"/>
        </w:rPr>
      </w:pPr>
      <w:r w:rsidRPr="00733092">
        <w:rPr>
          <w:rFonts w:eastAsiaTheme="minorEastAsia"/>
          <w:sz w:val="16"/>
          <w:szCs w:val="16"/>
        </w:rPr>
        <w:t>Celeste Sassi, MD, PhD</w:t>
      </w:r>
    </w:p>
    <w:p w:rsidR="0084500C" w:rsidRPr="00733092" w:rsidRDefault="0084500C" w:rsidP="0084500C">
      <w:pPr>
        <w:spacing w:after="0" w:line="240" w:lineRule="auto"/>
        <w:rPr>
          <w:rFonts w:eastAsia="Times New Roman" w:cs="Tahoma"/>
          <w:color w:val="000000"/>
          <w:sz w:val="16"/>
          <w:szCs w:val="16"/>
          <w:lang w:val="de-DE" w:eastAsia="de-DE"/>
        </w:rPr>
      </w:pPr>
      <w:r w:rsidRPr="00733092">
        <w:rPr>
          <w:rFonts w:eastAsia="Times New Roman" w:cs="Tahoma"/>
          <w:color w:val="000000"/>
          <w:sz w:val="16"/>
          <w:szCs w:val="16"/>
          <w:lang w:val="de-DE" w:eastAsia="de-DE"/>
        </w:rPr>
        <w:t>Klinik und Poliklinik für Neurologie , Abteilung für Experimentelle Neurologie, Charité – Universitätsmedizin Berlin</w:t>
      </w:r>
    </w:p>
    <w:p w:rsidR="0084500C" w:rsidRPr="00733092" w:rsidRDefault="0084500C" w:rsidP="0084500C">
      <w:pPr>
        <w:spacing w:after="0" w:line="240" w:lineRule="auto"/>
        <w:rPr>
          <w:rFonts w:eastAsia="Times New Roman" w:cs="Tahoma"/>
          <w:color w:val="000000"/>
          <w:sz w:val="16"/>
          <w:szCs w:val="16"/>
          <w:lang w:val="de-DE" w:eastAsia="de-DE"/>
        </w:rPr>
      </w:pPr>
      <w:r w:rsidRPr="00733092">
        <w:rPr>
          <w:rFonts w:eastAsia="Times New Roman" w:cs="Tahoma"/>
          <w:color w:val="000000"/>
          <w:sz w:val="16"/>
          <w:szCs w:val="16"/>
          <w:lang w:val="de-DE" w:eastAsia="de-DE"/>
        </w:rPr>
        <w:t>Charitéplatz 1, D-10117 Berlin</w:t>
      </w:r>
    </w:p>
    <w:p w:rsidR="0084500C" w:rsidRPr="00733092" w:rsidRDefault="0084500C" w:rsidP="0084500C">
      <w:pPr>
        <w:tabs>
          <w:tab w:val="left" w:pos="900"/>
        </w:tabs>
        <w:spacing w:after="0" w:line="276" w:lineRule="auto"/>
        <w:rPr>
          <w:rFonts w:eastAsiaTheme="minorEastAsia"/>
          <w:sz w:val="16"/>
          <w:szCs w:val="16"/>
          <w:lang w:val="de-DE"/>
        </w:rPr>
      </w:pPr>
      <w:r w:rsidRPr="00733092">
        <w:rPr>
          <w:rFonts w:eastAsiaTheme="minorEastAsia"/>
          <w:sz w:val="16"/>
          <w:szCs w:val="16"/>
          <w:lang w:val="de-DE"/>
        </w:rPr>
        <w:t xml:space="preserve">Tel.:  030 – 450 560 149, Fax:  030 – 450 560 915, </w:t>
      </w:r>
      <w:r>
        <w:rPr>
          <w:rFonts w:eastAsia="Times New Roman" w:cstheme="minorHAnsi"/>
          <w:color w:val="0563C1" w:themeColor="hyperlink"/>
          <w:sz w:val="16"/>
          <w:szCs w:val="16"/>
          <w:u w:val="single"/>
          <w:lang w:val="de-DE" w:eastAsia="en-GB"/>
        </w:rPr>
        <w:fldChar w:fldCharType="begin"/>
      </w:r>
      <w:r>
        <w:rPr>
          <w:rFonts w:eastAsia="Times New Roman" w:cstheme="minorHAnsi"/>
          <w:color w:val="0563C1" w:themeColor="hyperlink"/>
          <w:sz w:val="16"/>
          <w:szCs w:val="16"/>
          <w:u w:val="single"/>
          <w:lang w:val="de-DE" w:eastAsia="en-GB"/>
        </w:rPr>
        <w:instrText xml:space="preserve"> HYPERLINK "mailto:celeste.sassi.10@alumni.ucl.ac.uk" </w:instrText>
      </w:r>
      <w:r>
        <w:rPr>
          <w:rFonts w:eastAsia="Times New Roman" w:cstheme="minorHAnsi"/>
          <w:color w:val="0563C1" w:themeColor="hyperlink"/>
          <w:sz w:val="16"/>
          <w:szCs w:val="16"/>
          <w:u w:val="single"/>
          <w:lang w:val="de-DE" w:eastAsia="en-GB"/>
        </w:rPr>
        <w:fldChar w:fldCharType="separate"/>
      </w:r>
      <w:r w:rsidRPr="00733092">
        <w:rPr>
          <w:rFonts w:eastAsia="Times New Roman" w:cstheme="minorHAnsi"/>
          <w:color w:val="0563C1" w:themeColor="hyperlink"/>
          <w:sz w:val="16"/>
          <w:szCs w:val="16"/>
          <w:u w:val="single"/>
          <w:lang w:val="de-DE" w:eastAsia="en-GB"/>
        </w:rPr>
        <w:t>celeste.sassi.10@alumni.ucl.ac.uk</w:t>
      </w:r>
      <w:r>
        <w:rPr>
          <w:rFonts w:eastAsia="Times New Roman" w:cstheme="minorHAnsi"/>
          <w:color w:val="0563C1" w:themeColor="hyperlink"/>
          <w:sz w:val="16"/>
          <w:szCs w:val="16"/>
          <w:u w:val="single"/>
          <w:lang w:val="de-DE" w:eastAsia="en-GB"/>
        </w:rPr>
        <w:fldChar w:fldCharType="end"/>
      </w:r>
    </w:p>
    <w:p w:rsidR="0084500C" w:rsidRPr="00733092" w:rsidRDefault="0084500C" w:rsidP="0084500C">
      <w:pPr>
        <w:spacing w:after="0" w:line="240" w:lineRule="auto"/>
        <w:rPr>
          <w:rFonts w:eastAsiaTheme="minorEastAsia"/>
          <w:b/>
          <w:color w:val="08CAB8"/>
          <w:sz w:val="32"/>
          <w:szCs w:val="32"/>
          <w:lang w:val="de-DE"/>
        </w:rPr>
      </w:pPr>
    </w:p>
    <w:p w:rsidR="0084500C" w:rsidRDefault="0084500C" w:rsidP="00F424D4">
      <w:pPr>
        <w:spacing w:line="360" w:lineRule="auto"/>
        <w:jc w:val="both"/>
        <w:rPr>
          <w:rFonts w:eastAsiaTheme="minorEastAsia"/>
          <w:b/>
          <w:color w:val="08CAB8"/>
          <w:sz w:val="32"/>
          <w:szCs w:val="32"/>
          <w:lang w:val="de-DE"/>
        </w:rPr>
      </w:pPr>
    </w:p>
    <w:p w:rsidR="00F424D4" w:rsidRPr="00E11321" w:rsidRDefault="00F424D4" w:rsidP="00F424D4">
      <w:pPr>
        <w:spacing w:line="360" w:lineRule="auto"/>
        <w:jc w:val="both"/>
        <w:rPr>
          <w:b/>
          <w:color w:val="07A99A"/>
          <w:sz w:val="32"/>
          <w:szCs w:val="32"/>
        </w:rPr>
      </w:pPr>
      <w:r w:rsidRPr="00E11321">
        <w:rPr>
          <w:b/>
          <w:color w:val="07A99A"/>
          <w:sz w:val="32"/>
          <w:szCs w:val="32"/>
        </w:rPr>
        <w:lastRenderedPageBreak/>
        <w:t>SUPPLEMENTARY MATERIALS AND METHODS</w:t>
      </w:r>
    </w:p>
    <w:p w:rsidR="00497390" w:rsidRPr="00E11321" w:rsidRDefault="00497390" w:rsidP="00497390">
      <w:pPr>
        <w:spacing w:line="360" w:lineRule="auto"/>
        <w:jc w:val="both"/>
        <w:rPr>
          <w:b/>
          <w:color w:val="000000" w:themeColor="text1"/>
        </w:rPr>
      </w:pPr>
      <w:r w:rsidRPr="00E11321">
        <w:rPr>
          <w:b/>
          <w:color w:val="000000" w:themeColor="text1"/>
        </w:rPr>
        <w:t>BCCAS</w:t>
      </w:r>
    </w:p>
    <w:p w:rsidR="00497390" w:rsidRDefault="00497390" w:rsidP="00497390">
      <w:pPr>
        <w:spacing w:line="360" w:lineRule="auto"/>
        <w:jc w:val="both"/>
      </w:pPr>
      <w:proofErr w:type="spellStart"/>
      <w:r w:rsidRPr="0045754E">
        <w:t>Anaesthesia</w:t>
      </w:r>
      <w:proofErr w:type="spellEnd"/>
      <w:r w:rsidRPr="0045754E">
        <w:t xml:space="preserve"> was achieved using isoflurane in a 70:30 nitrous </w:t>
      </w:r>
      <w:proofErr w:type="spellStart"/>
      <w:r w:rsidRPr="0045754E">
        <w:t>oxide</w:t>
      </w:r>
      <w:proofErr w:type="gramStart"/>
      <w:r w:rsidRPr="0045754E">
        <w:t>:oxygen</w:t>
      </w:r>
      <w:proofErr w:type="spellEnd"/>
      <w:proofErr w:type="gramEnd"/>
      <w:r w:rsidRPr="0045754E">
        <w:t xml:space="preserve"> mixture and core body temperature was maintained at 37 ± 0.2 °C with an automated rectal probe and heat blanket. A midline incision was made in the neck, and a carotid artery was carefully exposed. </w:t>
      </w:r>
      <w:proofErr w:type="spellStart"/>
      <w:r w:rsidRPr="0045754E">
        <w:t>Hypoperfusion</w:t>
      </w:r>
      <w:proofErr w:type="spellEnd"/>
      <w:r w:rsidRPr="0045754E">
        <w:t xml:space="preserve"> was induced by winding a custom ordered, non-magnetic, surgical grade </w:t>
      </w:r>
      <w:proofErr w:type="spellStart"/>
      <w:r w:rsidRPr="0045754E">
        <w:t>microcoil</w:t>
      </w:r>
      <w:proofErr w:type="spellEnd"/>
      <w:r w:rsidRPr="0045754E">
        <w:t xml:space="preserve"> (160 µm inner diameter, Shannon Coiled Springs </w:t>
      </w:r>
      <w:proofErr w:type="spellStart"/>
      <w:r w:rsidRPr="0045754E">
        <w:t>Microcoil</w:t>
      </w:r>
      <w:proofErr w:type="spellEnd"/>
      <w:r w:rsidRPr="0045754E">
        <w:t xml:space="preserve">, Limerick, Ireland) around one of the carotid arteries. The sham procedure was performed with a larger diameter </w:t>
      </w:r>
      <w:proofErr w:type="spellStart"/>
      <w:r w:rsidRPr="0045754E">
        <w:t>microcoil</w:t>
      </w:r>
      <w:proofErr w:type="spellEnd"/>
      <w:r w:rsidRPr="0045754E">
        <w:t xml:space="preserve"> (500 µm) that did not constrict the vessel. The muscle and glands were guided back into place and local </w:t>
      </w:r>
      <w:proofErr w:type="spellStart"/>
      <w:r w:rsidRPr="0045754E">
        <w:t>anaesthetic</w:t>
      </w:r>
      <w:proofErr w:type="spellEnd"/>
      <w:r w:rsidRPr="0045754E">
        <w:t xml:space="preserve"> was applied to the sutured wound prior to recovery. Twenty- four hours later, the same procedure was repeated on the other carotid artery. This delay represents an important refinement that does not result in higher mortality when using the smaller sized </w:t>
      </w:r>
      <w:proofErr w:type="spellStart"/>
      <w:r w:rsidRPr="0045754E">
        <w:t>microcoils</w:t>
      </w:r>
      <w:proofErr w:type="spellEnd"/>
      <w:r w:rsidRPr="0045754E">
        <w:t xml:space="preserve">. Regular diet was placed on the floor of the cage to assist with feeding, and animals were provided with 6 mg/mL of Paracetamol in the drinking water to assist with post-operative pain (one day prior to, and up to three days post-surgery). </w:t>
      </w:r>
    </w:p>
    <w:p w:rsidR="00497390" w:rsidRPr="00E11321" w:rsidRDefault="00497390" w:rsidP="00497390">
      <w:pPr>
        <w:spacing w:line="360" w:lineRule="auto"/>
        <w:jc w:val="both"/>
        <w:rPr>
          <w:b/>
          <w:color w:val="000000" w:themeColor="text1"/>
        </w:rPr>
      </w:pPr>
      <w:r w:rsidRPr="00E11321">
        <w:rPr>
          <w:b/>
          <w:color w:val="000000" w:themeColor="text1"/>
        </w:rPr>
        <w:t>MCAO</w:t>
      </w:r>
    </w:p>
    <w:p w:rsidR="00497390" w:rsidRDefault="00497390" w:rsidP="00497390">
      <w:pPr>
        <w:spacing w:line="360" w:lineRule="auto"/>
        <w:jc w:val="both"/>
      </w:pPr>
      <w:r w:rsidRPr="004405B8">
        <w:t xml:space="preserve">In the MCAO model, </w:t>
      </w:r>
      <w:proofErr w:type="spellStart"/>
      <w:r w:rsidRPr="004405B8">
        <w:t>hypoperfusion</w:t>
      </w:r>
      <w:proofErr w:type="spellEnd"/>
      <w:r w:rsidRPr="004405B8">
        <w:t xml:space="preserve"> was induced as described previously (</w:t>
      </w:r>
      <w:r w:rsidRPr="00851824">
        <w:t>http://precedings.nature.com/documents/3492/version/2</w:t>
      </w:r>
      <w:r w:rsidRPr="004405B8">
        <w:t xml:space="preserve">). Briefly, after closing the left common carotid artery (CCA) and left external carotid artery (ECA) a microvascular clip was put on the left internal carotid artery (ICA) and a small incision was made on the CCA. A nylon filament (7019PK5Re, </w:t>
      </w:r>
      <w:proofErr w:type="spellStart"/>
      <w:r w:rsidRPr="004405B8">
        <w:t>Doccol</w:t>
      </w:r>
      <w:proofErr w:type="spellEnd"/>
      <w:r w:rsidRPr="004405B8">
        <w:t xml:space="preserve"> Corp, Redlands, California, USA) was introduced over CCA and ICA to occlude the origin of middle cerebral artery (MCA) and fixed with a suture around the ICA. After 60 minutes, the filament was removed causing immediate reperfusion. Afterwards the suture on the ICA was closed. This type of MCAO surgery results in permanent occlusion of left CCA, ECA and ICA. </w:t>
      </w:r>
      <w:r w:rsidRPr="0045754E">
        <w:t xml:space="preserve"> </w:t>
      </w:r>
    </w:p>
    <w:p w:rsidR="00497390" w:rsidRDefault="00497390" w:rsidP="00497390">
      <w:pPr>
        <w:spacing w:line="360" w:lineRule="auto"/>
        <w:jc w:val="both"/>
        <w:rPr>
          <w:b/>
        </w:rPr>
      </w:pPr>
    </w:p>
    <w:p w:rsidR="00497390" w:rsidRDefault="00497390" w:rsidP="00497390">
      <w:pPr>
        <w:spacing w:line="360" w:lineRule="auto"/>
        <w:jc w:val="both"/>
        <w:rPr>
          <w:b/>
        </w:rPr>
      </w:pPr>
    </w:p>
    <w:p w:rsidR="00124C38" w:rsidRDefault="00124C38" w:rsidP="00497390">
      <w:pPr>
        <w:spacing w:line="360" w:lineRule="auto"/>
        <w:jc w:val="both"/>
        <w:rPr>
          <w:b/>
        </w:rPr>
      </w:pPr>
    </w:p>
    <w:p w:rsidR="00124C38" w:rsidRPr="00E11321" w:rsidRDefault="00124C38" w:rsidP="00497390">
      <w:pPr>
        <w:spacing w:line="360" w:lineRule="auto"/>
        <w:jc w:val="both"/>
        <w:rPr>
          <w:b/>
          <w:color w:val="000000" w:themeColor="text1"/>
        </w:rPr>
      </w:pPr>
    </w:p>
    <w:p w:rsidR="00EB6387" w:rsidRDefault="00EB6387" w:rsidP="00497390">
      <w:pPr>
        <w:spacing w:line="360" w:lineRule="auto"/>
        <w:jc w:val="both"/>
        <w:rPr>
          <w:b/>
          <w:color w:val="000000" w:themeColor="text1"/>
        </w:rPr>
      </w:pPr>
    </w:p>
    <w:p w:rsidR="00EB6387" w:rsidRDefault="00EB6387" w:rsidP="00497390">
      <w:pPr>
        <w:spacing w:line="360" w:lineRule="auto"/>
        <w:jc w:val="both"/>
        <w:rPr>
          <w:b/>
          <w:color w:val="000000" w:themeColor="text1"/>
        </w:rPr>
      </w:pPr>
    </w:p>
    <w:p w:rsidR="00EB6387" w:rsidRDefault="00EB6387" w:rsidP="00497390">
      <w:pPr>
        <w:spacing w:line="360" w:lineRule="auto"/>
        <w:jc w:val="both"/>
        <w:rPr>
          <w:b/>
          <w:color w:val="000000" w:themeColor="text1"/>
        </w:rPr>
      </w:pPr>
    </w:p>
    <w:p w:rsidR="00497390" w:rsidRPr="00E11321" w:rsidRDefault="00497390" w:rsidP="00497390">
      <w:pPr>
        <w:spacing w:line="360" w:lineRule="auto"/>
        <w:jc w:val="both"/>
        <w:rPr>
          <w:b/>
          <w:color w:val="000000" w:themeColor="text1"/>
        </w:rPr>
      </w:pPr>
      <w:r w:rsidRPr="00E11321">
        <w:rPr>
          <w:b/>
          <w:color w:val="000000" w:themeColor="text1"/>
        </w:rPr>
        <w:lastRenderedPageBreak/>
        <w:t xml:space="preserve">MRI measurements </w:t>
      </w:r>
    </w:p>
    <w:p w:rsidR="00497390" w:rsidRPr="0045754E" w:rsidRDefault="00497390" w:rsidP="00497390">
      <w:pPr>
        <w:spacing w:line="360" w:lineRule="auto"/>
        <w:jc w:val="both"/>
      </w:pPr>
      <w:proofErr w:type="spellStart"/>
      <w:r w:rsidRPr="0045754E">
        <w:t>Anaesthesia</w:t>
      </w:r>
      <w:proofErr w:type="spellEnd"/>
      <w:r w:rsidRPr="0045754E">
        <w:t xml:space="preserve"> was again achieved using isoflurane as per above, and body temperature and respiration rate were monitored with MRI compatible equipment (Small Animal Instruments, Inc., Stony Brook, NY).  </w:t>
      </w:r>
    </w:p>
    <w:p w:rsidR="00497390" w:rsidRPr="004405B8" w:rsidRDefault="00497390" w:rsidP="00497390">
      <w:pPr>
        <w:spacing w:line="360" w:lineRule="auto"/>
        <w:jc w:val="both"/>
        <w:rPr>
          <w:i/>
        </w:rPr>
      </w:pPr>
      <w:r w:rsidRPr="004405B8">
        <w:rPr>
          <w:i/>
        </w:rPr>
        <w:t>Cere</w:t>
      </w:r>
      <w:r>
        <w:rPr>
          <w:i/>
        </w:rPr>
        <w:t>bral blood flow and angiographies</w:t>
      </w:r>
    </w:p>
    <w:p w:rsidR="00497390" w:rsidRPr="0045754E" w:rsidRDefault="00497390" w:rsidP="00497390">
      <w:pPr>
        <w:spacing w:line="360" w:lineRule="auto"/>
        <w:jc w:val="both"/>
      </w:pPr>
      <w:r w:rsidRPr="0045754E">
        <w:t xml:space="preserve">CBF and angiography were measured on a 7 T </w:t>
      </w:r>
      <w:proofErr w:type="spellStart"/>
      <w:r w:rsidRPr="0045754E">
        <w:t>Pharmascan</w:t>
      </w:r>
      <w:proofErr w:type="spellEnd"/>
      <w:r w:rsidRPr="0045754E">
        <w:t xml:space="preserve"> using </w:t>
      </w:r>
      <w:proofErr w:type="spellStart"/>
      <w:r w:rsidRPr="0045754E">
        <w:t>Paravision</w:t>
      </w:r>
      <w:proofErr w:type="spellEnd"/>
      <w:r w:rsidRPr="0045754E">
        <w:t xml:space="preserve"> 5.1 software (Bruker </w:t>
      </w:r>
      <w:proofErr w:type="spellStart"/>
      <w:r w:rsidRPr="0045754E">
        <w:t>BioSpin</w:t>
      </w:r>
      <w:proofErr w:type="spellEnd"/>
      <w:r w:rsidRPr="0045754E">
        <w:t xml:space="preserve">, </w:t>
      </w:r>
      <w:proofErr w:type="spellStart"/>
      <w:r w:rsidRPr="0045754E">
        <w:t>Ettlingen</w:t>
      </w:r>
      <w:proofErr w:type="spellEnd"/>
      <w:r w:rsidRPr="0045754E">
        <w:t xml:space="preserve">, Germany). For the CBF measurement, radio frequency transmission was achieved with a 72 mm diameter quadrature resonator actively decoupled to a mouse quadrature surface coil used for reception (Bruker </w:t>
      </w:r>
      <w:proofErr w:type="spellStart"/>
      <w:r w:rsidRPr="0045754E">
        <w:t>BioSpin</w:t>
      </w:r>
      <w:proofErr w:type="spellEnd"/>
      <w:r w:rsidRPr="0045754E">
        <w:t xml:space="preserve">, </w:t>
      </w:r>
      <w:proofErr w:type="spellStart"/>
      <w:r w:rsidRPr="0045754E">
        <w:t>Ettlingen</w:t>
      </w:r>
      <w:proofErr w:type="spellEnd"/>
      <w:r w:rsidRPr="0045754E">
        <w:t>, Germany). A single slice (1 mm) flow-sensitive alternating inversion recovery (FAIR) sequence with a rapid acquisition with relaxation enhancement (RARE) readout was used (repetition time (TR)/recovery time/echo spacing (ΔTE)/effective echo time (</w:t>
      </w:r>
      <w:proofErr w:type="spellStart"/>
      <w:r w:rsidRPr="0045754E">
        <w:t>TEeff</w:t>
      </w:r>
      <w:proofErr w:type="spellEnd"/>
      <w:r w:rsidRPr="0045754E">
        <w:t xml:space="preserve">): 12 000/10 000/7.2/35.9 </w:t>
      </w:r>
      <w:proofErr w:type="spellStart"/>
      <w:r w:rsidRPr="0045754E">
        <w:t>ms</w:t>
      </w:r>
      <w:proofErr w:type="spellEnd"/>
      <w:r w:rsidRPr="0045754E">
        <w:t xml:space="preserve">, respectively, 16 inversion times (35-1500 </w:t>
      </w:r>
      <w:proofErr w:type="spellStart"/>
      <w:r w:rsidRPr="0045754E">
        <w:t>ms</w:t>
      </w:r>
      <w:proofErr w:type="spellEnd"/>
      <w:r w:rsidRPr="0045754E">
        <w:t xml:space="preserve">), RARE factor: 32, inversion slice thickness: 4 mm, 180° hyperbolic secant (sech80) inversion pulse (20 </w:t>
      </w:r>
      <w:proofErr w:type="spellStart"/>
      <w:r w:rsidRPr="0045754E">
        <w:t>ms</w:t>
      </w:r>
      <w:proofErr w:type="spellEnd"/>
      <w:r w:rsidRPr="0045754E">
        <w:t xml:space="preserve">), field of view (FOV): 25.6 mm2, matrix: 128 x 64 enlarged by partial </w:t>
      </w:r>
      <w:proofErr w:type="spellStart"/>
      <w:r w:rsidRPr="0045754E">
        <w:t>fourier</w:t>
      </w:r>
      <w:proofErr w:type="spellEnd"/>
      <w:r w:rsidRPr="0045754E">
        <w:t xml:space="preserve"> transform to 128 x 128, resolution: 200 µm2, 12 min).  For angiography measurements, a 20 mm diameter quadrature volume coil (RAPID Biomedical, </w:t>
      </w:r>
      <w:proofErr w:type="spellStart"/>
      <w:r w:rsidRPr="0045754E">
        <w:t>Rimpar</w:t>
      </w:r>
      <w:proofErr w:type="spellEnd"/>
      <w:r w:rsidRPr="0045754E">
        <w:t xml:space="preserve">, Germany) was used for radio frequency transmission and reception and a 3D time of light (TOF) sequence was used (TR/TE: 15/2.5 </w:t>
      </w:r>
      <w:proofErr w:type="spellStart"/>
      <w:r w:rsidRPr="0045754E">
        <w:t>ms</w:t>
      </w:r>
      <w:proofErr w:type="spellEnd"/>
      <w:r w:rsidRPr="0045754E">
        <w:t xml:space="preserve">, α: 20 ˚, FOV: 25 mm3, resolution: 98 x 130 x 196 µm3 zero-filled to 98 µm3, 6 min). Spectroscopy, T2 weighted and MR spectra were acquired on a 7 T </w:t>
      </w:r>
      <w:proofErr w:type="spellStart"/>
      <w:r w:rsidRPr="0045754E">
        <w:t>Biospec</w:t>
      </w:r>
      <w:proofErr w:type="spellEnd"/>
      <w:r w:rsidRPr="0045754E">
        <w:t xml:space="preserve"> with a cryogenically cooled transmit/receive surface coil and </w:t>
      </w:r>
      <w:proofErr w:type="spellStart"/>
      <w:r w:rsidRPr="0045754E">
        <w:t>Paravision</w:t>
      </w:r>
      <w:proofErr w:type="spellEnd"/>
      <w:r w:rsidRPr="0045754E">
        <w:t xml:space="preserve"> 6.0 software (Bruker </w:t>
      </w:r>
      <w:proofErr w:type="spellStart"/>
      <w:r w:rsidRPr="0045754E">
        <w:t>BioSpin</w:t>
      </w:r>
      <w:proofErr w:type="spellEnd"/>
      <w:r w:rsidRPr="0045754E">
        <w:t xml:space="preserve">, </w:t>
      </w:r>
      <w:proofErr w:type="spellStart"/>
      <w:r w:rsidRPr="0045754E">
        <w:t>Ettlingen</w:t>
      </w:r>
      <w:proofErr w:type="spellEnd"/>
      <w:r w:rsidRPr="0045754E">
        <w:t xml:space="preserve">, Germany).  </w:t>
      </w:r>
    </w:p>
    <w:p w:rsidR="00497390" w:rsidRDefault="00497390" w:rsidP="00497390">
      <w:pPr>
        <w:spacing w:line="360" w:lineRule="auto"/>
        <w:jc w:val="both"/>
      </w:pPr>
      <w:r w:rsidRPr="0045754E">
        <w:t xml:space="preserve"> A 2D RARE T2 sequence was used for anatomical images (TR/ΔTE/</w:t>
      </w:r>
      <w:proofErr w:type="spellStart"/>
      <w:r w:rsidRPr="0045754E">
        <w:t>TEeff</w:t>
      </w:r>
      <w:proofErr w:type="spellEnd"/>
      <w:r w:rsidRPr="0045754E">
        <w:t xml:space="preserve">: 3100/11/33 </w:t>
      </w:r>
      <w:proofErr w:type="spellStart"/>
      <w:r w:rsidRPr="0045754E">
        <w:t>ms</w:t>
      </w:r>
      <w:proofErr w:type="spellEnd"/>
      <w:r w:rsidRPr="0045754E">
        <w:t>, RARE factor: 8, 29 consecutive slices, slice thickness 0.45 mm, FOV: (16.2 mm</w:t>
      </w:r>
      <w:proofErr w:type="gramStart"/>
      <w:r w:rsidRPr="0045754E">
        <w:t>)2</w:t>
      </w:r>
      <w:proofErr w:type="gramEnd"/>
      <w:r w:rsidRPr="0045754E">
        <w:t xml:space="preserve">, resolution: 100 µm2, NA: 2, 2 min 4 s). A stimulated echo acquisition mode (STEAM) sequence was used for spectroscopy following local shimming (MAPSHIM) across a cubic 8 mm3 voxel placed in the striatum (TR/TE/mixing time: 2500 </w:t>
      </w:r>
      <w:proofErr w:type="spellStart"/>
      <w:r w:rsidRPr="0045754E">
        <w:t>ms</w:t>
      </w:r>
      <w:proofErr w:type="spellEnd"/>
      <w:r w:rsidRPr="0045754E">
        <w:t xml:space="preserve">/3 </w:t>
      </w:r>
      <w:proofErr w:type="spellStart"/>
      <w:r w:rsidRPr="0045754E">
        <w:t>ms</w:t>
      </w:r>
      <w:proofErr w:type="spellEnd"/>
      <w:r w:rsidRPr="0045754E">
        <w:t xml:space="preserve">/10 </w:t>
      </w:r>
      <w:proofErr w:type="spellStart"/>
      <w:r w:rsidRPr="0045754E">
        <w:t>ms</w:t>
      </w:r>
      <w:proofErr w:type="spellEnd"/>
      <w:r w:rsidRPr="0045754E">
        <w:t>, number of averages (NA): 256, VAPOR water suppression, 10 min 40 s).</w:t>
      </w:r>
    </w:p>
    <w:p w:rsidR="00497390" w:rsidRDefault="00497390" w:rsidP="00497390">
      <w:pPr>
        <w:spacing w:line="360" w:lineRule="auto"/>
        <w:jc w:val="both"/>
      </w:pPr>
    </w:p>
    <w:p w:rsidR="00497390" w:rsidRDefault="00497390" w:rsidP="00497390">
      <w:pPr>
        <w:spacing w:line="276" w:lineRule="auto"/>
        <w:jc w:val="both"/>
        <w:rPr>
          <w:b/>
          <w:sz w:val="24"/>
          <w:szCs w:val="24"/>
        </w:rPr>
      </w:pPr>
      <w:r>
        <w:rPr>
          <w:b/>
          <w:sz w:val="24"/>
          <w:szCs w:val="24"/>
        </w:rPr>
        <w:t xml:space="preserve">MRI Data Analysis </w:t>
      </w:r>
    </w:p>
    <w:p w:rsidR="00497390" w:rsidRDefault="00497390" w:rsidP="00497390">
      <w:pPr>
        <w:spacing w:line="360" w:lineRule="auto"/>
        <w:jc w:val="both"/>
      </w:pPr>
      <w:r w:rsidRPr="00023C64">
        <w:t xml:space="preserve">CBF maps were calculated using the Perfusion ASL macro in </w:t>
      </w:r>
      <w:proofErr w:type="spellStart"/>
      <w:r w:rsidRPr="00023C64">
        <w:t>Paravision</w:t>
      </w:r>
      <w:proofErr w:type="spellEnd"/>
      <w:r w:rsidRPr="00023C64">
        <w:t xml:space="preserve"> 5.1 software via the T1 method using a blood T1 value of 2100 </w:t>
      </w:r>
      <w:proofErr w:type="spellStart"/>
      <w:r w:rsidRPr="00023C64">
        <w:t>ms</w:t>
      </w:r>
      <w:proofErr w:type="spellEnd"/>
      <w:r w:rsidRPr="00023C64">
        <w:t xml:space="preserve"> and a brain blood partition coefficient of 0.89 mL/g   </w:t>
      </w:r>
      <w:r w:rsidRPr="00023C64">
        <w:fldChar w:fldCharType="begin"/>
      </w:r>
      <w:r w:rsidR="00BE137A">
        <w:instrText xml:space="preserve"> ADDIN ZOTERO_ITEM CSL_CITATION {"citationID":"a142npha171","properties":{"formattedCitation":"\\super 1\\nosupersub{}","plainCitation":"1","noteIndex":0},"citationItems":[{"id":796,"uris":["http://zotero.org/users/local/3SLcMLWb/items/PWCWDVLG"],"uri":["http://zotero.org/users/local/3SLcMLWb/items/PWCWDVLG"],"itemData":{"id":796,"type":"article-journal","abstract":"Cerebral blood flow (CBF) quantification is a valuable tool in stroke research. Mice are of special interest because of the potential of genetic engineering. Magnetic resonance imaging (MRI) provides repetitive, noninvasive CBF quantification. Many MRI techniques require the knowledge of the brain-blood partition coefficient (BBPC) for water. Adopting an MRI protocol described by Roberts et al (1996) in humans, we determined the BBPC for water in 129S6/SvEv mice from proton density measurements of brain and blood, calibrated with deuterium oxide/water phantoms. The average BBPC for water was 0.89 ± 0.03 mL/g, with little regional variation within the mouse brain.","container-title":"Journal of Cerebral Blood Flow and Metabolism: Official Journal of the International Society of Cerebral Blood Flow and Metabolism","DOI":"10.1038/jcbfm.2010.160","ISSN":"1559-7016","issue":"11","journalAbbreviation":"J. Cereb. Blood Flow Metab.","language":"eng","note":"PMID: 20842161\nPMCID: PMC3023928","page":"1821-1824","source":"PubMed","title":"Determination of the brain-blood partition coefficient for water in mice using MRI","volume":"30","author":[{"family":"Leithner","given":"Christoph"},{"family":"Müller","given":"Susanne"},{"family":"Füchtemeier","given":"Martina"},{"family":"Lindauer","given":"Ute"},{"family":"Dirnagl","given":"Ulrich"},{"family":"Royl","given":"Georg"}],"issued":{"date-parts":[["2010",11]]}}}],"schema":"https://github.com/citation-style-language/schema/raw/master/csl-citation.json"} </w:instrText>
      </w:r>
      <w:r w:rsidRPr="00023C64">
        <w:fldChar w:fldCharType="separate"/>
      </w:r>
      <w:r w:rsidR="00BE137A" w:rsidRPr="00BE137A">
        <w:rPr>
          <w:rFonts w:ascii="Calibri" w:hAnsi="Calibri" w:cs="Calibri"/>
          <w:szCs w:val="24"/>
          <w:vertAlign w:val="superscript"/>
        </w:rPr>
        <w:t>1</w:t>
      </w:r>
      <w:r w:rsidRPr="00023C64">
        <w:fldChar w:fldCharType="end"/>
      </w:r>
      <w:r w:rsidR="008A523D">
        <w:rPr>
          <w:vertAlign w:val="superscript"/>
        </w:rPr>
        <w:t xml:space="preserve">, </w:t>
      </w:r>
      <w:r w:rsidRPr="00023C64">
        <w:fldChar w:fldCharType="begin"/>
      </w:r>
      <w:r w:rsidR="00BE137A">
        <w:instrText xml:space="preserve"> ADDIN ZOTERO_ITEM CSL_CITATION {"citationID":"a1jikfaq6vv","properties":{"formattedCitation":"\\super 2\\nosupersub{}","plainCitation":"2","noteIndex":0},"citationItems":[{"id":799,"uris":["http://zotero.org/users/local/3SLcMLWb/items/A8X4WPSH"],"uri":["http://zotero.org/users/local/3SLcMLWb/items/A8X4WPSH"],"itemData":{"id":799,"type":"article-journal","abstract":"In this study, a circulation system was used to measure T(1) values of bovine blood under physiological conditions at field strengths of 4.7, 7 and 9.4 T. Results show that T(1) increases linearly with magnetic field B(0) and can be described with the equation T(1)=129 ms/T B(0)+1167 ms for magnetic field strengths between 1.5 and 9.4 T.","container-title":"Magnetic Resonance Imaging","DOI":"10.1016/j.mri.2006.10.020","ISSN":"0730-725X","issue":"5","journalAbbreviation":"Magn Reson Imaging","language":"eng","note":"PMID: 17540286","page":"733-735","source":"PubMed","title":"Determination of blood longitudinal relaxation time (T1) at high magnetic field strengths","volume":"25","author":[{"family":"Dobre","given":"Mircea C."},{"family":"Uğurbil","given":"Kâmil"},{"family":"Marjanska","given":"Malgorzata"}],"issued":{"date-parts":[["2007",6]]}}}],"schema":"https://github.com/citation-style-language/schema/raw/master/csl-citation.json"} </w:instrText>
      </w:r>
      <w:r w:rsidRPr="00023C64">
        <w:fldChar w:fldCharType="separate"/>
      </w:r>
      <w:r w:rsidR="00BE137A" w:rsidRPr="00BE137A">
        <w:rPr>
          <w:rFonts w:ascii="Calibri" w:hAnsi="Calibri" w:cs="Calibri"/>
          <w:szCs w:val="24"/>
          <w:vertAlign w:val="superscript"/>
        </w:rPr>
        <w:t>2</w:t>
      </w:r>
      <w:r w:rsidRPr="00023C64">
        <w:fldChar w:fldCharType="end"/>
      </w:r>
      <w:r w:rsidRPr="00023C64">
        <w:t xml:space="preserve">. Analysis of the CBF values were done using a custom written </w:t>
      </w:r>
      <w:proofErr w:type="spellStart"/>
      <w:r w:rsidRPr="00023C64">
        <w:t>Matlab</w:t>
      </w:r>
      <w:proofErr w:type="spellEnd"/>
      <w:r w:rsidRPr="00023C64">
        <w:t xml:space="preserve"> toolbox for nonlinear atlas registration </w:t>
      </w:r>
      <w:r w:rsidR="00BE137A">
        <w:fldChar w:fldCharType="begin"/>
      </w:r>
      <w:r w:rsidR="00BE137A">
        <w:instrText xml:space="preserve"> ADDIN ZOTERO_ITEM CSL_CITATION {"citationID":"pFuLxTnW","properties":{"formattedCitation":"\\super 3\\nosupersub{}","plainCitation":"3","noteIndex":0},"citationItems":[{"id":801,"uris":["http://zotero.org/users/local/3SLcMLWb/items/DR497PXB"],"uri":["http://zotero.org/users/local/3SLcMLWb/items/DR497PXB"],"itemData":{"id":801,"type":"article-journal","abstract":"Lesion volume measurements with magnetic resonance imaging are widely used to assess outcome in rodent models of stroke. In this study, we improved a mathematical framework to correct lesion size for edema which is based on manual delineation of the lesion and hemispheres. Furthermore, a novel MATLAB toolbox to register mouse brain MR images to the Allen brain atlas is presented. Its capability to calculate edema-corrected lesion size was compared to the manual approach. Automated image registration performed equally well in in a mouse middle cerebral artery occlusion model (Pearson r = 0.976, p = 2.265e-11). Information encapsulated in the registration was used to generate maps of edema induced tissue volume changes. These showed discrepancies to simplified tissue models underlying the manual approach. The presented techniques provide biologically more meaningful, voxel-wise biomarkers of vasogenic edema after stroke.","container-title":"Journal of Cerebral Blood Flow and Metabolism: Official Journal of the International Society of Cerebral Blood Flow and Metabolism","DOI":"10.1177/0271678X17726635","ISSN":"1559-7016","journalAbbreviation":"J. Cereb. Blood Flow Metab.","language":"eng","note":"PMID: 28829217","page":"271678X17726635","source":"PubMed","title":"Atlas registration for edema-corrected MRI lesion volume in mouse stroke models","author":[{"family":"Koch","given":"Stefan"},{"family":"Mueller","given":"Susanne"},{"family":"Foddis","given":"Marco"},{"family":"Bienert","given":"Thomas"},{"family":"Elverfeldt","given":"Dominik","non-dropping-particle":"von"},{"family":"Knab","given":"Felix"},{"family":"Farr","given":"Tracy D."},{"family":"Bernard","given":"René"},{"family":"Dopatka","given":"Monika"},{"family":"Rex","given":"André"},{"family":"Dirnagl","given":"Ulrich"},{"family":"Harms","given":"Christoph"},{"family":"Boehm-Sturm","given":"Philipp"}],"issued":{"date-parts":[["2017",1,1]]}}}],"schema":"https://github.com/citation-style-language/schema/raw/master/csl-citation.json"} </w:instrText>
      </w:r>
      <w:r w:rsidR="00BE137A">
        <w:fldChar w:fldCharType="separate"/>
      </w:r>
      <w:r w:rsidR="00BE137A" w:rsidRPr="00BE137A">
        <w:rPr>
          <w:rFonts w:ascii="Calibri" w:hAnsi="Calibri" w:cs="Calibri"/>
          <w:szCs w:val="24"/>
          <w:vertAlign w:val="superscript"/>
        </w:rPr>
        <w:t>3</w:t>
      </w:r>
      <w:r w:rsidR="00BE137A">
        <w:fldChar w:fldCharType="end"/>
      </w:r>
      <w:r w:rsidRPr="00023C64">
        <w:t xml:space="preserve">  was used to select the CBF slice from the volume and </w:t>
      </w:r>
      <w:proofErr w:type="spellStart"/>
      <w:r w:rsidRPr="00023C64">
        <w:t>coregister</w:t>
      </w:r>
      <w:proofErr w:type="spellEnd"/>
      <w:r w:rsidRPr="00023C64">
        <w:t xml:space="preserve"> the CBF  on  the T2 images. Finally T2 and CBF images were transformed into the Allen brain atlas space and the atlas based CBF-values were </w:t>
      </w:r>
      <w:r w:rsidRPr="00023C64">
        <w:lastRenderedPageBreak/>
        <w:t>extracted for all correlating Allen brain atlas structures in both hemispheres.  (Release 2013a (</w:t>
      </w:r>
      <w:proofErr w:type="spellStart"/>
      <w:r w:rsidRPr="00023C64">
        <w:t>MathWorks</w:t>
      </w:r>
      <w:proofErr w:type="spellEnd"/>
      <w:r w:rsidRPr="00023C64">
        <w:t xml:space="preserve">, Natick, MA, USA) script extracted the CBF maps from </w:t>
      </w:r>
      <w:proofErr w:type="spellStart"/>
      <w:r w:rsidRPr="00023C64">
        <w:t>Paravision</w:t>
      </w:r>
      <w:proofErr w:type="spellEnd"/>
      <w:r w:rsidRPr="00023C64">
        <w:t xml:space="preserve">, and used atlas registration and </w:t>
      </w:r>
      <w:proofErr w:type="spellStart"/>
      <w:r w:rsidRPr="00023C64">
        <w:t>coregistration</w:t>
      </w:r>
      <w:proofErr w:type="spellEnd"/>
      <w:r w:rsidRPr="00023C64">
        <w:t xml:space="preserve"> of CBF maps in the atlas space for striatum and prefrontal cortex). The resulting CBF values were expressed in mL/min/100g.</w:t>
      </w:r>
    </w:p>
    <w:p w:rsidR="00B2561B" w:rsidRPr="00023C64" w:rsidRDefault="00B2561B" w:rsidP="00B2561B">
      <w:pPr>
        <w:spacing w:line="360" w:lineRule="auto"/>
        <w:jc w:val="both"/>
        <w:rPr>
          <w:b/>
        </w:rPr>
      </w:pPr>
      <w:r w:rsidRPr="00023C64">
        <w:rPr>
          <w:b/>
        </w:rPr>
        <w:t xml:space="preserve">Tissue preparation and staining procedures (does not apply to BCCAS mice used for </w:t>
      </w:r>
      <w:proofErr w:type="spellStart"/>
      <w:r w:rsidRPr="00023C64">
        <w:rPr>
          <w:b/>
        </w:rPr>
        <w:t>RNAsequencing</w:t>
      </w:r>
      <w:proofErr w:type="spellEnd"/>
      <w:r w:rsidRPr="00023C64">
        <w:rPr>
          <w:b/>
        </w:rPr>
        <w:t>)</w:t>
      </w:r>
    </w:p>
    <w:p w:rsidR="00B2561B" w:rsidRPr="00023C64" w:rsidRDefault="00B2561B" w:rsidP="00B2561B">
      <w:pPr>
        <w:spacing w:line="360" w:lineRule="auto"/>
        <w:jc w:val="both"/>
      </w:pPr>
      <w:r w:rsidRPr="00023C64">
        <w:t xml:space="preserve">At the conclusion of the experiments, mice were deeply anaesthetized with ketamine and </w:t>
      </w:r>
      <w:proofErr w:type="spellStart"/>
      <w:r w:rsidRPr="00023C64">
        <w:t>xylazine</w:t>
      </w:r>
      <w:proofErr w:type="spellEnd"/>
      <w:r w:rsidRPr="00023C64">
        <w:t xml:space="preserve"> and perfused through the heart with physiological saline followed by 4% paraformaldehyde, </w:t>
      </w:r>
      <w:r w:rsidR="00880365">
        <w:rPr>
          <w:rFonts w:cs="Helvetica"/>
          <w:bCs/>
        </w:rPr>
        <w:t>Alexa Fluor</w:t>
      </w:r>
      <w:r w:rsidRPr="00023C64">
        <w:rPr>
          <w:rFonts w:cs="Helvetica"/>
          <w:bCs/>
        </w:rPr>
        <w:t xml:space="preserve"> 680 conjugate of WGA, </w:t>
      </w:r>
      <w:proofErr w:type="spellStart"/>
      <w:r w:rsidRPr="00023C64">
        <w:rPr>
          <w:rFonts w:cs="Helvetica"/>
          <w:bCs/>
        </w:rPr>
        <w:t>Termofisher</w:t>
      </w:r>
      <w:proofErr w:type="spellEnd"/>
      <w:r w:rsidRPr="00023C64">
        <w:rPr>
          <w:rFonts w:cs="Helvetica"/>
          <w:bCs/>
        </w:rPr>
        <w:t xml:space="preserve">, </w:t>
      </w:r>
      <w:r w:rsidRPr="00023C64">
        <w:t xml:space="preserve">W32465, 3% Gelatin (Sigma-Aldrich, </w:t>
      </w:r>
      <w:hyperlink r:id="rId6" w:history="1">
        <w:r w:rsidRPr="00023C64">
          <w:rPr>
            <w:rStyle w:val="Hyperlink"/>
          </w:rPr>
          <w:t>G1890</w:t>
        </w:r>
      </w:hyperlink>
      <w:r w:rsidRPr="00023C64">
        <w:t xml:space="preserve">), 1% low melting agarose (Sigma Aldrich A4018) and 0.1% Evans Blue (Sigma Aldrich </w:t>
      </w:r>
      <w:r w:rsidRPr="00023C64">
        <w:rPr>
          <w:lang w:val="en"/>
        </w:rPr>
        <w:t>E2129</w:t>
      </w:r>
      <w:r w:rsidRPr="00023C64">
        <w:t>). Whole brains were scanned with Li-</w:t>
      </w:r>
      <w:proofErr w:type="spellStart"/>
      <w:r w:rsidRPr="00023C64">
        <w:t>cor</w:t>
      </w:r>
      <w:proofErr w:type="spellEnd"/>
      <w:r w:rsidRPr="00023C64">
        <w:t xml:space="preserve"> (Li-</w:t>
      </w:r>
      <w:proofErr w:type="spellStart"/>
      <w:r w:rsidRPr="00023C64">
        <w:t>Cor</w:t>
      </w:r>
      <w:proofErr w:type="spellEnd"/>
      <w:r w:rsidRPr="00023C64">
        <w:t xml:space="preserve"> Odyssey-</w:t>
      </w:r>
      <w:proofErr w:type="spellStart"/>
      <w:r w:rsidRPr="00023C64">
        <w:t>CLx</w:t>
      </w:r>
      <w:proofErr w:type="spellEnd"/>
      <w:r w:rsidRPr="00023C64">
        <w:t xml:space="preserve">). Subsequently, the brains were post-fixed for 24 hours in 4% PFA, and </w:t>
      </w:r>
      <w:proofErr w:type="spellStart"/>
      <w:r w:rsidRPr="00023C64">
        <w:t>cryoprotected</w:t>
      </w:r>
      <w:proofErr w:type="spellEnd"/>
      <w:r w:rsidRPr="00023C64">
        <w:t xml:space="preserve"> in 30% sucrose solution before being snap frozen in -40 ºC </w:t>
      </w:r>
      <w:proofErr w:type="spellStart"/>
      <w:r w:rsidRPr="00023C64">
        <w:t>methylbutane</w:t>
      </w:r>
      <w:proofErr w:type="spellEnd"/>
      <w:r w:rsidRPr="00023C64">
        <w:t xml:space="preserve">. Tissue was sectioned to 50 µm and stored in </w:t>
      </w:r>
      <w:proofErr w:type="spellStart"/>
      <w:r w:rsidRPr="00023C64">
        <w:t>cryo</w:t>
      </w:r>
      <w:proofErr w:type="spellEnd"/>
      <w:r w:rsidRPr="00023C64">
        <w:t xml:space="preserve">-protective solution (1 part ethylene glycol, 1 part </w:t>
      </w:r>
      <w:proofErr w:type="spellStart"/>
      <w:r w:rsidRPr="00023C64">
        <w:t>glycerine</w:t>
      </w:r>
      <w:proofErr w:type="spellEnd"/>
      <w:r w:rsidRPr="00023C64">
        <w:t xml:space="preserve"> and 2 parts phosphate buffered saline (PBS)) at -20 ºC.  </w:t>
      </w:r>
    </w:p>
    <w:p w:rsidR="00B2561B" w:rsidRDefault="00B2561B" w:rsidP="00497390">
      <w:pPr>
        <w:spacing w:line="360" w:lineRule="auto"/>
        <w:jc w:val="both"/>
      </w:pPr>
    </w:p>
    <w:p w:rsidR="00E11321" w:rsidRDefault="004B646A" w:rsidP="00497390">
      <w:pPr>
        <w:spacing w:line="360" w:lineRule="auto"/>
        <w:jc w:val="both"/>
        <w:rPr>
          <w:b/>
        </w:rPr>
      </w:pPr>
      <w:r w:rsidRPr="00EB6387">
        <w:rPr>
          <w:b/>
        </w:rPr>
        <w:t>References</w:t>
      </w:r>
    </w:p>
    <w:p w:rsidR="00BE137A" w:rsidRPr="00BE137A" w:rsidRDefault="00BE137A" w:rsidP="00BE137A">
      <w:pPr>
        <w:pStyle w:val="Bibliography"/>
        <w:rPr>
          <w:rFonts w:ascii="Calibri" w:hAnsi="Calibri" w:cs="Calibri"/>
        </w:rPr>
      </w:pPr>
      <w:r>
        <w:rPr>
          <w:b/>
        </w:rPr>
        <w:fldChar w:fldCharType="begin"/>
      </w:r>
      <w:r>
        <w:rPr>
          <w:b/>
        </w:rPr>
        <w:instrText xml:space="preserve"> ADDIN ZOTERO_BIBL {"uncited":[],"omitted":[],"custom":[]} CSL_BIBLIOGRAPHY </w:instrText>
      </w:r>
      <w:r>
        <w:rPr>
          <w:b/>
        </w:rPr>
        <w:fldChar w:fldCharType="separate"/>
      </w:r>
      <w:r w:rsidRPr="00BE137A">
        <w:rPr>
          <w:rFonts w:ascii="Calibri" w:hAnsi="Calibri" w:cs="Calibri"/>
        </w:rPr>
        <w:t>1.</w:t>
      </w:r>
      <w:r w:rsidRPr="00BE137A">
        <w:rPr>
          <w:rFonts w:ascii="Calibri" w:hAnsi="Calibri" w:cs="Calibri"/>
        </w:rPr>
        <w:tab/>
        <w:t xml:space="preserve">Leithner, C. </w:t>
      </w:r>
      <w:r w:rsidRPr="00BE137A">
        <w:rPr>
          <w:rFonts w:ascii="Calibri" w:hAnsi="Calibri" w:cs="Calibri"/>
          <w:i/>
          <w:iCs/>
        </w:rPr>
        <w:t>et al.</w:t>
      </w:r>
      <w:r w:rsidRPr="00BE137A">
        <w:rPr>
          <w:rFonts w:ascii="Calibri" w:hAnsi="Calibri" w:cs="Calibri"/>
        </w:rPr>
        <w:t xml:space="preserve"> Determination of the brain-blood partition coefficient for water in mice using MRI. </w:t>
      </w:r>
      <w:r w:rsidRPr="00BE137A">
        <w:rPr>
          <w:rFonts w:ascii="Calibri" w:hAnsi="Calibri" w:cs="Calibri"/>
          <w:i/>
          <w:iCs/>
        </w:rPr>
        <w:t>J. Cereb. Blood Flow Metab.</w:t>
      </w:r>
      <w:r w:rsidRPr="00BE137A">
        <w:rPr>
          <w:rFonts w:ascii="Calibri" w:hAnsi="Calibri" w:cs="Calibri"/>
        </w:rPr>
        <w:t xml:space="preserve"> </w:t>
      </w:r>
      <w:r w:rsidRPr="00BE137A">
        <w:rPr>
          <w:rFonts w:ascii="Calibri" w:hAnsi="Calibri" w:cs="Calibri"/>
          <w:b/>
          <w:bCs/>
        </w:rPr>
        <w:t>30</w:t>
      </w:r>
      <w:r w:rsidRPr="00BE137A">
        <w:rPr>
          <w:rFonts w:ascii="Calibri" w:hAnsi="Calibri" w:cs="Calibri"/>
        </w:rPr>
        <w:t>, 1821–1824 (2010).</w:t>
      </w:r>
    </w:p>
    <w:p w:rsidR="00BE137A" w:rsidRPr="00BE137A" w:rsidRDefault="00BE137A" w:rsidP="00BE137A">
      <w:pPr>
        <w:pStyle w:val="Bibliography"/>
        <w:rPr>
          <w:rFonts w:ascii="Calibri" w:hAnsi="Calibri" w:cs="Calibri"/>
        </w:rPr>
      </w:pPr>
      <w:r w:rsidRPr="00BE137A">
        <w:rPr>
          <w:rFonts w:ascii="Calibri" w:hAnsi="Calibri" w:cs="Calibri"/>
        </w:rPr>
        <w:t>2.</w:t>
      </w:r>
      <w:r w:rsidRPr="00BE137A">
        <w:rPr>
          <w:rFonts w:ascii="Calibri" w:hAnsi="Calibri" w:cs="Calibri"/>
        </w:rPr>
        <w:tab/>
        <w:t xml:space="preserve">Dobre, M. C., Uğurbil, K. &amp; Marjanska, M. Determination of blood longitudinal relaxation time (T1) at high magnetic field strengths. </w:t>
      </w:r>
      <w:r w:rsidRPr="00BE137A">
        <w:rPr>
          <w:rFonts w:ascii="Calibri" w:hAnsi="Calibri" w:cs="Calibri"/>
          <w:i/>
          <w:iCs/>
        </w:rPr>
        <w:t>Magn Reson Imaging</w:t>
      </w:r>
      <w:r w:rsidRPr="00BE137A">
        <w:rPr>
          <w:rFonts w:ascii="Calibri" w:hAnsi="Calibri" w:cs="Calibri"/>
        </w:rPr>
        <w:t xml:space="preserve"> </w:t>
      </w:r>
      <w:r w:rsidRPr="00BE137A">
        <w:rPr>
          <w:rFonts w:ascii="Calibri" w:hAnsi="Calibri" w:cs="Calibri"/>
          <w:b/>
          <w:bCs/>
        </w:rPr>
        <w:t>25</w:t>
      </w:r>
      <w:r w:rsidRPr="00BE137A">
        <w:rPr>
          <w:rFonts w:ascii="Calibri" w:hAnsi="Calibri" w:cs="Calibri"/>
        </w:rPr>
        <w:t>, 733–735 (2007).</w:t>
      </w:r>
    </w:p>
    <w:p w:rsidR="00BE137A" w:rsidRPr="00BE137A" w:rsidRDefault="00BE137A" w:rsidP="00BE137A">
      <w:pPr>
        <w:pStyle w:val="Bibliography"/>
        <w:rPr>
          <w:rFonts w:ascii="Calibri" w:hAnsi="Calibri" w:cs="Calibri"/>
        </w:rPr>
      </w:pPr>
      <w:r w:rsidRPr="00BE137A">
        <w:rPr>
          <w:rFonts w:ascii="Calibri" w:hAnsi="Calibri" w:cs="Calibri"/>
        </w:rPr>
        <w:t>3.</w:t>
      </w:r>
      <w:r w:rsidRPr="00BE137A">
        <w:rPr>
          <w:rFonts w:ascii="Calibri" w:hAnsi="Calibri" w:cs="Calibri"/>
        </w:rPr>
        <w:tab/>
        <w:t xml:space="preserve">Koch, S. </w:t>
      </w:r>
      <w:r w:rsidRPr="00BE137A">
        <w:rPr>
          <w:rFonts w:ascii="Calibri" w:hAnsi="Calibri" w:cs="Calibri"/>
          <w:i/>
          <w:iCs/>
        </w:rPr>
        <w:t>et al.</w:t>
      </w:r>
      <w:r w:rsidRPr="00BE137A">
        <w:rPr>
          <w:rFonts w:ascii="Calibri" w:hAnsi="Calibri" w:cs="Calibri"/>
        </w:rPr>
        <w:t xml:space="preserve"> Atlas registration for edema-corrected MRI lesion volume in mouse stroke models. </w:t>
      </w:r>
      <w:r w:rsidRPr="00BE137A">
        <w:rPr>
          <w:rFonts w:ascii="Calibri" w:hAnsi="Calibri" w:cs="Calibri"/>
          <w:i/>
          <w:iCs/>
        </w:rPr>
        <w:t>J. Cereb. Blood Flow Metab.</w:t>
      </w:r>
      <w:r w:rsidRPr="00BE137A">
        <w:rPr>
          <w:rFonts w:ascii="Calibri" w:hAnsi="Calibri" w:cs="Calibri"/>
        </w:rPr>
        <w:t xml:space="preserve"> 271678X17726635 (2017) doi:10.1177/0271678X17726635.</w:t>
      </w:r>
    </w:p>
    <w:p w:rsidR="00BE137A" w:rsidRPr="00EB6387" w:rsidRDefault="00BE137A" w:rsidP="00497390">
      <w:pPr>
        <w:spacing w:line="360" w:lineRule="auto"/>
        <w:jc w:val="both"/>
        <w:rPr>
          <w:b/>
        </w:rPr>
      </w:pPr>
      <w:r>
        <w:rPr>
          <w:b/>
        </w:rPr>
        <w:fldChar w:fldCharType="end"/>
      </w:r>
    </w:p>
    <w:p w:rsidR="00CC7035" w:rsidRPr="00A32CEC" w:rsidRDefault="000E5867" w:rsidP="00CC7035">
      <w:pPr>
        <w:rPr>
          <w:rFonts w:cstheme="minorHAnsi"/>
          <w:b/>
          <w:color w:val="08CAB8"/>
          <w:sz w:val="28"/>
          <w:szCs w:val="28"/>
        </w:rPr>
      </w:pPr>
      <w:r>
        <w:rPr>
          <w:rFonts w:cstheme="minorHAnsi"/>
          <w:b/>
          <w:color w:val="08CAB8"/>
          <w:sz w:val="28"/>
          <w:szCs w:val="28"/>
        </w:rPr>
        <w:t>Figure S1</w:t>
      </w:r>
    </w:p>
    <w:p w:rsidR="00CC7035" w:rsidRDefault="00CC7035" w:rsidP="00875AED">
      <w:pPr>
        <w:jc w:val="both"/>
        <w:rPr>
          <w:rFonts w:cstheme="minorHAnsi"/>
          <w:sz w:val="24"/>
          <w:szCs w:val="24"/>
        </w:rPr>
      </w:pPr>
      <w:r w:rsidRPr="00F129C1">
        <w:rPr>
          <w:rFonts w:cstheme="minorHAnsi"/>
          <w:sz w:val="24"/>
          <w:szCs w:val="24"/>
        </w:rPr>
        <w:t xml:space="preserve">Power calculation in our SVD cohort, showing that the study had 80% power to detect common variants with strong effect size. </w:t>
      </w:r>
      <w:r w:rsidRPr="00A072BB">
        <w:rPr>
          <w:rFonts w:eastAsiaTheme="minorEastAsia" w:cs="Calibri"/>
          <w:iCs/>
          <w:sz w:val="24"/>
          <w:szCs w:val="24"/>
          <w:lang w:eastAsia="en-GB"/>
        </w:rPr>
        <w:t xml:space="preserve">R </w:t>
      </w:r>
      <w:proofErr w:type="spellStart"/>
      <w:r w:rsidRPr="00A072BB">
        <w:rPr>
          <w:rFonts w:eastAsiaTheme="minorEastAsia" w:cs="Calibri"/>
          <w:iCs/>
          <w:sz w:val="24"/>
          <w:szCs w:val="24"/>
          <w:lang w:eastAsia="en-GB"/>
        </w:rPr>
        <w:t>statmod</w:t>
      </w:r>
      <w:proofErr w:type="spellEnd"/>
      <w:r w:rsidRPr="00A072BB">
        <w:rPr>
          <w:rFonts w:eastAsiaTheme="minorEastAsia" w:cs="Calibri"/>
          <w:iCs/>
          <w:sz w:val="24"/>
          <w:szCs w:val="24"/>
          <w:lang w:eastAsia="en-GB"/>
        </w:rPr>
        <w:t xml:space="preserve">-package </w:t>
      </w:r>
      <w:hyperlink r:id="rId7" w:history="1">
        <w:r w:rsidRPr="00A072BB">
          <w:rPr>
            <w:rFonts w:eastAsiaTheme="minorEastAsia"/>
            <w:sz w:val="24"/>
            <w:szCs w:val="24"/>
            <w:u w:val="single"/>
          </w:rPr>
          <w:t>v1.4.32</w:t>
        </w:r>
      </w:hyperlink>
      <w:r w:rsidRPr="00A072BB">
        <w:rPr>
          <w:rFonts w:eastAsiaTheme="minorEastAsia" w:cs="Calibri"/>
          <w:iCs/>
          <w:sz w:val="24"/>
          <w:szCs w:val="24"/>
          <w:lang w:eastAsia="en-GB"/>
        </w:rPr>
        <w:t xml:space="preserve"> for Fisher´s exact test based on allelic association</w:t>
      </w:r>
      <w:r>
        <w:rPr>
          <w:rFonts w:eastAsiaTheme="minorEastAsia" w:cs="Calibri"/>
          <w:iCs/>
          <w:sz w:val="24"/>
          <w:szCs w:val="24"/>
          <w:lang w:eastAsia="en-GB"/>
        </w:rPr>
        <w:t xml:space="preserve"> was used for this power calculation. OR, odds ratio.</w:t>
      </w:r>
    </w:p>
    <w:p w:rsidR="00CC7035" w:rsidRPr="00A32CEC" w:rsidRDefault="000E5867" w:rsidP="00CC7035">
      <w:pPr>
        <w:rPr>
          <w:rFonts w:cstheme="minorHAnsi"/>
          <w:b/>
          <w:color w:val="08CAB8"/>
          <w:sz w:val="28"/>
          <w:szCs w:val="28"/>
        </w:rPr>
      </w:pPr>
      <w:r>
        <w:rPr>
          <w:rFonts w:cstheme="minorHAnsi"/>
          <w:b/>
          <w:color w:val="08CAB8"/>
          <w:sz w:val="28"/>
          <w:szCs w:val="28"/>
        </w:rPr>
        <w:t>Figure S2</w:t>
      </w:r>
    </w:p>
    <w:p w:rsidR="00CC7035" w:rsidRPr="000765C4" w:rsidRDefault="00CC7035" w:rsidP="00875AED">
      <w:pPr>
        <w:jc w:val="both"/>
        <w:rPr>
          <w:rFonts w:cstheme="minorHAnsi"/>
          <w:b/>
          <w:sz w:val="28"/>
          <w:szCs w:val="28"/>
        </w:rPr>
      </w:pPr>
      <w:r w:rsidRPr="007F09B4">
        <w:rPr>
          <w:rFonts w:cstheme="minorHAnsi"/>
          <w:sz w:val="24"/>
          <w:szCs w:val="24"/>
        </w:rPr>
        <w:t xml:space="preserve">Phenotype of the MCAO mouse carrying </w:t>
      </w:r>
      <w:r w:rsidRPr="00DB2F38">
        <w:rPr>
          <w:rFonts w:cstheme="minorHAnsi"/>
          <w:i/>
          <w:sz w:val="24"/>
          <w:szCs w:val="24"/>
        </w:rPr>
        <w:t>Phactr1</w:t>
      </w:r>
      <w:r w:rsidRPr="007F09B4">
        <w:rPr>
          <w:rFonts w:cstheme="minorHAnsi"/>
          <w:sz w:val="24"/>
          <w:szCs w:val="24"/>
        </w:rPr>
        <w:t xml:space="preserve"> </w:t>
      </w:r>
      <w:proofErr w:type="spellStart"/>
      <w:r w:rsidRPr="007F09B4">
        <w:rPr>
          <w:rFonts w:cstheme="minorHAnsi"/>
          <w:sz w:val="24"/>
          <w:szCs w:val="24"/>
        </w:rPr>
        <w:t>LoF</w:t>
      </w:r>
      <w:proofErr w:type="spellEnd"/>
      <w:r w:rsidRPr="007F09B4">
        <w:rPr>
          <w:rFonts w:cstheme="minorHAnsi"/>
          <w:sz w:val="24"/>
          <w:szCs w:val="24"/>
        </w:rPr>
        <w:t xml:space="preserve"> (p.Q273*). </w:t>
      </w:r>
      <w:r w:rsidRPr="00CE2F16">
        <w:rPr>
          <w:rFonts w:cstheme="minorHAnsi"/>
          <w:b/>
          <w:sz w:val="24"/>
          <w:szCs w:val="24"/>
        </w:rPr>
        <w:t>A</w:t>
      </w:r>
      <w:r w:rsidRPr="007F09B4">
        <w:rPr>
          <w:rFonts w:cstheme="minorHAnsi"/>
          <w:sz w:val="24"/>
          <w:szCs w:val="24"/>
        </w:rPr>
        <w:t>. Left hemi</w:t>
      </w:r>
      <w:r>
        <w:rPr>
          <w:rFonts w:cstheme="minorHAnsi"/>
          <w:sz w:val="24"/>
          <w:szCs w:val="24"/>
        </w:rPr>
        <w:t>spheric severe stroke with edema, axial</w:t>
      </w:r>
      <w:r w:rsidRPr="007F09B4">
        <w:rPr>
          <w:rFonts w:cstheme="minorHAnsi"/>
          <w:sz w:val="24"/>
          <w:szCs w:val="24"/>
        </w:rPr>
        <w:t xml:space="preserve"> view. </w:t>
      </w:r>
      <w:r w:rsidRPr="00CE2F16">
        <w:rPr>
          <w:rFonts w:cstheme="minorHAnsi"/>
          <w:b/>
          <w:sz w:val="24"/>
          <w:szCs w:val="24"/>
        </w:rPr>
        <w:t>B</w:t>
      </w:r>
      <w:r w:rsidRPr="007F09B4">
        <w:rPr>
          <w:rFonts w:cstheme="minorHAnsi"/>
          <w:sz w:val="24"/>
          <w:szCs w:val="24"/>
        </w:rPr>
        <w:t>. Left severe str</w:t>
      </w:r>
      <w:r>
        <w:rPr>
          <w:rFonts w:cstheme="minorHAnsi"/>
          <w:sz w:val="24"/>
          <w:szCs w:val="24"/>
        </w:rPr>
        <w:t>oke with edema</w:t>
      </w:r>
      <w:r w:rsidRPr="007F09B4">
        <w:rPr>
          <w:rFonts w:cstheme="minorHAnsi"/>
          <w:sz w:val="24"/>
          <w:szCs w:val="24"/>
        </w:rPr>
        <w:t xml:space="preserve"> and no</w:t>
      </w:r>
      <w:r>
        <w:rPr>
          <w:rFonts w:cstheme="minorHAnsi"/>
          <w:sz w:val="24"/>
          <w:szCs w:val="24"/>
        </w:rPr>
        <w:t xml:space="preserve">n-patent left </w:t>
      </w:r>
      <w:proofErr w:type="spellStart"/>
      <w:r>
        <w:rPr>
          <w:rFonts w:cstheme="minorHAnsi"/>
          <w:sz w:val="24"/>
          <w:szCs w:val="24"/>
        </w:rPr>
        <w:t>PcomA</w:t>
      </w:r>
      <w:proofErr w:type="spellEnd"/>
      <w:r>
        <w:rPr>
          <w:rFonts w:cstheme="minorHAnsi"/>
          <w:sz w:val="24"/>
          <w:szCs w:val="24"/>
        </w:rPr>
        <w:t xml:space="preserve"> (dashed lines</w:t>
      </w:r>
      <w:r w:rsidRPr="007F09B4">
        <w:rPr>
          <w:rFonts w:cstheme="minorHAnsi"/>
          <w:sz w:val="24"/>
          <w:szCs w:val="24"/>
        </w:rPr>
        <w:t xml:space="preserve">). </w:t>
      </w:r>
      <w:r w:rsidRPr="00CE2F16">
        <w:rPr>
          <w:rFonts w:cstheme="minorHAnsi"/>
          <w:b/>
          <w:sz w:val="24"/>
          <w:szCs w:val="24"/>
        </w:rPr>
        <w:t>C</w:t>
      </w:r>
      <w:r w:rsidRPr="007F09B4">
        <w:rPr>
          <w:rFonts w:cstheme="minorHAnsi"/>
          <w:sz w:val="24"/>
          <w:szCs w:val="24"/>
        </w:rPr>
        <w:t xml:space="preserve">. </w:t>
      </w:r>
      <w:r>
        <w:rPr>
          <w:rFonts w:cstheme="minorHAnsi"/>
          <w:sz w:val="24"/>
          <w:szCs w:val="24"/>
        </w:rPr>
        <w:t>Coronal histological section</w:t>
      </w:r>
      <w:r w:rsidRPr="007F09B4">
        <w:rPr>
          <w:rFonts w:cstheme="minorHAnsi"/>
          <w:sz w:val="24"/>
          <w:szCs w:val="24"/>
        </w:rPr>
        <w:t xml:space="preserve"> stained with </w:t>
      </w:r>
      <w:proofErr w:type="spellStart"/>
      <w:r>
        <w:rPr>
          <w:rFonts w:cstheme="minorHAnsi"/>
          <w:sz w:val="24"/>
          <w:szCs w:val="24"/>
        </w:rPr>
        <w:t>Gfap</w:t>
      </w:r>
      <w:proofErr w:type="spellEnd"/>
      <w:r>
        <w:rPr>
          <w:rFonts w:cstheme="minorHAnsi"/>
          <w:sz w:val="24"/>
          <w:szCs w:val="24"/>
        </w:rPr>
        <w:t>, displaying tissue edema</w:t>
      </w:r>
      <w:r w:rsidRPr="007F09B4">
        <w:rPr>
          <w:rFonts w:cstheme="minorHAnsi"/>
          <w:sz w:val="24"/>
          <w:szCs w:val="24"/>
        </w:rPr>
        <w:t xml:space="preserve"> and </w:t>
      </w:r>
      <w:r w:rsidRPr="007F09B4">
        <w:rPr>
          <w:rFonts w:cstheme="minorHAnsi"/>
          <w:sz w:val="24"/>
          <w:szCs w:val="24"/>
        </w:rPr>
        <w:lastRenderedPageBreak/>
        <w:t>necrosis in the left corte</w:t>
      </w:r>
      <w:r>
        <w:rPr>
          <w:rFonts w:cstheme="minorHAnsi"/>
          <w:sz w:val="24"/>
          <w:szCs w:val="24"/>
        </w:rPr>
        <w:t xml:space="preserve">x, corpus callosum and striatum and </w:t>
      </w:r>
      <w:proofErr w:type="spellStart"/>
      <w:r>
        <w:rPr>
          <w:rFonts w:cstheme="minorHAnsi"/>
          <w:sz w:val="24"/>
          <w:szCs w:val="24"/>
        </w:rPr>
        <w:t>astrocytosis</w:t>
      </w:r>
      <w:proofErr w:type="spellEnd"/>
      <w:r>
        <w:rPr>
          <w:rFonts w:cstheme="minorHAnsi"/>
          <w:sz w:val="24"/>
          <w:szCs w:val="24"/>
        </w:rPr>
        <w:t xml:space="preserve"> particularly in the corpus callosum.</w:t>
      </w:r>
      <w:r w:rsidRPr="00FB1FC5">
        <w:rPr>
          <w:rFonts w:cstheme="minorHAnsi"/>
          <w:i/>
          <w:sz w:val="24"/>
          <w:szCs w:val="24"/>
        </w:rPr>
        <w:t xml:space="preserve"> </w:t>
      </w:r>
      <w:r w:rsidRPr="00DB2F38">
        <w:rPr>
          <w:rFonts w:cstheme="minorHAnsi"/>
          <w:i/>
          <w:sz w:val="24"/>
          <w:szCs w:val="24"/>
        </w:rPr>
        <w:t>Phactr1</w:t>
      </w:r>
      <w:r>
        <w:rPr>
          <w:rFonts w:cstheme="minorHAnsi"/>
          <w:i/>
          <w:sz w:val="24"/>
          <w:szCs w:val="24"/>
        </w:rPr>
        <w:t xml:space="preserve"> </w:t>
      </w:r>
      <w:r>
        <w:rPr>
          <w:rFonts w:cstheme="minorHAnsi"/>
          <w:sz w:val="24"/>
          <w:szCs w:val="24"/>
        </w:rPr>
        <w:t>in mouse brain (</w:t>
      </w:r>
      <w:r>
        <w:rPr>
          <w:rFonts w:cstheme="minorHAnsi"/>
          <w:b/>
          <w:sz w:val="24"/>
          <w:szCs w:val="24"/>
        </w:rPr>
        <w:t>D-E</w:t>
      </w:r>
      <w:r>
        <w:rPr>
          <w:rFonts w:cstheme="minorHAnsi"/>
          <w:sz w:val="24"/>
          <w:szCs w:val="24"/>
        </w:rPr>
        <w:t xml:space="preserve">). </w:t>
      </w:r>
      <w:r w:rsidR="00271FA4">
        <w:rPr>
          <w:rFonts w:cstheme="minorHAnsi"/>
          <w:b/>
          <w:sz w:val="24"/>
          <w:szCs w:val="24"/>
        </w:rPr>
        <w:t>D</w:t>
      </w:r>
      <w:bookmarkStart w:id="0" w:name="_GoBack"/>
      <w:bookmarkEnd w:id="0"/>
      <w:r>
        <w:rPr>
          <w:rFonts w:cstheme="minorHAnsi"/>
          <w:sz w:val="24"/>
          <w:szCs w:val="24"/>
        </w:rPr>
        <w:t xml:space="preserve">. Coronal mouse brain section stained with PHACTR1 antibody </w:t>
      </w:r>
      <w:proofErr w:type="gramStart"/>
      <w:r>
        <w:rPr>
          <w:rFonts w:cstheme="minorHAnsi"/>
          <w:sz w:val="24"/>
          <w:szCs w:val="24"/>
        </w:rPr>
        <w:t>and  showing</w:t>
      </w:r>
      <w:proofErr w:type="gramEnd"/>
      <w:r>
        <w:rPr>
          <w:rFonts w:cstheme="minorHAnsi"/>
          <w:sz w:val="24"/>
          <w:szCs w:val="24"/>
        </w:rPr>
        <w:t xml:space="preserve"> Phactr1 exclusive expression in neurons and to a significant lesser extent in the white matter (</w:t>
      </w:r>
      <w:r>
        <w:rPr>
          <w:rFonts w:cstheme="minorHAnsi"/>
          <w:b/>
          <w:sz w:val="24"/>
          <w:szCs w:val="24"/>
        </w:rPr>
        <w:t>D</w:t>
      </w:r>
      <w:r w:rsidR="00271FA4">
        <w:rPr>
          <w:rFonts w:cstheme="minorHAnsi"/>
          <w:b/>
          <w:sz w:val="24"/>
          <w:szCs w:val="24"/>
        </w:rPr>
        <w:t>-E</w:t>
      </w:r>
      <w:r>
        <w:rPr>
          <w:rFonts w:cstheme="minorHAnsi"/>
          <w:sz w:val="24"/>
          <w:szCs w:val="24"/>
        </w:rPr>
        <w:t>). Scale bar A= 1000um and B =200um</w:t>
      </w:r>
    </w:p>
    <w:p w:rsidR="00CC7035" w:rsidRDefault="00CC7035" w:rsidP="00CC7035">
      <w:pPr>
        <w:jc w:val="both"/>
        <w:rPr>
          <w:rFonts w:cstheme="minorHAnsi"/>
          <w:sz w:val="24"/>
          <w:szCs w:val="24"/>
        </w:rPr>
      </w:pPr>
    </w:p>
    <w:p w:rsidR="00804A46" w:rsidRPr="00023C64" w:rsidRDefault="00804A46" w:rsidP="00804A46">
      <w:pPr>
        <w:jc w:val="both"/>
        <w:rPr>
          <w:b/>
        </w:rPr>
      </w:pPr>
      <w:r w:rsidRPr="00023C64">
        <w:rPr>
          <w:b/>
        </w:rPr>
        <w:t>Table S1</w:t>
      </w:r>
    </w:p>
    <w:p w:rsidR="00804A46" w:rsidRPr="00023C64" w:rsidRDefault="00804A46" w:rsidP="00804A46">
      <w:pPr>
        <w:jc w:val="both"/>
      </w:pPr>
      <w:r w:rsidRPr="00023C64">
        <w:t>Cerebral blood flow pre-surgery (day 0) detected in striatum and cortex with arterial spin labe</w:t>
      </w:r>
      <w:r w:rsidR="00F74DD6">
        <w:t>l</w:t>
      </w:r>
      <w:r w:rsidRPr="00023C64">
        <w:t xml:space="preserve">ling in MCAO and BCCAS mice. In the study we used the mean value between left and right striatum and cortex. </w:t>
      </w:r>
      <w:r w:rsidR="008261D3">
        <w:t xml:space="preserve">CBF values are expressed in </w:t>
      </w:r>
      <w:r w:rsidR="008261D3" w:rsidRPr="00023C64">
        <w:t>mL/min/100g</w:t>
      </w:r>
      <w:r w:rsidR="008261D3">
        <w:t xml:space="preserve">. </w:t>
      </w:r>
      <w:r w:rsidRPr="00023C64">
        <w:t xml:space="preserve">Some of these data have been already reported </w:t>
      </w:r>
      <w:r w:rsidRPr="00023C64">
        <w:fldChar w:fldCharType="begin"/>
      </w:r>
      <w:r w:rsidR="00BE137A">
        <w:instrText xml:space="preserve"> ADDIN ZOTERO_ITEM CSL_CITATION {"citationID":"A434lZpL","properties":{"formattedCitation":"\\super 4\\nosupersub{}","plainCitation":"4","noteIndex":0},"citationItems":[{"id":1281,"uris":["http://zotero.org/users/local/3SLcMLWb/items/V3SHVCCP"],"uri":["http://zotero.org/users/local/3SLcMLWb/items/V3SHVCCP"],"itemData":{"id":1281,"type":"article-journal","abstract":"Brain collateral circulation is an essential compensatory mechanism in response to acute brain ischemia. To study the temporal evolution of brain macro and microcollateral recruitment and their reciprocal interactions in response to different ischemic conditions, we applied a combination of complementary techniques (T2-weighted magnetic resonance imaging [MRI], time of flight [TOF] angiography [MRA], cerebral blood flow [CBF] imaging and histology) in two different mouse models. Hypoperfusion was either induced by permanent bilateral common carotid artery stenosis (BCCAS) or 60-min transient unilateral middle cerebral artery occlusion (MCAO). In both models, collateralization is a very dynamic phenomenon with a global effect affecting both hemispheres. Patency of ipsilateral posterior communicating artery (PcomA) represents the main variable survival mechanism and the main determinant of stroke lesion volume and recovery in MCAO, whereas the promptness of external carotid artery retrograde flow recruitment together with PcomA patency, critically influence survival, brain ischemic lesion volume and retinopathy in BCCAS mice. Finally, different ischemic gradients shape microcollateral density and size.","container-title":"Journal of Cerebral Blood Flow &amp; Metabolism","DOI":"10.1177/0271678X19827251","ISSN":"0271-678X","journalAbbreviation":"J Cereb Blood Flow Metab","page":"0271678X19827251","title":"An exploratory investigation of brain collateral circulation plasticity after cerebral ischemia in two experimental C57BL/6 mouse models","author":[{"family":"Foddis","given":"Marco"},{"family":"Winek","given":"Katarzyna"},{"family":"Bentele","given":"Kajetan"},{"family":"Mueller","given":"Susanne"},{"family":"Blumenau","given":"Sonja"},{"family":"Reichhart N","given":"Nadine"},{"family":"Crespo-Garcia","given":"Sergio"},{"family":"Harnett","given":"Dermot"},{"family":"Ivanov","given":"Andranik"},{"family":"Meisel","given":"Andreas"},{"family":"Joussen","given":"Antonia"},{"family":"Strauss","given":"Olaf"},{"family":"Beule","given":"Dieter"},{"family":"Dirnagl","given":"Ulrich"},{"family":"Sassi","given":"Celeste"}],"issued":{"date-parts":[["2019",2,7]]}}}],"schema":"https://github.com/citation-style-language/schema/raw/master/csl-citation.json"} </w:instrText>
      </w:r>
      <w:r w:rsidRPr="00023C64">
        <w:fldChar w:fldCharType="separate"/>
      </w:r>
      <w:r w:rsidR="00BE137A" w:rsidRPr="00BE137A">
        <w:rPr>
          <w:rFonts w:ascii="Calibri" w:hAnsi="Calibri" w:cs="Calibri"/>
          <w:szCs w:val="24"/>
          <w:vertAlign w:val="superscript"/>
        </w:rPr>
        <w:t>4</w:t>
      </w:r>
      <w:r w:rsidRPr="00023C64">
        <w:fldChar w:fldCharType="end"/>
      </w:r>
    </w:p>
    <w:p w:rsidR="00804A46" w:rsidRPr="00023C64" w:rsidRDefault="00804A46" w:rsidP="00804A46">
      <w:pPr>
        <w:jc w:val="both"/>
        <w:rPr>
          <w:b/>
        </w:rPr>
      </w:pPr>
      <w:r w:rsidRPr="00023C64">
        <w:rPr>
          <w:b/>
        </w:rPr>
        <w:t>Table S2</w:t>
      </w:r>
    </w:p>
    <w:p w:rsidR="00804A46" w:rsidRPr="00023C64" w:rsidRDefault="00804A46" w:rsidP="00804A46">
      <w:pPr>
        <w:jc w:val="both"/>
        <w:rPr>
          <w:lang w:val="en-GB"/>
        </w:rPr>
      </w:pPr>
      <w:r w:rsidRPr="00023C64">
        <w:t xml:space="preserve">Average leptomeningeal </w:t>
      </w:r>
      <w:proofErr w:type="spellStart"/>
      <w:r w:rsidR="008261D3">
        <w:t>micro</w:t>
      </w:r>
      <w:r w:rsidRPr="00023C64">
        <w:t>vessel</w:t>
      </w:r>
      <w:proofErr w:type="spellEnd"/>
      <w:r w:rsidRPr="00023C64">
        <w:t xml:space="preserve"> length, detected in the MCAO mice left hemisphere during </w:t>
      </w:r>
      <w:proofErr w:type="spellStart"/>
      <w:r w:rsidRPr="00023C64">
        <w:t>hypoperfusion</w:t>
      </w:r>
      <w:proofErr w:type="spellEnd"/>
      <w:r w:rsidRPr="00023C64">
        <w:t xml:space="preserve">. </w:t>
      </w:r>
      <w:r w:rsidR="008261D3">
        <w:t xml:space="preserve">Data are expressed in </w:t>
      </w:r>
      <w:proofErr w:type="spellStart"/>
      <w:r w:rsidR="008261D3">
        <w:rPr>
          <w:rFonts w:cstheme="minorHAnsi"/>
        </w:rPr>
        <w:t>μ</w:t>
      </w:r>
      <w:r w:rsidR="008261D3">
        <w:t>m</w:t>
      </w:r>
      <w:proofErr w:type="spellEnd"/>
      <w:r w:rsidR="008261D3">
        <w:t xml:space="preserve">. </w:t>
      </w:r>
      <w:r w:rsidRPr="00023C64">
        <w:t xml:space="preserve">Some of these data have been already reported </w:t>
      </w:r>
      <w:r w:rsidRPr="00023C64">
        <w:fldChar w:fldCharType="begin"/>
      </w:r>
      <w:r w:rsidR="00BE137A">
        <w:instrText xml:space="preserve"> ADDIN ZOTERO_ITEM CSL_CITATION {"citationID":"tyOVduvW","properties":{"formattedCitation":"\\super 4\\nosupersub{}","plainCitation":"4","noteIndex":0},"citationItems":[{"id":1281,"uris":["http://zotero.org/users/local/3SLcMLWb/items/V3SHVCCP"],"uri":["http://zotero.org/users/local/3SLcMLWb/items/V3SHVCCP"],"itemData":{"id":1281,"type":"article-journal","abstract":"Brain collateral circulation is an essential compensatory mechanism in response to acute brain ischemia. To study the temporal evolution of brain macro and microcollateral recruitment and their reciprocal interactions in response to different ischemic conditions, we applied a combination of complementary techniques (T2-weighted magnetic resonance imaging [MRI], time of flight [TOF] angiography [MRA], cerebral blood flow [CBF] imaging and histology) in two different mouse models. Hypoperfusion was either induced by permanent bilateral common carotid artery stenosis (BCCAS) or 60-min transient unilateral middle cerebral artery occlusion (MCAO). In both models, collateralization is a very dynamic phenomenon with a global effect affecting both hemispheres. Patency of ipsilateral posterior communicating artery (PcomA) represents the main variable survival mechanism and the main determinant of stroke lesion volume and recovery in MCAO, whereas the promptness of external carotid artery retrograde flow recruitment together with PcomA patency, critically influence survival, brain ischemic lesion volume and retinopathy in BCCAS mice. Finally, different ischemic gradients shape microcollateral density and size.","container-title":"Journal of Cerebral Blood Flow &amp; Metabolism","DOI":"10.1177/0271678X19827251","ISSN":"0271-678X","journalAbbreviation":"J Cereb Blood Flow Metab","page":"0271678X19827251","title":"An exploratory investigation of brain collateral circulation plasticity after cerebral ischemia in two experimental C57BL/6 mouse models","author":[{"family":"Foddis","given":"Marco"},{"family":"Winek","given":"Katarzyna"},{"family":"Bentele","given":"Kajetan"},{"family":"Mueller","given":"Susanne"},{"family":"Blumenau","given":"Sonja"},{"family":"Reichhart N","given":"Nadine"},{"family":"Crespo-Garcia","given":"Sergio"},{"family":"Harnett","given":"Dermot"},{"family":"Ivanov","given":"Andranik"},{"family":"Meisel","given":"Andreas"},{"family":"Joussen","given":"Antonia"},{"family":"Strauss","given":"Olaf"},{"family":"Beule","given":"Dieter"},{"family":"Dirnagl","given":"Ulrich"},{"family":"Sassi","given":"Celeste"}],"issued":{"date-parts":[["2019",2,7]]}}}],"schema":"https://github.com/citation-style-language/schema/raw/master/csl-citation.json"} </w:instrText>
      </w:r>
      <w:r w:rsidRPr="00023C64">
        <w:fldChar w:fldCharType="separate"/>
      </w:r>
      <w:r w:rsidR="00BE137A" w:rsidRPr="00BE137A">
        <w:rPr>
          <w:rFonts w:ascii="Calibri" w:hAnsi="Calibri" w:cs="Calibri"/>
          <w:szCs w:val="24"/>
          <w:vertAlign w:val="superscript"/>
        </w:rPr>
        <w:t>4</w:t>
      </w:r>
      <w:r w:rsidRPr="00023C64">
        <w:fldChar w:fldCharType="end"/>
      </w:r>
    </w:p>
    <w:p w:rsidR="00804A46" w:rsidRPr="00023C64" w:rsidRDefault="00804A46" w:rsidP="00804A46">
      <w:pPr>
        <w:jc w:val="both"/>
        <w:rPr>
          <w:b/>
        </w:rPr>
      </w:pPr>
      <w:r w:rsidRPr="00023C64">
        <w:rPr>
          <w:b/>
        </w:rPr>
        <w:t>Table S3</w:t>
      </w:r>
    </w:p>
    <w:p w:rsidR="00804A46" w:rsidRPr="00023C64" w:rsidRDefault="00804A46" w:rsidP="00804A46">
      <w:pPr>
        <w:jc w:val="both"/>
        <w:rPr>
          <w:lang w:val="en-GB"/>
        </w:rPr>
      </w:pPr>
      <w:r w:rsidRPr="00023C64">
        <w:t>Total number of leptomeningeal</w:t>
      </w:r>
      <w:r w:rsidR="00897DF0">
        <w:t xml:space="preserve"> </w:t>
      </w:r>
      <w:proofErr w:type="spellStart"/>
      <w:r w:rsidR="00897DF0">
        <w:t>microvessel</w:t>
      </w:r>
      <w:proofErr w:type="spellEnd"/>
      <w:r w:rsidRPr="00023C64">
        <w:t xml:space="preserve"> junctions detected in the MCAO mice left hemisphere during </w:t>
      </w:r>
      <w:proofErr w:type="spellStart"/>
      <w:r w:rsidRPr="00023C64">
        <w:t>hypoperfusion</w:t>
      </w:r>
      <w:proofErr w:type="spellEnd"/>
      <w:r w:rsidRPr="00023C64">
        <w:t xml:space="preserve">. Some of these data have been already reported </w:t>
      </w:r>
      <w:r w:rsidRPr="00023C64">
        <w:fldChar w:fldCharType="begin"/>
      </w:r>
      <w:r w:rsidR="00BE137A">
        <w:instrText xml:space="preserve"> ADDIN ZOTERO_ITEM CSL_CITATION {"citationID":"lgB5ht5A","properties":{"formattedCitation":"\\super 4\\nosupersub{}","plainCitation":"4","noteIndex":0},"citationItems":[{"id":1281,"uris":["http://zotero.org/users/local/3SLcMLWb/items/V3SHVCCP"],"uri":["http://zotero.org/users/local/3SLcMLWb/items/V3SHVCCP"],"itemData":{"id":1281,"type":"article-journal","abstract":"Brain collateral circulation is an essential compensatory mechanism in response to acute brain ischemia. To study the temporal evolution of brain macro and microcollateral recruitment and their reciprocal interactions in response to different ischemic conditions, we applied a combination of complementary techniques (T2-weighted magnetic resonance imaging [MRI], time of flight [TOF] angiography [MRA], cerebral blood flow [CBF] imaging and histology) in two different mouse models. Hypoperfusion was either induced by permanent bilateral common carotid artery stenosis (BCCAS) or 60-min transient unilateral middle cerebral artery occlusion (MCAO). In both models, collateralization is a very dynamic phenomenon with a global effect affecting both hemispheres. Patency of ipsilateral posterior communicating artery (PcomA) represents the main variable survival mechanism and the main determinant of stroke lesion volume and recovery in MCAO, whereas the promptness of external carotid artery retrograde flow recruitment together with PcomA patency, critically influence survival, brain ischemic lesion volume and retinopathy in BCCAS mice. Finally, different ischemic gradients shape microcollateral density and size.","container-title":"Journal of Cerebral Blood Flow &amp; Metabolism","DOI":"10.1177/0271678X19827251","ISSN":"0271-678X","journalAbbreviation":"J Cereb Blood Flow Metab","page":"0271678X19827251","title":"An exploratory investigation of brain collateral circulation plasticity after cerebral ischemia in two experimental C57BL/6 mouse models","author":[{"family":"Foddis","given":"Marco"},{"family":"Winek","given":"Katarzyna"},{"family":"Bentele","given":"Kajetan"},{"family":"Mueller","given":"Susanne"},{"family":"Blumenau","given":"Sonja"},{"family":"Reichhart N","given":"Nadine"},{"family":"Crespo-Garcia","given":"Sergio"},{"family":"Harnett","given":"Dermot"},{"family":"Ivanov","given":"Andranik"},{"family":"Meisel","given":"Andreas"},{"family":"Joussen","given":"Antonia"},{"family":"Strauss","given":"Olaf"},{"family":"Beule","given":"Dieter"},{"family":"Dirnagl","given":"Ulrich"},{"family":"Sassi","given":"Celeste"}],"issued":{"date-parts":[["2019",2,7]]}}}],"schema":"https://github.com/citation-style-language/schema/raw/master/csl-citation.json"} </w:instrText>
      </w:r>
      <w:r w:rsidRPr="00023C64">
        <w:fldChar w:fldCharType="separate"/>
      </w:r>
      <w:r w:rsidR="00BE137A" w:rsidRPr="00BE137A">
        <w:rPr>
          <w:rFonts w:ascii="Calibri" w:hAnsi="Calibri" w:cs="Calibri"/>
          <w:szCs w:val="24"/>
          <w:vertAlign w:val="superscript"/>
        </w:rPr>
        <w:t>4</w:t>
      </w:r>
      <w:r w:rsidRPr="00023C64">
        <w:fldChar w:fldCharType="end"/>
      </w:r>
    </w:p>
    <w:p w:rsidR="00804A46" w:rsidRPr="00CC7035" w:rsidRDefault="00804A46" w:rsidP="00804A46">
      <w:pPr>
        <w:jc w:val="both"/>
        <w:rPr>
          <w:lang w:val="en-GB"/>
        </w:rPr>
      </w:pPr>
    </w:p>
    <w:p w:rsidR="004B646A" w:rsidRPr="00023C64" w:rsidRDefault="004B646A"/>
    <w:sectPr w:rsidR="004B646A" w:rsidRPr="00023C6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4D2" w:rsidRDefault="008C14D2" w:rsidP="00F424D4">
      <w:pPr>
        <w:spacing w:after="0" w:line="240" w:lineRule="auto"/>
      </w:pPr>
      <w:r>
        <w:separator/>
      </w:r>
    </w:p>
  </w:endnote>
  <w:endnote w:type="continuationSeparator" w:id="0">
    <w:p w:rsidR="008C14D2" w:rsidRDefault="008C14D2" w:rsidP="00F42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948628"/>
      <w:docPartObj>
        <w:docPartGallery w:val="Page Numbers (Bottom of Page)"/>
        <w:docPartUnique/>
      </w:docPartObj>
    </w:sdtPr>
    <w:sdtEndPr>
      <w:rPr>
        <w:noProof/>
      </w:rPr>
    </w:sdtEndPr>
    <w:sdtContent>
      <w:p w:rsidR="00F424D4" w:rsidRDefault="00F424D4">
        <w:pPr>
          <w:pStyle w:val="Footer"/>
          <w:jc w:val="center"/>
        </w:pPr>
        <w:r>
          <w:fldChar w:fldCharType="begin"/>
        </w:r>
        <w:r>
          <w:instrText xml:space="preserve"> PAGE   \* MERGEFORMAT </w:instrText>
        </w:r>
        <w:r>
          <w:fldChar w:fldCharType="separate"/>
        </w:r>
        <w:r w:rsidR="00271FA4">
          <w:rPr>
            <w:noProof/>
          </w:rPr>
          <w:t>5</w:t>
        </w:r>
        <w:r>
          <w:rPr>
            <w:noProof/>
          </w:rPr>
          <w:fldChar w:fldCharType="end"/>
        </w:r>
      </w:p>
    </w:sdtContent>
  </w:sdt>
  <w:p w:rsidR="00F424D4" w:rsidRDefault="00F424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4D2" w:rsidRDefault="008C14D2" w:rsidP="00F424D4">
      <w:pPr>
        <w:spacing w:after="0" w:line="240" w:lineRule="auto"/>
      </w:pPr>
      <w:r>
        <w:separator/>
      </w:r>
    </w:p>
  </w:footnote>
  <w:footnote w:type="continuationSeparator" w:id="0">
    <w:p w:rsidR="008C14D2" w:rsidRDefault="008C14D2" w:rsidP="00F42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390"/>
    <w:rsid w:val="00023C64"/>
    <w:rsid w:val="00060F9D"/>
    <w:rsid w:val="000E5867"/>
    <w:rsid w:val="0011683B"/>
    <w:rsid w:val="00124C38"/>
    <w:rsid w:val="0023045B"/>
    <w:rsid w:val="00271FA4"/>
    <w:rsid w:val="00293075"/>
    <w:rsid w:val="002944E2"/>
    <w:rsid w:val="004605BB"/>
    <w:rsid w:val="00485AC5"/>
    <w:rsid w:val="00497390"/>
    <w:rsid w:val="004B646A"/>
    <w:rsid w:val="00565587"/>
    <w:rsid w:val="005E6BDC"/>
    <w:rsid w:val="00623234"/>
    <w:rsid w:val="00645167"/>
    <w:rsid w:val="00735E19"/>
    <w:rsid w:val="007A4570"/>
    <w:rsid w:val="00804A46"/>
    <w:rsid w:val="008261D3"/>
    <w:rsid w:val="0084500C"/>
    <w:rsid w:val="00875AED"/>
    <w:rsid w:val="00880365"/>
    <w:rsid w:val="00897DF0"/>
    <w:rsid w:val="008A523D"/>
    <w:rsid w:val="008C14D2"/>
    <w:rsid w:val="008F7E03"/>
    <w:rsid w:val="00984BB7"/>
    <w:rsid w:val="009D2FA0"/>
    <w:rsid w:val="00A82380"/>
    <w:rsid w:val="00A826C9"/>
    <w:rsid w:val="00B2561B"/>
    <w:rsid w:val="00BD53F3"/>
    <w:rsid w:val="00BE137A"/>
    <w:rsid w:val="00C95162"/>
    <w:rsid w:val="00CB3259"/>
    <w:rsid w:val="00CC7035"/>
    <w:rsid w:val="00CD67DA"/>
    <w:rsid w:val="00D45FCB"/>
    <w:rsid w:val="00D505E2"/>
    <w:rsid w:val="00DF6312"/>
    <w:rsid w:val="00E11321"/>
    <w:rsid w:val="00E15008"/>
    <w:rsid w:val="00E74572"/>
    <w:rsid w:val="00EB6387"/>
    <w:rsid w:val="00F07CDC"/>
    <w:rsid w:val="00F424D4"/>
    <w:rsid w:val="00F74DD6"/>
    <w:rsid w:val="00F87E3B"/>
    <w:rsid w:val="00FA5781"/>
    <w:rsid w:val="00FB6D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BAB15-079E-4604-8DA9-1B63FEFE5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39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7390"/>
    <w:rPr>
      <w:color w:val="0000FF"/>
      <w:u w:val="single"/>
    </w:rPr>
  </w:style>
  <w:style w:type="paragraph" w:styleId="Header">
    <w:name w:val="header"/>
    <w:basedOn w:val="Normal"/>
    <w:link w:val="HeaderChar"/>
    <w:uiPriority w:val="99"/>
    <w:unhideWhenUsed/>
    <w:rsid w:val="00F424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4D4"/>
    <w:rPr>
      <w:lang w:val="en-US"/>
    </w:rPr>
  </w:style>
  <w:style w:type="paragraph" w:styleId="Footer">
    <w:name w:val="footer"/>
    <w:basedOn w:val="Normal"/>
    <w:link w:val="FooterChar"/>
    <w:uiPriority w:val="99"/>
    <w:unhideWhenUsed/>
    <w:rsid w:val="00F424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4D4"/>
    <w:rPr>
      <w:lang w:val="en-US"/>
    </w:rPr>
  </w:style>
  <w:style w:type="paragraph" w:styleId="Bibliography">
    <w:name w:val="Bibliography"/>
    <w:basedOn w:val="Normal"/>
    <w:next w:val="Normal"/>
    <w:uiPriority w:val="37"/>
    <w:unhideWhenUsed/>
    <w:rsid w:val="004B646A"/>
    <w:pPr>
      <w:tabs>
        <w:tab w:val="left" w:pos="264"/>
      </w:tabs>
      <w:spacing w:after="0" w:line="480" w:lineRule="auto"/>
      <w:ind w:left="264" w:hanging="264"/>
    </w:pPr>
  </w:style>
  <w:style w:type="paragraph" w:customStyle="1" w:styleId="yiv1033920161msonormal">
    <w:name w:val="yiv1033920161msonormal"/>
    <w:basedOn w:val="Normal"/>
    <w:rsid w:val="00CC703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rdocumentation.org/packages/statmod/versions/1.4.3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igmaaldrich.com/ProductLookup.html?ProdNo=G1890&amp;Brand=SIGM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3724</Words>
  <Characters>21227</Characters>
  <Application>Microsoft Office Word</Application>
  <DocSecurity>0</DocSecurity>
  <Lines>176</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celete sassi</dc:creator>
  <cp:keywords/>
  <dc:description/>
  <cp:lastModifiedBy>celete sassi</cp:lastModifiedBy>
  <cp:revision>3</cp:revision>
  <cp:lastPrinted>2019-11-06T16:07:00Z</cp:lastPrinted>
  <dcterms:created xsi:type="dcterms:W3CDTF">2021-01-10T08:48:00Z</dcterms:created>
  <dcterms:modified xsi:type="dcterms:W3CDTF">2021-01-10T09:26:00Z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zotero-version="5.0.94"&gt;&lt;session id="oampeKh1"/&gt;&lt;style id="http://www.zotero.org/styles/nature" hasBibliography="1" bibliographyStyleHasBeenSet="1"/&gt;&lt;prefs&gt;&lt;pref name="fieldType" value="Field"/&gt;&lt;/prefs&gt;&lt;/data&gt;</vt:lpwstr>
  </property>
</Properties>
</file>