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8B46" w14:textId="77777777" w:rsidR="00FB74A0" w:rsidRDefault="00DE269C" w:rsidP="00A35133">
      <w:pPr>
        <w:pStyle w:val="Heading2"/>
        <w:rPr>
          <w:sz w:val="26"/>
        </w:rPr>
      </w:pPr>
      <w:r>
        <w:rPr>
          <w:sz w:val="26"/>
        </w:rPr>
        <w:t>SUPPLEMENTARY MATERIAL</w:t>
      </w:r>
    </w:p>
    <w:p w14:paraId="26F28A09" w14:textId="6AACC445" w:rsidR="00DE269C" w:rsidRDefault="00DE269C" w:rsidP="00A35133">
      <w:pPr>
        <w:pStyle w:val="Heading2"/>
        <w:rPr>
          <w:sz w:val="26"/>
        </w:rPr>
      </w:pPr>
      <w:r>
        <w:rPr>
          <w:sz w:val="26"/>
        </w:rPr>
        <w:br/>
        <w:t>METHODS</w:t>
      </w:r>
    </w:p>
    <w:p w14:paraId="49F0AF6E" w14:textId="77250CF9" w:rsidR="00A35133" w:rsidRDefault="00A35133" w:rsidP="00A35133">
      <w:pPr>
        <w:pStyle w:val="Heading2"/>
        <w:rPr>
          <w:sz w:val="26"/>
        </w:rPr>
      </w:pPr>
      <w:r w:rsidRPr="00740E16">
        <w:rPr>
          <w:sz w:val="26"/>
        </w:rPr>
        <w:t>Magneti</w:t>
      </w:r>
      <w:r>
        <w:rPr>
          <w:sz w:val="26"/>
        </w:rPr>
        <w:t xml:space="preserve">c resonance imaging </w:t>
      </w:r>
      <w:r w:rsidR="00B054F7">
        <w:rPr>
          <w:sz w:val="26"/>
        </w:rPr>
        <w:t>(MRI) analysis</w:t>
      </w:r>
    </w:p>
    <w:p w14:paraId="0C601007" w14:textId="2A7B3E3F" w:rsidR="00B054F7" w:rsidRPr="00B054F7" w:rsidRDefault="00B054F7" w:rsidP="00B054F7">
      <w:pPr>
        <w:rPr>
          <w:b/>
          <w:bCs/>
        </w:rPr>
      </w:pPr>
      <w:r w:rsidRPr="00B054F7">
        <w:rPr>
          <w:b/>
          <w:bCs/>
        </w:rPr>
        <w:t xml:space="preserve">MRI protocol </w:t>
      </w:r>
    </w:p>
    <w:p w14:paraId="408E730A" w14:textId="403EF028" w:rsidR="00590739" w:rsidRDefault="00B054F7" w:rsidP="007E5C95">
      <w:r>
        <w:t xml:space="preserve">MRI </w:t>
      </w:r>
      <w:r w:rsidR="00A35133" w:rsidRPr="00E63DBD">
        <w:t xml:space="preserve">was performed for all subjects </w:t>
      </w:r>
      <w:r w:rsidR="002A0D97">
        <w:t>using a 3 Tesla scanner</w:t>
      </w:r>
      <w:r w:rsidR="00A35133" w:rsidRPr="00E63DBD">
        <w:t xml:space="preserve"> (MAGNETOM Trio </w:t>
      </w:r>
      <w:r w:rsidR="002A0D97">
        <w:t xml:space="preserve">Time, </w:t>
      </w:r>
      <w:r w:rsidR="00A35133" w:rsidRPr="00E63DBD">
        <w:t>Siemens, Erlangen, Germany). Th</w:t>
      </w:r>
      <w:r w:rsidR="00E7719B">
        <w:t xml:space="preserve">is study </w:t>
      </w:r>
      <w:r w:rsidR="00A35133" w:rsidRPr="00E63DBD">
        <w:t xml:space="preserve">protocol included a </w:t>
      </w:r>
      <w:r w:rsidR="00A35133">
        <w:t xml:space="preserve">3D </w:t>
      </w:r>
      <w:r w:rsidR="00A35133" w:rsidRPr="00E63DBD">
        <w:t xml:space="preserve">T1-weighted </w:t>
      </w:r>
      <w:r w:rsidR="00A35133">
        <w:t>magnetization prepared rapid acquisition gradient echo (</w:t>
      </w:r>
      <w:r w:rsidR="00A35133" w:rsidRPr="00E63DBD">
        <w:t>MPRAGE</w:t>
      </w:r>
      <w:r w:rsidR="00A35133">
        <w:t>)</w:t>
      </w:r>
      <w:r w:rsidR="00A35133" w:rsidRPr="00E63DBD">
        <w:t xml:space="preserve"> sequence (repetition time</w:t>
      </w:r>
      <w:r w:rsidR="00A35133">
        <w:t xml:space="preserve"> (</w:t>
      </w:r>
      <w:r w:rsidR="00A35133" w:rsidRPr="00E63DBD">
        <w:t>TR</w:t>
      </w:r>
      <w:r w:rsidR="00A35133">
        <w:t xml:space="preserve">) </w:t>
      </w:r>
      <w:r w:rsidR="00A35133" w:rsidRPr="00E63DBD">
        <w:t>=</w:t>
      </w:r>
      <w:r w:rsidR="007E5C95">
        <w:t xml:space="preserve"> </w:t>
      </w:r>
      <w:r w:rsidR="00A35133" w:rsidRPr="00E63DBD">
        <w:t xml:space="preserve">1900 </w:t>
      </w:r>
      <w:proofErr w:type="spellStart"/>
      <w:r w:rsidR="00A35133" w:rsidRPr="00E63DBD">
        <w:t>ms</w:t>
      </w:r>
      <w:proofErr w:type="spellEnd"/>
      <w:r w:rsidR="00A35133" w:rsidRPr="00E63DBD">
        <w:t>, echo time</w:t>
      </w:r>
      <w:r w:rsidR="00A35133">
        <w:t xml:space="preserve"> (</w:t>
      </w:r>
      <w:r w:rsidR="00A35133" w:rsidRPr="00E63DBD">
        <w:t>TE</w:t>
      </w:r>
      <w:r w:rsidR="00A35133">
        <w:t xml:space="preserve">) </w:t>
      </w:r>
      <w:r w:rsidR="00A35133" w:rsidRPr="00E63DBD">
        <w:t>=</w:t>
      </w:r>
      <w:r w:rsidR="007E5C95">
        <w:t xml:space="preserve"> </w:t>
      </w:r>
      <w:r w:rsidR="00A35133" w:rsidRPr="00E63DBD">
        <w:t xml:space="preserve">3.03 </w:t>
      </w:r>
      <w:proofErr w:type="spellStart"/>
      <w:r w:rsidR="00A35133" w:rsidRPr="00E63DBD">
        <w:t>ms</w:t>
      </w:r>
      <w:proofErr w:type="spellEnd"/>
      <w:r w:rsidR="00A35133" w:rsidRPr="00E63DBD">
        <w:t xml:space="preserve">, isotropic resolution 1x1x1 mm),  a 3D </w:t>
      </w:r>
      <w:r w:rsidR="00A35133">
        <w:t>T2-weighted</w:t>
      </w:r>
      <w:r w:rsidR="00A35133" w:rsidRPr="00E63DBD">
        <w:t xml:space="preserve"> fluid-attenuated inversion recovery (FLAIR)</w:t>
      </w:r>
      <w:r w:rsidR="00A35133">
        <w:t xml:space="preserve"> </w:t>
      </w:r>
      <w:r w:rsidR="00A35133" w:rsidRPr="00E63DBD">
        <w:t>sequence</w:t>
      </w:r>
      <w:r w:rsidR="00A35133">
        <w:t xml:space="preserve"> (</w:t>
      </w:r>
      <w:r w:rsidR="00A35133" w:rsidRPr="00E63DBD">
        <w:t>TR</w:t>
      </w:r>
      <w:r w:rsidR="00A35133">
        <w:t xml:space="preserve"> = 6000 </w:t>
      </w:r>
      <w:proofErr w:type="spellStart"/>
      <w:r w:rsidR="00A35133">
        <w:t>ms</w:t>
      </w:r>
      <w:proofErr w:type="spellEnd"/>
      <w:r w:rsidR="00A35133">
        <w:t>,</w:t>
      </w:r>
      <w:r w:rsidR="00A35133" w:rsidDel="00B82F1D">
        <w:t xml:space="preserve"> </w:t>
      </w:r>
      <w:r w:rsidR="00A35133" w:rsidRPr="00E63DBD">
        <w:t xml:space="preserve">TE = 388 </w:t>
      </w:r>
      <w:proofErr w:type="spellStart"/>
      <w:r w:rsidR="00A35133" w:rsidRPr="00E63DBD">
        <w:t>ms</w:t>
      </w:r>
      <w:proofErr w:type="spellEnd"/>
      <w:r w:rsidR="00A35133" w:rsidRPr="00E63DBD">
        <w:t>, isotropic resolution 1x1x1 mm</w:t>
      </w:r>
      <w:r w:rsidR="00A35133">
        <w:t>)</w:t>
      </w:r>
      <w:r w:rsidR="002A301C">
        <w:t>,</w:t>
      </w:r>
      <w:r w:rsidR="00A35133">
        <w:t xml:space="preserve"> </w:t>
      </w:r>
      <w:r w:rsidR="007E5C95">
        <w:t>and a diffusion tensor imaging (DTI) sequence (TR</w:t>
      </w:r>
      <w:r w:rsidR="002A301C" w:rsidDel="002A301C">
        <w:t xml:space="preserve"> </w:t>
      </w:r>
      <w:r w:rsidR="007E5C95">
        <w:t>=</w:t>
      </w:r>
      <w:r w:rsidR="002A301C">
        <w:t xml:space="preserve"> </w:t>
      </w:r>
      <w:r w:rsidR="007E5C95">
        <w:t>7500</w:t>
      </w:r>
      <w:r w:rsidR="002A301C">
        <w:t xml:space="preserve"> </w:t>
      </w:r>
      <w:proofErr w:type="spellStart"/>
      <w:r w:rsidR="002A301C">
        <w:t>ms</w:t>
      </w:r>
      <w:proofErr w:type="spellEnd"/>
      <w:r w:rsidR="002A301C">
        <w:t xml:space="preserve">, TE = </w:t>
      </w:r>
      <w:r w:rsidR="007E5C95">
        <w:t xml:space="preserve">86 </w:t>
      </w:r>
      <w:proofErr w:type="spellStart"/>
      <w:r w:rsidR="007E5C95">
        <w:t>ms</w:t>
      </w:r>
      <w:proofErr w:type="spellEnd"/>
      <w:r w:rsidR="007E5C95">
        <w:t>, matrix 96x96, slice thickness 2.3 mm, 64 noncollinear directions, b-value=1000 s/mm</w:t>
      </w:r>
      <w:r w:rsidR="007E5C95" w:rsidRPr="00AA1D40">
        <w:rPr>
          <w:vertAlign w:val="superscript"/>
        </w:rPr>
        <w:t>2</w:t>
      </w:r>
      <w:r w:rsidR="007E5C95">
        <w:t xml:space="preserve">) </w:t>
      </w:r>
      <w:r w:rsidR="00A35133">
        <w:t xml:space="preserve">of the brain. </w:t>
      </w:r>
    </w:p>
    <w:p w14:paraId="50802E72" w14:textId="499004D9" w:rsidR="000177B6" w:rsidRDefault="000177B6" w:rsidP="007E5C95">
      <w:r>
        <w:t xml:space="preserve">All </w:t>
      </w:r>
      <w:r w:rsidR="002A301C">
        <w:t xml:space="preserve">patient </w:t>
      </w:r>
      <w:r>
        <w:t>MRI</w:t>
      </w:r>
      <w:r w:rsidR="002A301C">
        <w:t xml:space="preserve">s </w:t>
      </w:r>
      <w:r>
        <w:t xml:space="preserve">were </w:t>
      </w:r>
      <w:r w:rsidR="002A301C">
        <w:t xml:space="preserve">acquired </w:t>
      </w:r>
      <w:r>
        <w:t xml:space="preserve">on the same day as the clinical examination, </w:t>
      </w:r>
      <w:r w:rsidRPr="00EF3A61">
        <w:t>except for</w:t>
      </w:r>
      <w:r>
        <w:t xml:space="preserve"> three sessions, where there were</w:t>
      </w:r>
      <w:r w:rsidR="002A301C">
        <w:t xml:space="preserve"> time</w:t>
      </w:r>
      <w:r>
        <w:t xml:space="preserve"> intervals of one day (n=2) and 30 days (n=1)</w:t>
      </w:r>
      <w:r w:rsidR="002A301C">
        <w:t xml:space="preserve"> apart</w:t>
      </w:r>
      <w:r>
        <w:t>.</w:t>
      </w:r>
    </w:p>
    <w:p w14:paraId="709249C3" w14:textId="20F642CD" w:rsidR="00590739" w:rsidRPr="00B054F7" w:rsidRDefault="00590739" w:rsidP="00590739">
      <w:pPr>
        <w:pStyle w:val="Heading2"/>
        <w:rPr>
          <w:szCs w:val="24"/>
        </w:rPr>
      </w:pPr>
      <w:r w:rsidRPr="00B054F7">
        <w:rPr>
          <w:szCs w:val="24"/>
        </w:rPr>
        <w:t xml:space="preserve">Measurement of </w:t>
      </w:r>
      <w:r w:rsidR="008E458E" w:rsidRPr="00B054F7">
        <w:rPr>
          <w:szCs w:val="24"/>
        </w:rPr>
        <w:t>the LGN</w:t>
      </w:r>
      <w:r w:rsidR="00DE7C5A" w:rsidRPr="00B054F7">
        <w:rPr>
          <w:szCs w:val="24"/>
        </w:rPr>
        <w:t xml:space="preserve"> using the </w:t>
      </w:r>
      <w:proofErr w:type="spellStart"/>
      <w:r w:rsidR="00DE7C5A" w:rsidRPr="00B054F7">
        <w:rPr>
          <w:szCs w:val="24"/>
        </w:rPr>
        <w:t>MAGeT</w:t>
      </w:r>
      <w:proofErr w:type="spellEnd"/>
      <w:r w:rsidR="00DE7C5A" w:rsidRPr="00B054F7">
        <w:rPr>
          <w:szCs w:val="24"/>
        </w:rPr>
        <w:t xml:space="preserve"> brain algorithm</w:t>
      </w:r>
    </w:p>
    <w:p w14:paraId="2C85B25D" w14:textId="3516DC43" w:rsidR="00590739" w:rsidRDefault="00590739" w:rsidP="00590739">
      <w:r>
        <w:t>The</w:t>
      </w:r>
      <w:r w:rsidRPr="00E63DBD">
        <w:t xml:space="preserve"> </w:t>
      </w:r>
      <w:bookmarkStart w:id="0" w:name="OLE_LINK6"/>
      <w:bookmarkStart w:id="1" w:name="OLE_LINK7"/>
      <w:r w:rsidRPr="00E63DBD">
        <w:t>Multiple Automatically Generated Templates (</w:t>
      </w:r>
      <w:proofErr w:type="spellStart"/>
      <w:r w:rsidRPr="00E63DBD">
        <w:t>MAGeT</w:t>
      </w:r>
      <w:proofErr w:type="spellEnd"/>
      <w:r w:rsidRPr="00E63DBD">
        <w:t>)</w:t>
      </w:r>
      <w:bookmarkEnd w:id="0"/>
      <w:bookmarkEnd w:id="1"/>
      <w:r w:rsidRPr="00E63DBD">
        <w:t xml:space="preserve"> brain algorith</w:t>
      </w:r>
      <w:r>
        <w:t xml:space="preserve">m </w:t>
      </w:r>
      <w:r>
        <w:fldChar w:fldCharType="begin"/>
      </w:r>
      <w:r>
        <w:instrText xml:space="preserve"> ADDIN ZOTERO_ITEM CSL_CITATION {"citationID":"9kVJNvCW","properties":{"formattedCitation":"[1,2]","plainCitation":"[1,2]","noteIndex":0},"citationItems":[{"id":130,"uris":["http://zotero.org/users/4617869/items/NFKS9T94"],"uri":["http://zotero.org/users/4617869/items/NFKS9T94"],"itemData":{"id":130,"type":"article-journal","title":"The creation of a brain atlas for image guided neurosurgery using serial histological data","container-title":"NeuroImage","page":"359-376","volume":"30","issue":"2","source":"PubMed","abstract":"Digital and print brain atlases have been used with success to help in the planning of neurosurgical interventions. In this paper, a technique presented for the creation of a brain atlas of the basal ganglia and the thalamus derived from serial histological data. Photographs of coronal histological sections were digitized and anatomical structures were manually segmented. A slice-to-slice nonlinear registration technique was used to correct for spatial distortions introduced into the histological data set at the time of acquisition. Since the histological data were acquired without any anatomical reference (e.g., block-face imaging, post-mortem MRI), this registration technique was optimized to use an error metric which calculates a nonlinear transformation minimizing the mean distance between the segmented contours between adjacent pairs of slices in the data set. A voxel-by-voxel intensity correction field was also estimated for each slice to correct for lighting and staining inhomogeneity. The reconstructed three-dimensional (3D) histological volume can be viewed in transverse and sagittal directions in addition to the original coronal. Nonlinear transformations used to correct for spatial distortions of the histological data were applied to the segmented structure contours. These contours were then tessellated to create three-dimensional geometric objects representing the different anatomic regions in register with the histological volumes. This yields two alternate representations (one histological and one geometric) of the atlas. To register the atlas to a standard reference MR volume created from the average of 27 T1-weighted MR volumes, a pseudo-MRI was created by setting the intensity of each anatomical region defined in the geometric atlas to match the intensity of the corresponding region of the reference MR volume. This allowed the estimation of a 3D nonlinear transformation using a correlation based registration scheme to fit the atlas to the reference MRI. The result of this procedure is a contiguous 3D histological volume, a set of 3D objects defining the basal ganglia and thalamus, both of which are registered to a standard MRI data set, for use for neurosurgical planning.","DOI":"10.1016/j.neuroimage.2005.09.041","ISSN":"1053-8119","note":"PMID: 16406816","journalAbbreviation":"Neuroimage","language":"eng","author":[{"family":"Chakravarty","given":"M. Mallar"},{"family":"Bertrand","given":"Gilles"},{"family":"Hodge","given":"Charles P."},{"family":"Sadikot","given":"Abbas F."},{"family":"Collins","given":"D. Louis"}],"issued":{"date-parts":[["2006",4,1]]}},"label":"page"},{"id":133,"uris":["http://zotero.org/users/4617869/items/YMPKHBZ9"],"uri":["http://zotero.org/users/4617869/items/YMPKHBZ9"],"itemData":{"id":133,"type":"article-journal","title":"Performing label-fusion-based segmentation using multiple automatically generated templates","container-title":"Human Brain Mapping","page":"2635-2654","volume":"34","issue":"10","source":"PubMed","abstract":"Classically, model-based segmentation procedures match magnetic resonance imaging (MRI) volumes to an expertly labeled atlas using nonlinear registration. The accuracy of these techniques are limited due to atlas biases, misregistration, and resampling error. Multi-atlas-based approaches are used as a remedy and involve matching each subject to a number of manually labeled templates. This approach yields numerous independent segmentations that are fused using a voxel-by-voxel label-voting procedure. In this article, we demonstrate how the multi-atlas approach can be extended to work with input atlases that are unique and extremely time consuming to construct by generating a library of multiple automatically generated templates of different brains (MAGeT Brain). We demonstrate the efficacy of our method for the mouse and human using two different nonlinear registration algorithms (ANIMAL and ANTs). The input atlases consist a high-resolution mouse brain atlas and an atlas of the human basal ganglia and thalamus derived from serial histological data. MAGeT Brain segmentation improves the identification of the mouse anterior commissure (mean Dice Kappa values (κ = 0.801), but may be encountering a ceiling effect for hippocampal segmentations. Applying MAGeT Brain to human subcortical structures improves segmentation accuracy for all structures compared to regular model-based techniques (κ = 0.845, 0.752, and 0.861 for the striatum, globus pallidus, and thalamus, respectively). Experiments performed with three manually derived input templates suggest that MAGeT Brain can approach or exceed the accuracy of multi-atlas label-fusion segmentation (κ = 0.894, 0.815, and 0.895 for the striatum, globus pallidus, and thalamus, respectively).","DOI":"10.1002/hbm.22092","ISSN":"1097-0193","note":"PMID: 22611030\nPMCID: PMC4896505","journalAbbreviation":"Hum Brain Mapp","language":"eng","author":[{"family":"Chakravarty","given":"M. Mallar"},{"family":"Steadman","given":"Patrick"},{"family":"Eede","given":"Matthijs C.","non-dropping-particle":"van"},{"family":"Calcott","given":"Rebecca D."},{"family":"Gu","given":"Victoria"},{"family":"Shaw","given":"Philip"},{"family":"Raznahan","given":"Armin"},{"family":"Collins","given":"D. Louis"},{"family":"Lerch","given":"Jason P."}],"issued":{"date-parts":[["2013",10]]}},"label":"page"}],"schema":"https://github.com/citation-style-language/schema/raw/master/csl-citation.json"} </w:instrText>
      </w:r>
      <w:r>
        <w:fldChar w:fldCharType="separate"/>
      </w:r>
      <w:r>
        <w:rPr>
          <w:noProof/>
        </w:rPr>
        <w:t>[1,2]</w:t>
      </w:r>
      <w:r>
        <w:fldChar w:fldCharType="end"/>
      </w:r>
      <w:r w:rsidR="00DE7C5A">
        <w:t xml:space="preserve"> </w:t>
      </w:r>
      <w:r>
        <w:t>was used to segment the entire thalami and the different thalamic nuclei on MPRAGE MR</w:t>
      </w:r>
      <w:r w:rsidR="000755F1">
        <w:t>I</w:t>
      </w:r>
      <w:r>
        <w:t xml:space="preserve"> </w:t>
      </w:r>
      <w:r w:rsidR="000755F1">
        <w:t>scans</w:t>
      </w:r>
      <w:r>
        <w:t xml:space="preserve">. </w:t>
      </w:r>
      <w:r w:rsidRPr="00E63DBD">
        <w:t xml:space="preserve"> </w:t>
      </w:r>
      <w:proofErr w:type="spellStart"/>
      <w:r w:rsidRPr="00E63DBD">
        <w:t>MAGeT</w:t>
      </w:r>
      <w:proofErr w:type="spellEnd"/>
      <w:r w:rsidRPr="00E63DBD">
        <w:t xml:space="preserve"> uses an atlas derived from manually segmented serial histological data, containing de</w:t>
      </w:r>
      <w:r>
        <w:t>lineation</w:t>
      </w:r>
      <w:r w:rsidRPr="00E63DBD">
        <w:t xml:space="preserve"> of the thalamic nuclei, as per Hirai and Jone</w:t>
      </w:r>
      <w:r>
        <w:t>s</w:t>
      </w:r>
      <w:r w:rsidR="00DE7C5A">
        <w:t xml:space="preserve"> </w:t>
      </w:r>
      <w:r>
        <w:fldChar w:fldCharType="begin"/>
      </w:r>
      <w:r>
        <w:instrText xml:space="preserve"> ADDIN ZOTERO_ITEM CSL_CITATION {"citationID":"mVRvrhXx","properties":{"formattedCitation":"[3]","plainCitation":"[3]","noteIndex":0},"citationItems":[{"id":131,"uris":["http://zotero.org/users/4617869/items/3UEWW7NK"],"uri":["http://zotero.org/users/4617869/items/3UEWW7NK"],"itemData":{"id":131,"type":"article-journal","title":"A new parcellation of the human thalamus on the basis of histochemical staining","container-title":"Brain Research. Brain Research Reviews","page":"1-34","volume":"14","issue":"1","source":"PubMed","abstract":"Serial sections of human thalami, cut in the 3 standard planes, were stained in alternating series for Nissl substance, myelin, cytochrome oxidase and acetylcholinesterase. Nissl and acetylcholinesterase-stained sections revealed a parcellation of the nuclei that could be correlated with that used in the macaque monkey thalamus. Human nuclei were accordingly re-named using the monkey nomenclature. Apart from differences of size, the nuclei of the human and monkey thalamus are remarkably similar. In the human ventral nuclear complex there is a very clear histochemical distinction between nuclei which, on the basis of comparison with the monkey, probably form the pallidal, cerebellar and lemniscal relays to premotor, motor and somatic sensory cortex, respectively. In the human somatic sensory relay nucleus there is a further clear cytoarchitectonic distinction between components that are probably equivalent to the relays for deep and cutaneous receptors in the equivalent monkey nucleus.","note":"PMID: 2720229","journalAbbreviation":"Brain Res. Brain Res. Rev.","language":"eng","author":[{"family":"Hirai","given":"T."},{"family":"Jones","given":"E. G."}],"issued":{"date-parts":[["1989",3]]}}}],"schema":"https://github.com/citation-style-language/schema/raw/master/csl-citation.json"} </w:instrText>
      </w:r>
      <w:r>
        <w:fldChar w:fldCharType="separate"/>
      </w:r>
      <w:r>
        <w:rPr>
          <w:noProof/>
        </w:rPr>
        <w:t>[3]</w:t>
      </w:r>
      <w:r>
        <w:fldChar w:fldCharType="end"/>
      </w:r>
      <w:r w:rsidRPr="00E63DBD">
        <w:t xml:space="preserve">. It first customizes the atlas to a subset of participants, representative of the entire study population, using a nonlinear registration scheme. </w:t>
      </w:r>
    </w:p>
    <w:p w14:paraId="1AE57F91" w14:textId="77777777" w:rsidR="00EE7E7E" w:rsidRDefault="00590739" w:rsidP="00590739">
      <w:r w:rsidRPr="00E63DBD">
        <w:t>In our study</w:t>
      </w:r>
      <w:r>
        <w:t>,</w:t>
      </w:r>
      <w:r w:rsidRPr="00E63DBD">
        <w:t xml:space="preserve"> this representative subset </w:t>
      </w:r>
      <w:r>
        <w:t xml:space="preserve">was chosen in a manner consistent with best practices for the </w:t>
      </w:r>
      <w:r w:rsidRPr="00EE7E7E">
        <w:t>algorithm</w:t>
      </w:r>
      <w:r w:rsidR="00DE7C5A" w:rsidRPr="00EE7E7E">
        <w:t xml:space="preserve"> </w:t>
      </w:r>
      <w:r w:rsidRPr="00EE7E7E">
        <w:fldChar w:fldCharType="begin"/>
      </w:r>
      <w:r w:rsidRPr="00EE7E7E">
        <w:instrText xml:space="preserve"> ADDIN ZOTERO_ITEM CSL_CITATION {"citationID":"ZZIpedXE","properties":{"formattedCitation":"[4]","plainCitation":"[4]","noteIndex":0},"citationItems":[{"id":300,"uris":["http://zotero.org/users/4617869/items/EBP7FEPY"],"uri":["http://zotero.org/users/4617869/items/EBP7FEPY"],"itemData":{"id":300,"type":"article-journal","title":"Multi-atlas segmentation of the whole hippocampus and subfields using multiple automatically generated templates","container-title":"NeuroImage","page":"494-512","volume":"101","source":"PubMed","abstract":"INTRODUCTION: Advances in image segmentation of magnetic resonance images (MRI) have demonstrated that multi-atlas approaches improve segmentation over regular atlas-based approaches. These approaches often rely on a large number of manually segmented atlases (e.g. 30-80) that take significant time and expertise to produce. We present an algorithm, MAGeT-Brain (Multiple Automatically Generated Templates), for the automatic segmentation of the hippocampus that minimises the number of atlases needed whilst still achieving similar agreement to multi-atlas approaches. Thus, our method acts as a reliable multi-atlas approach when using special or hard-to-define atlases that are laborious to construct.\nMETHOD: MAGeT-Brain works by propagating atlas segmentations to a template library, formed from a subset of target images, via transformations estimated by nonlinear image registration. The resulting segmentations are then propagated to each target image and fused using a label fusion method. We conduct two separate Monte Carlo cross-validation experiments comparing MAGeT-Brain and basic multi-atlas whole hippocampal segmentation using differing atlas and template library sizes, and registration and label fusion methods. The first experiment is a 10-fold validation (per parameter setting) over 60 subjects taken from the Alzheimer's Disease Neuroimaging Database (ADNI), and the second is a five-fold validation over 81 subjects having had a first episode of psychosis. In both cases, automated segmentations are compared with manual segmentations following the Pruessner-protocol. Using the best settings found from these experiments, we segment 246 images of the ADNI1:Complete 1Yr 1.5 T dataset and compare these with segmentations from existing automated and semi-automated methods: FSL FIRST, FreeSurfer, MAPER, and SNT. Finally, we conduct a leave-one-out cross-validation of hippocampal subfield segmentation in standard 3T T1-weighted images, using five high-resolution manually segmented atlases (Winterburn et al., 2013).\nRESULTS: In the ADNI cross-validation, using 9 atlases MAGeT-Brain achieves a mean Dice's Similarity Coefficient (DSC) score of 0.869 with respect to manual whole hippocampus segmentations, and also exhibits significantly lower variability in DSC scores than multi-atlas segmentation. In the younger, psychosis dataset, MAGeT-Brain achieves a mean DSC score of 0.892 and produces volumes which agree with manual segmentation volumes better than those produced by the FreeSurfer and FSL FIRST methods (mean difference in volume: 80 mm(3), 1600 mm(3), and 800 mm(3), respectively). Similarly, in the ADNI1:Complete 1Yr 1.5 T dataset, MAGeT-Brain produces hippocampal segmentations well correlated (r&gt;0.85) with SNT semi-automated reference volumes within disease categories, and shows a conservative bias and a mean difference in volume of 250 mm(3) across the entire dataset, compared with FreeSurfer and FSL FIRST which both overestimate volume differences by 2600 mm(3) and 2800 mm(3) on average, respectively. Finally, MAGeT-Brain segments the CA1, CA4/DG and subiculum subfields on standard 3T T1-weighted resolution images with DSC overlap scores of 0.56, 0.65, and 0.58, respectively, relative to manual segmentations.\nCONCLUSION: We demonstrate that MAGeT-Brain produces consistent whole hippocampal segmentations using only 9 atlases, or fewer, with various hippocampal definitions, disease populations, and image acquisition types. Additionally, we show that MAGeT-Brain identifies hippocampal subfields in standard 3T T1-weighted images with overlap scores comparable to competing methods.","DOI":"10.1016/j.neuroimage.2014.04.054","ISSN":"1095-9572","note":"PMID: 24784800","journalAbbreviation":"Neuroimage","language":"eng","author":[{"family":"Pipitone","given":"Jon"},{"family":"Park","given":"Min Tae M."},{"family":"Winterburn","given":"Julie"},{"family":"Lett","given":"Tristram A."},{"family":"Lerch","given":"Jason P."},{"family":"Pruessner","given":"Jens C."},{"family":"Lepage","given":"Martin"},{"family":"Voineskos","given":"Aristotle N."},{"family":"Chakravarty","given":"M. Mallar"},{"literal":"Alzheimer's Disease Neuroimaging Initiative"}],"issued":{"date-parts":[["2014",11,1]]}}}],"schema":"https://github.com/citation-style-language/schema/raw/master/csl-citation.json"} </w:instrText>
      </w:r>
      <w:r w:rsidRPr="00EE7E7E">
        <w:fldChar w:fldCharType="separate"/>
      </w:r>
      <w:r w:rsidRPr="00EE7E7E">
        <w:rPr>
          <w:noProof/>
        </w:rPr>
        <w:t>[4]</w:t>
      </w:r>
      <w:r w:rsidRPr="00EE7E7E">
        <w:fldChar w:fldCharType="end"/>
      </w:r>
      <w:r w:rsidRPr="00EE7E7E">
        <w:t xml:space="preserve">, according to age, sex and - for patients - number </w:t>
      </w:r>
      <w:r w:rsidR="00EE7E7E">
        <w:t>of optic neuritis (ON)</w:t>
      </w:r>
      <w:r w:rsidRPr="00EE7E7E">
        <w:t xml:space="preserve">. It consisted of </w:t>
      </w:r>
      <w:r w:rsidR="00EE7E7E" w:rsidRPr="00EE7E7E">
        <w:t xml:space="preserve">23 </w:t>
      </w:r>
      <w:r w:rsidRPr="00EE7E7E">
        <w:t xml:space="preserve">NMOSD patients </w:t>
      </w:r>
      <w:r w:rsidR="00EE7E7E">
        <w:t xml:space="preserve">with the following characteristics: </w:t>
      </w:r>
      <w:r w:rsidR="00EE7E7E" w:rsidRPr="00EE7E7E">
        <w:t>21/23 (91.3%)</w:t>
      </w:r>
      <w:r w:rsidRPr="00EE7E7E">
        <w:t xml:space="preserve"> women, </w:t>
      </w:r>
      <w:r w:rsidRPr="00EE7E7E">
        <w:lastRenderedPageBreak/>
        <w:t xml:space="preserve">mean age: </w:t>
      </w:r>
      <w:r w:rsidR="00EE7E7E" w:rsidRPr="00EE7E7E">
        <w:t>48.7</w:t>
      </w:r>
      <w:r w:rsidRPr="00EE7E7E">
        <w:sym w:font="Symbol" w:char="F0B1"/>
      </w:r>
      <w:r w:rsidRPr="00EE7E7E">
        <w:t>15.</w:t>
      </w:r>
      <w:r w:rsidR="00EE7E7E" w:rsidRPr="00EE7E7E">
        <w:t>9</w:t>
      </w:r>
      <w:r w:rsidRPr="00EE7E7E">
        <w:t xml:space="preserve"> years, </w:t>
      </w:r>
      <w:r w:rsidR="00EE7E7E" w:rsidRPr="00EE7E7E">
        <w:t xml:space="preserve">all white, </w:t>
      </w:r>
      <w:r w:rsidRPr="00EE7E7E">
        <w:t>median number of attacks 3 (range 1-</w:t>
      </w:r>
      <w:r w:rsidR="00EE7E7E" w:rsidRPr="00EE7E7E">
        <w:t>22</w:t>
      </w:r>
      <w:r w:rsidRPr="00EE7E7E">
        <w:t xml:space="preserve">), </w:t>
      </w:r>
      <w:r w:rsidR="00EE7E7E" w:rsidRPr="00EE7E7E">
        <w:t xml:space="preserve">15/23 (65.2%) </w:t>
      </w:r>
      <w:r w:rsidRPr="00EE7E7E">
        <w:t>with</w:t>
      </w:r>
      <w:r w:rsidR="00EE7E7E" w:rsidRPr="00EE7E7E">
        <w:t xml:space="preserve"> previous</w:t>
      </w:r>
      <w:r w:rsidRPr="00EE7E7E">
        <w:t xml:space="preserve"> ON</w:t>
      </w:r>
      <w:r w:rsidR="00EE7E7E">
        <w:t xml:space="preserve">, median number of ON 1 (range: 1-14) </w:t>
      </w:r>
      <w:r w:rsidRPr="00EE7E7E">
        <w:t xml:space="preserve">and </w:t>
      </w:r>
      <w:r w:rsidR="00EE7E7E" w:rsidRPr="00EE7E7E">
        <w:t xml:space="preserve">eight healthy </w:t>
      </w:r>
      <w:r w:rsidRPr="00EE7E7E">
        <w:t xml:space="preserve">controls </w:t>
      </w:r>
      <w:r w:rsidR="00EE7E7E">
        <w:t xml:space="preserve">with the following characteristics: </w:t>
      </w:r>
      <w:r w:rsidR="00EE7E7E" w:rsidRPr="00EE7E7E">
        <w:t>6/8 (75%)</w:t>
      </w:r>
      <w:r w:rsidRPr="00EE7E7E">
        <w:t xml:space="preserve"> women, mean age: </w:t>
      </w:r>
      <w:r w:rsidR="00EE7E7E" w:rsidRPr="00EE7E7E">
        <w:t>39.8</w:t>
      </w:r>
      <w:r w:rsidRPr="00EE7E7E">
        <w:sym w:font="Symbol" w:char="F0B1"/>
      </w:r>
      <w:r w:rsidRPr="00EE7E7E">
        <w:t>1</w:t>
      </w:r>
      <w:r w:rsidR="00EE7E7E" w:rsidRPr="00EE7E7E">
        <w:t>6.1</w:t>
      </w:r>
      <w:r w:rsidRPr="00EE7E7E">
        <w:t xml:space="preserve"> years</w:t>
      </w:r>
      <w:r w:rsidR="00EE7E7E" w:rsidRPr="00EE7E7E">
        <w:t>, all white</w:t>
      </w:r>
      <w:r w:rsidRPr="00EE7E7E">
        <w:t xml:space="preserve">. </w:t>
      </w:r>
    </w:p>
    <w:p w14:paraId="00A73701" w14:textId="5ADAEAAB" w:rsidR="00590739" w:rsidRDefault="00EE7E7E" w:rsidP="00590739">
      <w:r>
        <w:t>We included MRI</w:t>
      </w:r>
      <w:r w:rsidR="0064391F">
        <w:t xml:space="preserve"> sessions </w:t>
      </w:r>
      <w:r>
        <w:t xml:space="preserve">from </w:t>
      </w:r>
      <w:r w:rsidR="0064391F">
        <w:t xml:space="preserve">all </w:t>
      </w:r>
      <w:r>
        <w:t xml:space="preserve">different time-points, according to the number of available MRIs at the different years (for patients: n=6 from baseline, n= 6 from year 1, n=5 from year 2, n=4 from year 3 and n=2 from year 4; for HC: n=4 from baseline, n=3 from year 1 and n=1 from year 2). </w:t>
      </w:r>
      <w:r w:rsidR="00590739" w:rsidRPr="00EE7E7E">
        <w:t>This</w:t>
      </w:r>
      <w:r w:rsidR="00590739" w:rsidRPr="00E63DBD">
        <w:t xml:space="preserve"> newly segmented subset </w:t>
      </w:r>
      <w:r>
        <w:t xml:space="preserve">of MRIs </w:t>
      </w:r>
      <w:r w:rsidR="00590739" w:rsidRPr="00E63DBD">
        <w:t xml:space="preserve">acted as a template library for the remaining </w:t>
      </w:r>
      <w:r w:rsidR="00590739">
        <w:t>participants,</w:t>
      </w:r>
      <w:r w:rsidR="00590739" w:rsidRPr="00E63DBD">
        <w:t xml:space="preserve"> to correct for the neuroanatomical variability of our study population and to average different sources of random error prior to the final segmentation</w:t>
      </w:r>
      <w:r w:rsidR="00DE7C5A">
        <w:t xml:space="preserve"> </w:t>
      </w:r>
      <w:r w:rsidR="00590739">
        <w:fldChar w:fldCharType="begin"/>
      </w:r>
      <w:r w:rsidR="00A0791B">
        <w:instrText xml:space="preserve"> ADDIN ZOTERO_ITEM CSL_CITATION {"citationID":"zSTBiHyG","properties":{"formattedCitation":"[5]","plainCitation":"[5]","noteIndex":0},"citationItems":[{"id":7,"uris":["http://www.mendeley.com/documents/?uuid=148b5d48-3e11-4df4-8799-74c54edd619e","http://zotero.org/users/4617869/items/7ZQWC82I"],"uri":["http://www.mendeley.com/documents/?uuid=148b5d48-3e11-4df4-8799-74c54edd619e","http://zotero.org/users/4617869/items/7ZQWC82I"],"itemData":{"id":7,"type":"article-journal","title":"Label-fusion-segmentation and deformation-based shape analysis of deep gray matter in multiple sclerosis: the impact of thalamic subnuclei on disability","container-title":"Human Brain Mapping","page":"4193-4203","volume":"35","issue":"8","source":"PubMed","abstract":"Deep gray matter (DGM) atrophy has been reported in patients with multiple sclerosis (MS) already at early stages of the disease and progresses throughout the disease course. We studied DGM volume and shape and their relation to disability in a large cohort of clinically well-described MS patients using new subcortical segmentation methods and shape analysis. Structural 3D magnetic resonance images were acquired at 1.5 T in 118 patients with relapsing remitting MS. Subcortical structures were segmented using a multiatlas technique that relies on the generation of an automatically generated template library. To localize focal morphological changes, shape analysis was performed by estimating the vertex-wise displacements each subject must undergo to deform to a template. Multiple linear regression analysis showed that the volume of specific thalamic nuclei (the ventral nuclear complex) together with normalized gray matter volume explains a relatively large proportion of expanded disability status scale (EDSS) variability. The deformation-based displacement analysis confirmed the relation between thalamic shape and EDSS scores. Furthermore, white matter lesion volume was found to relate to the shape of all subcortical structures. This novel method for the analysis of subcortical volume and shape allows depicting specific contributions of DGM abnormalities to neurological deficits in MS patients. The results stress the importance of ventral thalamic nuclei in this respect.","DOI":"10.1002/hbm.22470","ISSN":"1097-0193","note":"PMID: 24510715","title-short":"Label-fusion-segmentation and deformation-based shape analysis of deep gray matter in multiple sclerosis","journalAbbreviation":"Hum Brain Mapp","language":"eng","author":[{"family":"Magon","given":"Stefano"},{"family":"Chakravarty","given":"M. Mallar"},{"family":"Amann","given":"Michael"},{"family":"Weier","given":"Katrin"},{"family":"Naegelin","given":"Yvonne"},{"family":"Andelova","given":"Michaela"},{"family":"Radue","given":"Ernst-Wilhelm"},{"family":"Stippich","given":"Christoph"},{"family":"Lerch","given":"Jason P."},{"family":"Kappos","given":"Ludwig"},{"family":"Sprenger","given":"Till"}],"issued":{"date-parts":[["2014",8]]}}}],"schema":"https://github.com/citation-style-language/schema/raw/master/csl-citation.json"} </w:instrText>
      </w:r>
      <w:r w:rsidR="00590739">
        <w:fldChar w:fldCharType="separate"/>
      </w:r>
      <w:r w:rsidR="00590739">
        <w:t>[5]</w:t>
      </w:r>
      <w:r w:rsidR="00590739">
        <w:fldChar w:fldCharType="end"/>
      </w:r>
      <w:r w:rsidR="00590739" w:rsidRPr="00E63DBD">
        <w:t>.</w:t>
      </w:r>
    </w:p>
    <w:p w14:paraId="636F9EDF" w14:textId="5D64467D" w:rsidR="00B054F7" w:rsidRPr="00B054F7" w:rsidRDefault="00B054F7" w:rsidP="00B054F7">
      <w:pPr>
        <w:rPr>
          <w:b/>
        </w:rPr>
      </w:pPr>
      <w:r w:rsidRPr="00B054F7">
        <w:rPr>
          <w:b/>
        </w:rPr>
        <w:t xml:space="preserve">Diffusion tensor imaging (DTI) and probabilistic tractography of the </w:t>
      </w:r>
      <w:r w:rsidR="00A0791B">
        <w:rPr>
          <w:b/>
        </w:rPr>
        <w:t>optic radiations</w:t>
      </w:r>
    </w:p>
    <w:p w14:paraId="560CC262" w14:textId="100257DF" w:rsidR="00DE7C5A" w:rsidRPr="00A0791B" w:rsidRDefault="00B054F7" w:rsidP="00590739">
      <w:pPr>
        <w:rPr>
          <w:bCs/>
        </w:rPr>
      </w:pPr>
      <w:r w:rsidRPr="00B054F7">
        <w:rPr>
          <w:bCs/>
        </w:rPr>
        <w:t xml:space="preserve">Diffusion tensors on the DTI images were fitted by a linear-least square approach. </w:t>
      </w:r>
      <w:proofErr w:type="spellStart"/>
      <w:r w:rsidRPr="00B054F7">
        <w:rPr>
          <w:bCs/>
        </w:rPr>
        <w:t>MRtrix</w:t>
      </w:r>
      <w:proofErr w:type="spellEnd"/>
      <w:r w:rsidRPr="00B054F7">
        <w:rPr>
          <w:bCs/>
        </w:rPr>
        <w:t xml:space="preserve"> package </w:t>
      </w:r>
      <w:r w:rsidR="000373C1">
        <w:rPr>
          <w:bCs/>
        </w:rPr>
        <w:t>3.0</w:t>
      </w:r>
      <w:r w:rsidRPr="00B054F7">
        <w:rPr>
          <w:bCs/>
        </w:rPr>
        <w:t xml:space="preserve"> (J-D </w:t>
      </w:r>
      <w:proofErr w:type="spellStart"/>
      <w:r w:rsidRPr="00B054F7">
        <w:rPr>
          <w:bCs/>
        </w:rPr>
        <w:t>Tournier</w:t>
      </w:r>
      <w:proofErr w:type="spellEnd"/>
      <w:r w:rsidRPr="00B054F7">
        <w:rPr>
          <w:bCs/>
        </w:rPr>
        <w:t xml:space="preserve">; Brain Research Institute, Melbourne, Australia) was used to perform probabilistic tractography from seed to target mask </w:t>
      </w:r>
      <w:r w:rsidRPr="00B054F7">
        <w:rPr>
          <w:bCs/>
        </w:rPr>
        <w:fldChar w:fldCharType="begin"/>
      </w:r>
      <w:r w:rsidR="00A0791B">
        <w:rPr>
          <w:bCs/>
        </w:rPr>
        <w:instrText xml:space="preserve"> ADDIN ZOTERO_ITEM CSL_CITATION {"citationID":"a1n8ac9rkjc","properties":{"formattedCitation":"[6]","plainCitation":"[6]","noteIndex":0},"citationItems":[{"id":711,"uris":["http://zotero.org/users/4617869/items/NHL9ULCU"],"uri":["http://zotero.org/users/4617869/items/NHL9ULCU"],"itemData":{"id":711,"type":"article-journal","title":"Robust determination of the fibre orientation distribution in diffusion MRI: non-negativity constrained super-resolved spherical deconvolution","container-title":"NeuroImage","page":"1459-1472","volume":"35","issue":"4","source":"PubMed","abstract":"Diffusion-weighted (DW) MR images contain information about the orientation of brain white matter fibres that potentially can be used to study human brain connectivity in vivo using tractography techniques. Currently, the diffusion tensor model is widely used to extract fibre directions from DW-MRI data, but fails in regions containing multiple fibre orientations. The spherical deconvolution technique has recently been proposed to address this limitation. It provides an estimate of the fibre orientation distribution (FOD) by assuming the DW signal measured from any fibre bundle is adequately described by a single response function. However, the deconvolution is ill-conditioned and susceptible to noise contamination. This tends to introduce artefactual negative regions in the FOD, which are clearly physically impossible. In this study, the introduction of a constraint on such negative regions is proposed to improve the conditioning of the spherical deconvolution. This approach is shown to provide FOD estimates that are robust to noise whilst preserving angular resolution. The approach also permits the use of super-resolution, whereby more FOD parameters are estimated than were actually measured, improving the angular resolution of the results. The method provides much better defined fibre orientation estimates, and allows orientations to be resolved that are separated by smaller angles than previously possible. This should allow tractography algorithms to be designed that are able to track reliably through crossing fibre regions.","DOI":"10.1016/j.neuroimage.2007.02.016","ISSN":"1053-8119","note":"PMID: 17379540","title-short":"Robust determination of the fibre orientation distribution in diffusion MRI","journalAbbreviation":"Neuroimage","language":"eng","author":[{"family":"Tournier","given":"J.-Donald"},{"family":"Calamante","given":"Fernando"},{"family":"Connelly","given":"Alan"}],"issued":{"date-parts":[["2007",5,1]]}}}],"schema":"https://github.com/citation-style-language/schema/raw/master/csl-citation.json"} </w:instrText>
      </w:r>
      <w:r w:rsidRPr="00B054F7">
        <w:rPr>
          <w:bCs/>
        </w:rPr>
        <w:fldChar w:fldCharType="separate"/>
      </w:r>
      <w:r w:rsidR="00A0791B">
        <w:rPr>
          <w:bCs/>
          <w:lang w:val="en-GB"/>
        </w:rPr>
        <w:t>[6]</w:t>
      </w:r>
      <w:r w:rsidRPr="00B054F7">
        <w:rPr>
          <w:bCs/>
        </w:rPr>
        <w:fldChar w:fldCharType="end"/>
      </w:r>
      <w:r w:rsidRPr="00B054F7">
        <w:rPr>
          <w:bCs/>
        </w:rPr>
        <w:t xml:space="preserve">. Fiber orientation distribution was estimated with constrained spherical deconvolution and mapped with a maximum harmonic order of 6. The OR reconstruction pipeline was modified from the Martinez-Heras et al. and Lim et al. pipeline. The </w:t>
      </w:r>
      <w:proofErr w:type="spellStart"/>
      <w:r w:rsidRPr="00B054F7">
        <w:rPr>
          <w:bCs/>
        </w:rPr>
        <w:t>Juelich</w:t>
      </w:r>
      <w:proofErr w:type="spellEnd"/>
      <w:r w:rsidRPr="00B054F7">
        <w:rPr>
          <w:bCs/>
        </w:rPr>
        <w:t xml:space="preserve"> probabilistic atlas was used to generate binary masks of</w:t>
      </w:r>
      <w:r w:rsidR="00A0791B">
        <w:rPr>
          <w:bCs/>
        </w:rPr>
        <w:t xml:space="preserve"> the </w:t>
      </w:r>
      <w:r w:rsidRPr="00B054F7">
        <w:rPr>
          <w:bCs/>
        </w:rPr>
        <w:t xml:space="preserve">LGN as the seed region of interest (ROI) and </w:t>
      </w:r>
      <w:r w:rsidR="00A0791B">
        <w:rPr>
          <w:bCs/>
        </w:rPr>
        <w:t xml:space="preserve">the </w:t>
      </w:r>
      <w:r w:rsidRPr="00B054F7">
        <w:rPr>
          <w:bCs/>
        </w:rPr>
        <w:t xml:space="preserve">primary visual cortex (V1) as the target ROI. For binary exclusion masks, a midline sagittal exclusion plane, a termination coronal plane 20 mm posterior to the temporal pole, and a gray matter segmentation mask were created in the 3D coordinate system of the Montreal Neurological Institute (MNI-152). These were subsequently registered to individual DTI space, serving as a binary exclusion ROI for tractography. Ten thousand unidirectional streamlines from the LGN to V1 were generated (fractional anisotropy (FA) threshold: 0.1; curvature threshold: 25%; step size: 0.2 mm) for each OR. Streamlines were </w:t>
      </w:r>
      <w:proofErr w:type="spellStart"/>
      <w:r w:rsidRPr="00B054F7">
        <w:rPr>
          <w:bCs/>
        </w:rPr>
        <w:t>thres</w:t>
      </w:r>
      <w:r w:rsidR="00AA1D40">
        <w:rPr>
          <w:bCs/>
        </w:rPr>
        <w:t>h</w:t>
      </w:r>
      <w:r w:rsidRPr="00B054F7">
        <w:rPr>
          <w:bCs/>
        </w:rPr>
        <w:t>olded</w:t>
      </w:r>
      <w:proofErr w:type="spellEnd"/>
      <w:r w:rsidRPr="00B054F7">
        <w:rPr>
          <w:bCs/>
        </w:rPr>
        <w:t xml:space="preserve"> for 25% of the maximum value. Resulting </w:t>
      </w:r>
      <w:r w:rsidRPr="00B054F7">
        <w:rPr>
          <w:bCs/>
        </w:rPr>
        <w:lastRenderedPageBreak/>
        <w:t xml:space="preserve">fibers were transferred to the </w:t>
      </w:r>
      <w:proofErr w:type="spellStart"/>
      <w:r w:rsidRPr="00B054F7">
        <w:rPr>
          <w:bCs/>
        </w:rPr>
        <w:t>Vistalab</w:t>
      </w:r>
      <w:proofErr w:type="spellEnd"/>
      <w:r w:rsidRPr="00B054F7">
        <w:rPr>
          <w:bCs/>
        </w:rPr>
        <w:t xml:space="preserve"> environment (vistalab.stanford.edu/, </w:t>
      </w:r>
      <w:proofErr w:type="spellStart"/>
      <w:r w:rsidRPr="00B054F7">
        <w:rPr>
          <w:bCs/>
        </w:rPr>
        <w:t>Vistalab</w:t>
      </w:r>
      <w:proofErr w:type="spellEnd"/>
      <w:r w:rsidRPr="00B054F7">
        <w:rPr>
          <w:bCs/>
        </w:rPr>
        <w:t xml:space="preserve">, Stanford University, Stanford, CA) to compute tract profiles of weighted mean DTI values of FA, mean diffusivity (MD), radial diffusivity (RD), and axial diffusivity (AD) at 50 equally spaced positions. The mean of these 50 positions was used in the analysis. </w:t>
      </w:r>
    </w:p>
    <w:p w14:paraId="29C61891" w14:textId="6D3327C5" w:rsidR="00DE269C" w:rsidRPr="000E1DE8" w:rsidRDefault="00DE269C" w:rsidP="00DE269C">
      <w:pPr>
        <w:rPr>
          <w:b/>
          <w:sz w:val="26"/>
          <w:szCs w:val="26"/>
        </w:rPr>
      </w:pPr>
      <w:r w:rsidRPr="000E1DE8">
        <w:rPr>
          <w:b/>
          <w:sz w:val="26"/>
          <w:szCs w:val="26"/>
        </w:rPr>
        <w:t>Op</w:t>
      </w:r>
      <w:r>
        <w:rPr>
          <w:b/>
          <w:sz w:val="26"/>
          <w:szCs w:val="26"/>
        </w:rPr>
        <w:t>tical coherence tomography</w:t>
      </w:r>
      <w:r w:rsidR="00DE7C5A">
        <w:rPr>
          <w:b/>
          <w:sz w:val="26"/>
          <w:szCs w:val="26"/>
        </w:rPr>
        <w:t xml:space="preserve"> scanning protocol</w:t>
      </w:r>
    </w:p>
    <w:p w14:paraId="7E02D829" w14:textId="77777777" w:rsidR="00DE7C5A" w:rsidRDefault="00DE269C" w:rsidP="00DE269C">
      <w:r w:rsidRPr="00E63DBD">
        <w:t>Retinal imaging was performed using a Heidelberg Engineerin</w:t>
      </w:r>
      <w:r>
        <w:t xml:space="preserve">g </w:t>
      </w:r>
      <w:proofErr w:type="spellStart"/>
      <w:r>
        <w:t>Spectralis</w:t>
      </w:r>
      <w:proofErr w:type="spellEnd"/>
      <w:r>
        <w:t xml:space="preserve"> spectral domain optical coherence tomography (OCT; </w:t>
      </w:r>
      <w:r w:rsidRPr="00E63DBD">
        <w:t xml:space="preserve">Heidelberg Engineering, Heidelberg, Germany), with </w:t>
      </w:r>
      <w:r>
        <w:t xml:space="preserve">ART (automatic real-time) </w:t>
      </w:r>
      <w:r w:rsidRPr="00E63DBD">
        <w:t>function for image averaging</w:t>
      </w:r>
      <w:r w:rsidR="00DE7C5A">
        <w:t xml:space="preserve">. We did not use </w:t>
      </w:r>
      <w:r w:rsidRPr="00E63DBD">
        <w:t xml:space="preserve">pupil dilation. </w:t>
      </w:r>
    </w:p>
    <w:p w14:paraId="2FA93B95" w14:textId="6036EC91" w:rsidR="00DE269C" w:rsidRDefault="00DE269C" w:rsidP="00DE269C">
      <w:r>
        <w:t xml:space="preserve">We report the OCT </w:t>
      </w:r>
      <w:r w:rsidRPr="00E63DBD">
        <w:t>acquisition settings and scanning protocol according to the APOSTEL recommendations</w:t>
      </w:r>
      <w:r w:rsidR="00DE7C5A">
        <w:t xml:space="preserve"> </w:t>
      </w:r>
      <w:r w:rsidR="007A4D26">
        <w:fldChar w:fldCharType="begin"/>
      </w:r>
      <w:r w:rsidR="00A0791B">
        <w:instrText xml:space="preserve"> ADDIN ZOTERO_ITEM CSL_CITATION {"citationID":"Gi5gfhDM","properties":{"formattedCitation":"[7]","plainCitation":"[7]","noteIndex":0},"citationItems":[{"id":105,"uris":["http://zotero.org/users/4617869/items/QK8TRMQG"],"uri":["http://zotero.org/users/4617869/items/QK8TRMQG"],"itemData":{"id":105,"type":"article-journal","title":"The APOSTEL recommendations for reporting quantitative optical coherence tomography studies","container-title":"Neurology","page":"2303-2309","volume":"86","issue":"24","source":"PubMed","abstract":"OBJECTIVE: To develop consensus recommendations for reporting of quantitative optical coherence tomography (OCT) study results.\nMETHODS: A panel of experienced OCT researchers (including 11 neurologists, 2 ophthalmologists, and 2 neuroscientists) discussed requirements for performing and reporting quantitative analyses of retinal morphology and developed a list of initial recommendations based on experience and previous studies. The list of recommendations was subsequently revised during several meetings of the coordinating group.\nRESULTS: We provide a 9-point checklist encompassing aspects deemed relevant when reporting quantitative OCT studies. The areas covered are study protocol, acquisition device, acquisition settings, scanning protocol, funduscopic imaging, postacquisition data selection, postacquisition data analysis, recommended nomenclature, and statistical analysis.\nCONCLUSIONS: The Advised Protocol for OCT Study Terminology and Elements recommendations include core items to standardize and improve quality of reporting in quantitative OCT studies. The recommendations will make reporting of quantitative OCT studies more consistent and in line with existing standards for reporting research in other biomedical areas. The recommendations originated from expert consensus and thus represent Class IV evidence. They will need to be regularly adjusted according to new insights and practices.","DOI":"10.1212/WNL.0000000000002774","ISSN":"1526-632X","note":"PMID: 27225223\nPMCID: PMC4909557","journalAbbreviation":"Neurology","language":"eng","author":[{"family":"Cruz-Herranz","given":"Andrés"},{"family":"Balk","given":"Lisanne J."},{"family":"Oberwahrenbrock","given":"Timm"},{"family":"Saidha","given":"Shiv"},{"family":"Martinez-Lapiscina","given":"Elena H."},{"family":"Lagreze","given":"Wolf A."},{"family":"Schuman","given":"Joel S."},{"family":"Villoslada","given":"Pablo"},{"family":"Calabresi","given":"Peter"},{"family":"Balcer","given":"Laura"},{"family":"Petzold","given":"Axel"},{"family":"Green","given":"Ari J."},{"family":"Paul","given":"Friedemann"},{"family":"Brandt","given":"Alexander U."},{"family":"Albrecht","given":"Philipp"},{"literal":"IMSVISUAL consortium"}],"issued":{"date-parts":[["2016",6,14]]}}}],"schema":"https://github.com/citation-style-language/schema/raw/master/csl-citation.json"} </w:instrText>
      </w:r>
      <w:r w:rsidR="007A4D26">
        <w:fldChar w:fldCharType="separate"/>
      </w:r>
      <w:r w:rsidR="00A0791B">
        <w:rPr>
          <w:noProof/>
        </w:rPr>
        <w:t>[7]</w:t>
      </w:r>
      <w:r w:rsidR="007A4D26">
        <w:fldChar w:fldCharType="end"/>
      </w:r>
      <w:r w:rsidR="00DE7C5A">
        <w:t xml:space="preserve">: </w:t>
      </w:r>
    </w:p>
    <w:p w14:paraId="4067C2C3" w14:textId="3C836362" w:rsidR="000373C1" w:rsidRDefault="00DE269C" w:rsidP="00590739">
      <w:r w:rsidRPr="00E63DBD">
        <w:t>The peripapillary retinal nerve fiber layer (</w:t>
      </w:r>
      <w:proofErr w:type="spellStart"/>
      <w:r w:rsidRPr="00E63DBD">
        <w:t>pRNFL</w:t>
      </w:r>
      <w:proofErr w:type="spellEnd"/>
      <w:r w:rsidRPr="00E63DBD">
        <w:t>) was measured using 3.4-mm ring scans around the optic nerve head (12°, 1536 A-scans,</w:t>
      </w:r>
      <w:r>
        <w:t xml:space="preserve"> 9</w:t>
      </w:r>
      <w:r w:rsidRPr="00E63DBD">
        <w:t>≤</w:t>
      </w:r>
      <w:r w:rsidRPr="00AB48C3">
        <w:t xml:space="preserve"> </w:t>
      </w:r>
      <w:r>
        <w:t>ART</w:t>
      </w:r>
      <w:r w:rsidRPr="00E63DBD">
        <w:t xml:space="preserve"> ≤100). The combined ganglion cell and inner plexiform layer (GCIPL) volume was measured using a </w:t>
      </w:r>
      <w:r w:rsidR="00053B77">
        <w:t>5</w:t>
      </w:r>
      <w:r w:rsidRPr="00E63DBD">
        <w:t xml:space="preserve">-mm diameter </w:t>
      </w:r>
      <w:r w:rsidR="00053B77">
        <w:t xml:space="preserve">donut </w:t>
      </w:r>
      <w:r w:rsidRPr="00E63DBD">
        <w:t>cylinder around the fovea</w:t>
      </w:r>
      <w:r>
        <w:t xml:space="preserve"> </w:t>
      </w:r>
      <w:r w:rsidRPr="00E63DBD">
        <w:t xml:space="preserve">from a macular volume scan (25°x30°, 61 vertical B-scans, 768 A-scans per B-scan, ART=15). </w:t>
      </w:r>
      <w:r w:rsidR="000373C1">
        <w:t xml:space="preserve">Quality </w:t>
      </w:r>
      <w:r w:rsidR="00053B77">
        <w:t>control</w:t>
      </w:r>
      <w:r w:rsidR="000373C1">
        <w:t xml:space="preserve"> of the scans was performed using the OSCAR-IB Criteria </w:t>
      </w:r>
      <w:r w:rsidR="000373C1">
        <w:fldChar w:fldCharType="begin"/>
      </w:r>
      <w:r w:rsidR="000373C1">
        <w:instrText xml:space="preserve"> ADDIN ZOTERO_ITEM CSL_CITATION {"citationID":"O7WhVmh4","properties":{"formattedCitation":"[8]","plainCitation":"[8]","noteIndex":0},"citationItems":[{"id":107,"uris":["http://zotero.org/users/4617869/items/XRCQMC4R"],"uri":["http://zotero.org/users/4617869/items/XRCQMC4R"],"itemData":{"id":107,"type":"article-journal","title":"The OSCAR-IB consensus criteria for retinal OCT quality assessment","container-title":"PloS One","page":"e34823","volume":"7","issue":"4","source":"PubMed","abstract":"BACKGROUND: Retinal optical coherence tomography (OCT) is an imaging biomarker for neurodegeneration in multiple sclerosis (MS). In order to become validated as an outcome measure in multicenter studies, reliable quality control (QC) criteria with high inter-rater agreement are required.\nMETHODS/PRINCIPAL FINDINGS: A prospective multicentre study on developing consensus QC criteria for retinal OCT in MS: (1) a literature review on OCT QC criteria; (2) application of these QC criteria to a training set of 101 retinal OCT scans from patients with MS; (3) kappa statistics for inter-rater agreement; (4) identification reasons for inter-rater disagreement; (5) development of new consensus QC criteria; (6) testing of the new QC criteria on the training set and (7) prospective validation on a new set of 159 OCT scans from patients with MS. The inter-rater agreement for acceptable scans among OCT readers (n = 3) was moderate (kappa 0·45) based on the non-validated QC criteria which were entirely based on the ophthalmological literature. A new set of QC criteria was developed based on recognition of: (O) obvious problems, (S) poor signal strength, (C) centration of scan, (A) algorithm failure, (R) retinal pathology other than MS related, (I) illumination and (B) beam placement. Adhering to these OSCAR-IB QC criteria increased the inter-rater agreement to kappa from moderate to substantial (0.61 training set and 0.61 prospective validation).\nCONCLUSIONS: This study presents the first validated consensus QC criteria for retinal OCT reading in MS. The high inter-rater agreement suggests the OSCAR-IB QC criteria to be considered in the context of multicentre studies and trials in MS.","DOI":"10.1371/journal.pone.0034823","ISSN":"1932-6203","note":"PMID: 22536333\nPMCID: PMC3334941","journalAbbreviation":"PLoS ONE","language":"eng","author":[{"family":"Tewarie","given":"Prejaas"},{"family":"Balk","given":"Lisanne"},{"family":"Costello","given":"Fiona"},{"family":"Green","given":"Ari"},{"family":"Martin","given":"Roland"},{"family":"Schippling","given":"Sven"},{"family":"Petzold","given":"Axel"}],"issued":{"date-parts":[["2012"]]}}}],"schema":"https://github.com/citation-style-language/schema/raw/master/csl-citation.json"} </w:instrText>
      </w:r>
      <w:r w:rsidR="000373C1">
        <w:fldChar w:fldCharType="separate"/>
      </w:r>
      <w:r w:rsidR="000373C1">
        <w:rPr>
          <w:noProof/>
        </w:rPr>
        <w:t>[8]</w:t>
      </w:r>
      <w:r w:rsidR="000373C1">
        <w:fldChar w:fldCharType="end"/>
      </w:r>
      <w:r w:rsidR="000373C1">
        <w:t xml:space="preserve"> and a total of 13 ring scans and 15 macula scans were rejected. </w:t>
      </w:r>
    </w:p>
    <w:p w14:paraId="6FAFD78B" w14:textId="01FC7C90" w:rsidR="00590739" w:rsidRDefault="009210F5" w:rsidP="00590739">
      <w:r>
        <w:t>The s</w:t>
      </w:r>
      <w:r w:rsidR="00DE269C" w:rsidRPr="00E63DBD">
        <w:t xml:space="preserve">egmentation of </w:t>
      </w:r>
      <w:r w:rsidR="00DE269C">
        <w:t xml:space="preserve">the </w:t>
      </w:r>
      <w:proofErr w:type="spellStart"/>
      <w:r w:rsidR="00DE269C">
        <w:t>pRNFL</w:t>
      </w:r>
      <w:proofErr w:type="spellEnd"/>
      <w:r w:rsidR="00DE269C" w:rsidRPr="00E63DBD">
        <w:t xml:space="preserve"> and </w:t>
      </w:r>
      <w:r w:rsidR="00DE269C">
        <w:t xml:space="preserve">the </w:t>
      </w:r>
      <w:r w:rsidR="00DE269C" w:rsidRPr="00E63DBD">
        <w:t>intraretinal layers in the macular scan was performed us</w:t>
      </w:r>
      <w:r w:rsidR="00DE269C">
        <w:t xml:space="preserve">ing </w:t>
      </w:r>
      <w:r>
        <w:t xml:space="preserve">the </w:t>
      </w:r>
      <w:r w:rsidR="00DE269C">
        <w:t xml:space="preserve">software </w:t>
      </w:r>
      <w:r>
        <w:t>“SAMIRIX”, as previously described by our group</w:t>
      </w:r>
      <w:r w:rsidR="00053B77">
        <w:t xml:space="preserve"> </w:t>
      </w:r>
      <w:r w:rsidR="00053B77">
        <w:fldChar w:fldCharType="begin"/>
      </w:r>
      <w:r w:rsidR="00053B77">
        <w:instrText xml:space="preserve"> ADDIN ZOTERO_ITEM CSL_CITATION {"citationID":"VRd2sxpN","properties":{"formattedCitation":"[9]","plainCitation":"[9]","noteIndex":0},"citationItems":[{"id":727,"uris":["http://zotero.org/users/4617869/items/ICZHJWLU"],"uri":["http://zotero.org/users/4617869/items/ICZHJWLU"],"itemData":{"id":727,"type":"article-journal","title":"Normative data and minimally detectable change for inner retinal layer thicknesses using a semi-automated OCT image segmentation pipeline","container-title":"Frontiers in Neurology","volume":"10","source":"Frontiers","abstract":"Neurodegenerative and neuroinflammatory diseases regularly cause optic nerve and retinal damage. Evaluating retinal changes using optical coherence tomography (OCT) in diseases like multiple sclerosis has thus become increasingly relevant. However, intraretinal segmentation, a necessary step for interpreting retinal changes in the context of these diseases, is not standardized and often requires manual correction. Here we present a semi-automatic intraretinal layer segmentation pipeline and establish normative values for retinal layer thicknesses at the macula, including dependencies on age, sex, and refractive error. Spectral domain OCT macular 3D volume scans were obtained from healthy participants using a Heidelberg Engineering Spectralis OCT. A semi-automated segmentation tool (SAMIRIX) based on an interchangeable third-party segmentation algorithm was developed and employed for segmentation, correction, and thickness computation of intraretinal layers. Normative data is reported from a 6 mm Early Treatment Diabetic Retinopathy Study (ETDRS) circle around the fovea. An interactive toolbox for the normative database allows surveying for additional normative data. We cross-sectionally evaluated data from 218 healthy volunteers (144 females/74 males, age 36.5±12.3 years, range 18-69 years). Average macular thickness (MT) was 313.70±12.02 μm, macular retinal nerve fiber layer thickness (mRNFL) 39.53±3.57 μm, ganglion cell and inner plexiform layer thickness (GCIPL) 70.81±4.87 μm, and inner nuclear layer thickness (INL) 35.93±2.34 μm. All retinal layer thicknesses decreased with age. MT and GCIPL were associated with sex, with males showing higher thicknesses. Layer thicknesses were also positively associated with each other. Repeated-measurement reliability for the manual correction of automatic intraretinal segmentation results was excellent, with intra-class correlation coefficient greater than 0.99 for all layers.. The SAMIRIX toolbox can simplify intraretinal segmentation in research applications, and the normative data application may serve as an expandable reference for studies, in which normative data cannot be otherwise obtained.","URL":"https://www.frontiersin.org/articles/10.3389/fneur.2019.01117/abstract","DOI":"10.3389/fneur.2019.01117","ISSN":"1664-2295","journalAbbreviation":"Front. Neurol.","language":"English","author":[{"family":"Motamedi","given":"Seyedamirhosein"},{"family":"Gawlik","given":"Kay"},{"family":"Ayadi","given":"Noah"},{"family":"Zimmermann","given":"Hanna Gwendolyn"},{"family":"Asseyer","given":"Susanna"},{"family":"Bereuter","given":"Charlotte"},{"family":"Mikolajczak","given":"Janine"},{"family":"Paul","given":"Friedemann"},{"family":"Kadas","given":"Ella-Maria"},{"family":"Brandt","given":"Alexander Ulrich"}],"issued":{"date-parts":[["2019"]]},"accessed":{"date-parts":[["2019",10,29]]}}}],"schema":"https://github.com/citation-style-language/schema/raw/master/csl-citation.json"} </w:instrText>
      </w:r>
      <w:r w:rsidR="00053B77">
        <w:fldChar w:fldCharType="separate"/>
      </w:r>
      <w:r w:rsidR="00053B77">
        <w:rPr>
          <w:noProof/>
        </w:rPr>
        <w:t>[9]</w:t>
      </w:r>
      <w:r w:rsidR="00053B77">
        <w:fldChar w:fldCharType="end"/>
      </w:r>
      <w:r>
        <w:t>. All segmentations were manually corrected</w:t>
      </w:r>
      <w:r w:rsidR="00DE269C" w:rsidRPr="00E63DBD">
        <w:t xml:space="preserve"> by one experienced rater</w:t>
      </w:r>
      <w:r w:rsidR="00DE269C">
        <w:t xml:space="preserve"> (F.C.O.)</w:t>
      </w:r>
      <w:r w:rsidR="00DE269C" w:rsidRPr="00E63DBD">
        <w:t xml:space="preserve">. </w:t>
      </w:r>
    </w:p>
    <w:p w14:paraId="5638F389" w14:textId="636C68EB" w:rsidR="00FB74A0" w:rsidRDefault="00FB74A0" w:rsidP="00FB74A0">
      <w:pPr>
        <w:rPr>
          <w:b/>
          <w:bCs/>
          <w:sz w:val="26"/>
          <w:szCs w:val="26"/>
        </w:rPr>
      </w:pPr>
      <w:r w:rsidRPr="00FB74A0">
        <w:rPr>
          <w:b/>
          <w:bCs/>
          <w:sz w:val="26"/>
          <w:szCs w:val="26"/>
        </w:rPr>
        <w:t xml:space="preserve">RESULTS </w:t>
      </w:r>
    </w:p>
    <w:p w14:paraId="77B6A419" w14:textId="42D7C4FC" w:rsidR="00FB74A0" w:rsidRDefault="00FB74A0" w:rsidP="00FB74A0">
      <w:pPr>
        <w:rPr>
          <w:b/>
          <w:bCs/>
          <w:sz w:val="26"/>
          <w:szCs w:val="26"/>
        </w:rPr>
      </w:pPr>
      <w:r>
        <w:rPr>
          <w:b/>
          <w:bCs/>
          <w:sz w:val="26"/>
          <w:szCs w:val="26"/>
        </w:rPr>
        <w:t>Longitudinal course of LGN volume in four patients with and four patients without new ON during follow-up</w:t>
      </w:r>
    </w:p>
    <w:p w14:paraId="0D504800" w14:textId="205AF8EA" w:rsidR="00FB74A0" w:rsidRPr="00FB74A0" w:rsidRDefault="00FB74A0" w:rsidP="00FB74A0">
      <w:r w:rsidRPr="00FB74A0">
        <w:t xml:space="preserve">After </w:t>
      </w:r>
      <w:r>
        <w:t xml:space="preserve">showing a reduction in </w:t>
      </w:r>
      <w:r w:rsidR="00AA1D40">
        <w:t xml:space="preserve">total </w:t>
      </w:r>
      <w:r>
        <w:t xml:space="preserve">LGN volume in four patients that suffered a new ON episode during the study, we also examined the course of LGN volume in four patients that did not show new ON episodes during follow-up. We chose these patients to be as well </w:t>
      </w:r>
      <w:r>
        <w:lastRenderedPageBreak/>
        <w:t xml:space="preserve">matched as possible to the four patients with new ON. The characteristics of these eight patients are summarized in the supplementary table S1. </w:t>
      </w:r>
    </w:p>
    <w:p w14:paraId="3ADEDFB2" w14:textId="5414A3CC" w:rsidR="00FB74A0" w:rsidRPr="004662C1" w:rsidRDefault="00FB74A0" w:rsidP="00FB74A0">
      <w:pPr>
        <w:rPr>
          <w:b/>
          <w:bCs/>
          <w:shd w:val="clear" w:color="auto" w:fill="FFFFFF"/>
        </w:rPr>
      </w:pPr>
      <w:r w:rsidRPr="004662C1">
        <w:rPr>
          <w:b/>
          <w:bCs/>
        </w:rPr>
        <w:t>Supplementary table S1</w:t>
      </w:r>
      <w:r>
        <w:rPr>
          <w:b/>
          <w:bCs/>
        </w:rPr>
        <w:t xml:space="preserve">: Characteristics of the four patients with new ON during follow-up and the four matched patients </w:t>
      </w:r>
      <w:r w:rsidR="00AA1D40">
        <w:rPr>
          <w:b/>
          <w:bCs/>
        </w:rPr>
        <w:t xml:space="preserve">(“negative controls”) </w:t>
      </w:r>
      <w:r>
        <w:rPr>
          <w:b/>
          <w:bCs/>
        </w:rPr>
        <w:t>without new ON</w:t>
      </w:r>
    </w:p>
    <w:tbl>
      <w:tblPr>
        <w:tblStyle w:val="TableGrid"/>
        <w:tblW w:w="9776" w:type="dxa"/>
        <w:tblLayout w:type="fixed"/>
        <w:tblLook w:val="04A0" w:firstRow="1" w:lastRow="0" w:firstColumn="1" w:lastColumn="0" w:noHBand="0" w:noVBand="1"/>
      </w:tblPr>
      <w:tblGrid>
        <w:gridCol w:w="1555"/>
        <w:gridCol w:w="708"/>
        <w:gridCol w:w="993"/>
        <w:gridCol w:w="1275"/>
        <w:gridCol w:w="851"/>
        <w:gridCol w:w="1134"/>
        <w:gridCol w:w="1134"/>
        <w:gridCol w:w="850"/>
        <w:gridCol w:w="1276"/>
      </w:tblGrid>
      <w:tr w:rsidR="00FB74A0" w14:paraId="2A65AB54" w14:textId="77777777" w:rsidTr="00AA1D40">
        <w:trPr>
          <w:trHeight w:val="2218"/>
        </w:trPr>
        <w:tc>
          <w:tcPr>
            <w:tcW w:w="1555" w:type="dxa"/>
          </w:tcPr>
          <w:p w14:paraId="1338865C" w14:textId="77777777" w:rsidR="00FB74A0" w:rsidRPr="00FB74A0" w:rsidRDefault="00FB74A0" w:rsidP="00C80EA9">
            <w:pPr>
              <w:rPr>
                <w:b/>
                <w:bCs/>
                <w:shd w:val="clear" w:color="auto" w:fill="FFFFFF"/>
                <w:lang w:val="en-US"/>
              </w:rPr>
            </w:pPr>
            <w:r w:rsidRPr="00FB74A0">
              <w:rPr>
                <w:b/>
                <w:bCs/>
                <w:shd w:val="clear" w:color="auto" w:fill="FFFFFF"/>
                <w:lang w:val="en-US"/>
              </w:rPr>
              <w:t>Patients with new ON during follow-up</w:t>
            </w:r>
          </w:p>
        </w:tc>
        <w:tc>
          <w:tcPr>
            <w:tcW w:w="708" w:type="dxa"/>
          </w:tcPr>
          <w:p w14:paraId="7A8730F7" w14:textId="77777777" w:rsidR="00FB74A0" w:rsidRDefault="00FB74A0" w:rsidP="00C80EA9">
            <w:pPr>
              <w:rPr>
                <w:shd w:val="clear" w:color="auto" w:fill="FFFFFF"/>
              </w:rPr>
            </w:pPr>
            <w:r>
              <w:rPr>
                <w:shd w:val="clear" w:color="auto" w:fill="FFFFFF"/>
              </w:rPr>
              <w:t>Age, y</w:t>
            </w:r>
          </w:p>
        </w:tc>
        <w:tc>
          <w:tcPr>
            <w:tcW w:w="993" w:type="dxa"/>
          </w:tcPr>
          <w:p w14:paraId="2F6E60C1" w14:textId="77777777" w:rsidR="00FB74A0" w:rsidRDefault="00FB74A0" w:rsidP="00C80EA9">
            <w:pPr>
              <w:rPr>
                <w:shd w:val="clear" w:color="auto" w:fill="FFFFFF"/>
              </w:rPr>
            </w:pPr>
            <w:r>
              <w:rPr>
                <w:shd w:val="clear" w:color="auto" w:fill="FFFFFF"/>
              </w:rPr>
              <w:t>Sex</w:t>
            </w:r>
          </w:p>
        </w:tc>
        <w:tc>
          <w:tcPr>
            <w:tcW w:w="1275" w:type="dxa"/>
          </w:tcPr>
          <w:p w14:paraId="38828AAE" w14:textId="77777777" w:rsidR="00FB74A0" w:rsidRDefault="00FB74A0" w:rsidP="00C80EA9">
            <w:pPr>
              <w:rPr>
                <w:shd w:val="clear" w:color="auto" w:fill="FFFFFF"/>
              </w:rPr>
            </w:pPr>
            <w:proofErr w:type="spellStart"/>
            <w:r>
              <w:rPr>
                <w:shd w:val="clear" w:color="auto" w:fill="FFFFFF"/>
              </w:rPr>
              <w:t>Race</w:t>
            </w:r>
            <w:proofErr w:type="spellEnd"/>
          </w:p>
        </w:tc>
        <w:tc>
          <w:tcPr>
            <w:tcW w:w="851" w:type="dxa"/>
          </w:tcPr>
          <w:p w14:paraId="030F0264" w14:textId="77777777" w:rsidR="00FB74A0" w:rsidRDefault="00FB74A0" w:rsidP="00C80EA9">
            <w:pPr>
              <w:rPr>
                <w:shd w:val="clear" w:color="auto" w:fill="FFFFFF"/>
              </w:rPr>
            </w:pPr>
            <w:proofErr w:type="gramStart"/>
            <w:r>
              <w:rPr>
                <w:shd w:val="clear" w:color="auto" w:fill="FFFFFF"/>
              </w:rPr>
              <w:t>Prior  ON</w:t>
            </w:r>
            <w:proofErr w:type="gramEnd"/>
            <w:r>
              <w:rPr>
                <w:shd w:val="clear" w:color="auto" w:fill="FFFFFF"/>
              </w:rPr>
              <w:t xml:space="preserve"> </w:t>
            </w:r>
          </w:p>
        </w:tc>
        <w:tc>
          <w:tcPr>
            <w:tcW w:w="1134" w:type="dxa"/>
          </w:tcPr>
          <w:p w14:paraId="71DB6D3F" w14:textId="77777777" w:rsidR="00FB74A0" w:rsidRDefault="00FB74A0" w:rsidP="00C80EA9">
            <w:pPr>
              <w:rPr>
                <w:shd w:val="clear" w:color="auto" w:fill="FFFFFF"/>
              </w:rPr>
            </w:pPr>
            <w:proofErr w:type="spellStart"/>
            <w:r>
              <w:rPr>
                <w:shd w:val="clear" w:color="auto" w:fill="FFFFFF"/>
              </w:rPr>
              <w:t>Number</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prior</w:t>
            </w:r>
            <w:proofErr w:type="spellEnd"/>
            <w:r>
              <w:rPr>
                <w:shd w:val="clear" w:color="auto" w:fill="FFFFFF"/>
              </w:rPr>
              <w:t xml:space="preserve"> ON</w:t>
            </w:r>
          </w:p>
        </w:tc>
        <w:tc>
          <w:tcPr>
            <w:tcW w:w="1134" w:type="dxa"/>
          </w:tcPr>
          <w:p w14:paraId="09FB0F91" w14:textId="6066D1F2" w:rsidR="00FB74A0" w:rsidRDefault="00FB74A0" w:rsidP="00C80EA9">
            <w:pPr>
              <w:rPr>
                <w:shd w:val="clear" w:color="auto" w:fill="FFFFFF"/>
              </w:rPr>
            </w:pPr>
            <w:r>
              <w:rPr>
                <w:shd w:val="clear" w:color="auto" w:fill="FFFFFF"/>
              </w:rPr>
              <w:t>Other auto</w:t>
            </w:r>
            <w:r w:rsidR="00AA1D40">
              <w:rPr>
                <w:shd w:val="clear" w:color="auto" w:fill="FFFFFF"/>
              </w:rPr>
              <w:t>-</w:t>
            </w:r>
            <w:r>
              <w:rPr>
                <w:shd w:val="clear" w:color="auto" w:fill="FFFFFF"/>
              </w:rPr>
              <w:t xml:space="preserve">immune </w:t>
            </w:r>
            <w:proofErr w:type="spellStart"/>
            <w:r>
              <w:rPr>
                <w:shd w:val="clear" w:color="auto" w:fill="FFFFFF"/>
              </w:rPr>
              <w:t>disease</w:t>
            </w:r>
            <w:proofErr w:type="spellEnd"/>
            <w:r>
              <w:rPr>
                <w:shd w:val="clear" w:color="auto" w:fill="FFFFFF"/>
              </w:rPr>
              <w:t xml:space="preserve"> </w:t>
            </w:r>
          </w:p>
        </w:tc>
        <w:tc>
          <w:tcPr>
            <w:tcW w:w="850" w:type="dxa"/>
          </w:tcPr>
          <w:p w14:paraId="7F90D3A9" w14:textId="77777777" w:rsidR="00FB74A0" w:rsidRDefault="00FB74A0" w:rsidP="00C80EA9">
            <w:pPr>
              <w:rPr>
                <w:shd w:val="clear" w:color="auto" w:fill="FFFFFF"/>
              </w:rPr>
            </w:pPr>
            <w:r>
              <w:rPr>
                <w:shd w:val="clear" w:color="auto" w:fill="FFFFFF"/>
              </w:rPr>
              <w:t>SLE</w:t>
            </w:r>
          </w:p>
        </w:tc>
        <w:tc>
          <w:tcPr>
            <w:tcW w:w="1276" w:type="dxa"/>
          </w:tcPr>
          <w:p w14:paraId="7214FE1E" w14:textId="77777777" w:rsidR="00FB74A0" w:rsidRDefault="00FB74A0" w:rsidP="00C80EA9">
            <w:pPr>
              <w:rPr>
                <w:shd w:val="clear" w:color="auto" w:fill="FFFFFF"/>
              </w:rPr>
            </w:pPr>
            <w:r>
              <w:rPr>
                <w:shd w:val="clear" w:color="auto" w:fill="FFFFFF"/>
              </w:rPr>
              <w:t>Treatment</w:t>
            </w:r>
          </w:p>
        </w:tc>
      </w:tr>
      <w:tr w:rsidR="00FB74A0" w14:paraId="78D85287" w14:textId="77777777" w:rsidTr="00AA1D40">
        <w:trPr>
          <w:trHeight w:val="561"/>
        </w:trPr>
        <w:tc>
          <w:tcPr>
            <w:tcW w:w="1555" w:type="dxa"/>
          </w:tcPr>
          <w:p w14:paraId="196A74AF" w14:textId="77777777" w:rsidR="00FB74A0" w:rsidRDefault="00FB74A0" w:rsidP="00C80EA9">
            <w:pPr>
              <w:rPr>
                <w:shd w:val="clear" w:color="auto" w:fill="FFFFFF"/>
              </w:rPr>
            </w:pPr>
            <w:r>
              <w:rPr>
                <w:shd w:val="clear" w:color="auto" w:fill="FFFFFF"/>
              </w:rPr>
              <w:t>P01</w:t>
            </w:r>
          </w:p>
        </w:tc>
        <w:tc>
          <w:tcPr>
            <w:tcW w:w="708" w:type="dxa"/>
          </w:tcPr>
          <w:p w14:paraId="240B15C6" w14:textId="77777777" w:rsidR="00FB74A0" w:rsidRPr="0076606A" w:rsidRDefault="00FB74A0" w:rsidP="00C80EA9">
            <w:pPr>
              <w:rPr>
                <w:shd w:val="clear" w:color="auto" w:fill="FFFFFF"/>
              </w:rPr>
            </w:pPr>
            <w:r w:rsidRPr="0076606A">
              <w:rPr>
                <w:color w:val="000000" w:themeColor="dark1"/>
                <w:kern w:val="24"/>
              </w:rPr>
              <w:t>32.0</w:t>
            </w:r>
          </w:p>
        </w:tc>
        <w:tc>
          <w:tcPr>
            <w:tcW w:w="993" w:type="dxa"/>
          </w:tcPr>
          <w:p w14:paraId="584F093F" w14:textId="77777777" w:rsidR="00FB74A0" w:rsidRPr="0076606A" w:rsidRDefault="00FB74A0" w:rsidP="00C80EA9">
            <w:pPr>
              <w:rPr>
                <w:shd w:val="clear" w:color="auto" w:fill="FFFFFF"/>
              </w:rPr>
            </w:pPr>
            <w:proofErr w:type="spellStart"/>
            <w:r w:rsidRPr="0076606A">
              <w:rPr>
                <w:color w:val="000000" w:themeColor="dark1"/>
                <w:kern w:val="24"/>
              </w:rPr>
              <w:t>woman</w:t>
            </w:r>
            <w:proofErr w:type="spellEnd"/>
          </w:p>
        </w:tc>
        <w:tc>
          <w:tcPr>
            <w:tcW w:w="1275" w:type="dxa"/>
          </w:tcPr>
          <w:p w14:paraId="6B229831" w14:textId="0A0ACD60" w:rsidR="00FB74A0" w:rsidRPr="0076606A" w:rsidRDefault="00AA1D40" w:rsidP="00C80EA9">
            <w:pPr>
              <w:rPr>
                <w:shd w:val="clear" w:color="auto" w:fill="FFFFFF"/>
              </w:rPr>
            </w:pPr>
            <w:proofErr w:type="spellStart"/>
            <w:r>
              <w:rPr>
                <w:color w:val="000000" w:themeColor="dark1"/>
                <w:kern w:val="24"/>
              </w:rPr>
              <w:t>caucasian</w:t>
            </w:r>
            <w:proofErr w:type="spellEnd"/>
          </w:p>
        </w:tc>
        <w:tc>
          <w:tcPr>
            <w:tcW w:w="851" w:type="dxa"/>
          </w:tcPr>
          <w:p w14:paraId="293575A1" w14:textId="77777777" w:rsidR="00FB74A0" w:rsidRDefault="00FB74A0" w:rsidP="00C80EA9">
            <w:pPr>
              <w:rPr>
                <w:shd w:val="clear" w:color="auto" w:fill="FFFFFF"/>
              </w:rPr>
            </w:pPr>
            <w:proofErr w:type="spellStart"/>
            <w:r>
              <w:rPr>
                <w:shd w:val="clear" w:color="auto" w:fill="FFFFFF"/>
              </w:rPr>
              <w:t>yes</w:t>
            </w:r>
            <w:proofErr w:type="spellEnd"/>
          </w:p>
        </w:tc>
        <w:tc>
          <w:tcPr>
            <w:tcW w:w="1134" w:type="dxa"/>
          </w:tcPr>
          <w:p w14:paraId="02EE75A3" w14:textId="77777777" w:rsidR="00FB74A0" w:rsidRDefault="00FB74A0" w:rsidP="00C80EA9">
            <w:pPr>
              <w:rPr>
                <w:shd w:val="clear" w:color="auto" w:fill="FFFFFF"/>
              </w:rPr>
            </w:pPr>
            <w:r>
              <w:rPr>
                <w:shd w:val="clear" w:color="auto" w:fill="FFFFFF"/>
              </w:rPr>
              <w:t>2</w:t>
            </w:r>
          </w:p>
        </w:tc>
        <w:tc>
          <w:tcPr>
            <w:tcW w:w="1134" w:type="dxa"/>
          </w:tcPr>
          <w:p w14:paraId="1123A105" w14:textId="77777777" w:rsidR="00FB74A0" w:rsidRDefault="00FB74A0" w:rsidP="00C80EA9">
            <w:pPr>
              <w:rPr>
                <w:shd w:val="clear" w:color="auto" w:fill="FFFFFF"/>
              </w:rPr>
            </w:pPr>
            <w:proofErr w:type="spellStart"/>
            <w:r>
              <w:rPr>
                <w:shd w:val="clear" w:color="auto" w:fill="FFFFFF"/>
              </w:rPr>
              <w:t>no</w:t>
            </w:r>
            <w:proofErr w:type="spellEnd"/>
          </w:p>
        </w:tc>
        <w:tc>
          <w:tcPr>
            <w:tcW w:w="850" w:type="dxa"/>
          </w:tcPr>
          <w:p w14:paraId="1EE4F624" w14:textId="77777777" w:rsidR="00FB74A0" w:rsidRDefault="00FB74A0" w:rsidP="00C80EA9">
            <w:pPr>
              <w:rPr>
                <w:shd w:val="clear" w:color="auto" w:fill="FFFFFF"/>
              </w:rPr>
            </w:pPr>
            <w:proofErr w:type="spellStart"/>
            <w:r>
              <w:rPr>
                <w:shd w:val="clear" w:color="auto" w:fill="FFFFFF"/>
              </w:rPr>
              <w:t>no</w:t>
            </w:r>
            <w:proofErr w:type="spellEnd"/>
          </w:p>
        </w:tc>
        <w:tc>
          <w:tcPr>
            <w:tcW w:w="1276" w:type="dxa"/>
          </w:tcPr>
          <w:p w14:paraId="50C38BD5" w14:textId="77777777" w:rsidR="00FB74A0" w:rsidRDefault="00FB74A0" w:rsidP="00C80EA9">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5F6AFEAE" w14:textId="77777777" w:rsidTr="00AA1D40">
        <w:trPr>
          <w:trHeight w:val="548"/>
        </w:trPr>
        <w:tc>
          <w:tcPr>
            <w:tcW w:w="1555" w:type="dxa"/>
          </w:tcPr>
          <w:p w14:paraId="1DE2F151" w14:textId="77777777" w:rsidR="00FB74A0" w:rsidRDefault="00FB74A0" w:rsidP="00C80EA9">
            <w:pPr>
              <w:rPr>
                <w:shd w:val="clear" w:color="auto" w:fill="FFFFFF"/>
              </w:rPr>
            </w:pPr>
            <w:r>
              <w:rPr>
                <w:shd w:val="clear" w:color="auto" w:fill="FFFFFF"/>
              </w:rPr>
              <w:t>P02</w:t>
            </w:r>
          </w:p>
        </w:tc>
        <w:tc>
          <w:tcPr>
            <w:tcW w:w="708" w:type="dxa"/>
          </w:tcPr>
          <w:p w14:paraId="26507609" w14:textId="77777777" w:rsidR="00FB74A0" w:rsidRPr="0076606A" w:rsidRDefault="00FB74A0" w:rsidP="00C80EA9">
            <w:pPr>
              <w:rPr>
                <w:shd w:val="clear" w:color="auto" w:fill="FFFFFF"/>
              </w:rPr>
            </w:pPr>
            <w:r w:rsidRPr="0076606A">
              <w:rPr>
                <w:color w:val="000000" w:themeColor="dark1"/>
                <w:kern w:val="24"/>
              </w:rPr>
              <w:t>35.6</w:t>
            </w:r>
          </w:p>
        </w:tc>
        <w:tc>
          <w:tcPr>
            <w:tcW w:w="993" w:type="dxa"/>
          </w:tcPr>
          <w:p w14:paraId="77CD074A" w14:textId="77777777" w:rsidR="00FB74A0" w:rsidRPr="0076606A" w:rsidRDefault="00FB74A0" w:rsidP="00C80EA9">
            <w:pPr>
              <w:rPr>
                <w:shd w:val="clear" w:color="auto" w:fill="FFFFFF"/>
              </w:rPr>
            </w:pPr>
            <w:proofErr w:type="spellStart"/>
            <w:r w:rsidRPr="0076606A">
              <w:rPr>
                <w:color w:val="000000" w:themeColor="dark1"/>
                <w:kern w:val="24"/>
              </w:rPr>
              <w:t>woman</w:t>
            </w:r>
            <w:proofErr w:type="spellEnd"/>
          </w:p>
        </w:tc>
        <w:tc>
          <w:tcPr>
            <w:tcW w:w="1275" w:type="dxa"/>
          </w:tcPr>
          <w:p w14:paraId="0F9DA1CA" w14:textId="584C396B" w:rsidR="00FB74A0" w:rsidRPr="0076606A" w:rsidRDefault="00AA1D40" w:rsidP="00C80EA9">
            <w:pPr>
              <w:rPr>
                <w:shd w:val="clear" w:color="auto" w:fill="FFFFFF"/>
              </w:rPr>
            </w:pPr>
            <w:proofErr w:type="spellStart"/>
            <w:r>
              <w:rPr>
                <w:color w:val="000000" w:themeColor="dark1"/>
                <w:kern w:val="24"/>
              </w:rPr>
              <w:t>caucasian</w:t>
            </w:r>
            <w:proofErr w:type="spellEnd"/>
          </w:p>
        </w:tc>
        <w:tc>
          <w:tcPr>
            <w:tcW w:w="851" w:type="dxa"/>
          </w:tcPr>
          <w:p w14:paraId="2D547842" w14:textId="77777777" w:rsidR="00FB74A0" w:rsidRDefault="00FB74A0" w:rsidP="00C80EA9">
            <w:pPr>
              <w:rPr>
                <w:shd w:val="clear" w:color="auto" w:fill="FFFFFF"/>
              </w:rPr>
            </w:pPr>
            <w:proofErr w:type="spellStart"/>
            <w:r>
              <w:rPr>
                <w:shd w:val="clear" w:color="auto" w:fill="FFFFFF"/>
              </w:rPr>
              <w:t>yes</w:t>
            </w:r>
            <w:proofErr w:type="spellEnd"/>
          </w:p>
        </w:tc>
        <w:tc>
          <w:tcPr>
            <w:tcW w:w="1134" w:type="dxa"/>
          </w:tcPr>
          <w:p w14:paraId="1C964675" w14:textId="77777777" w:rsidR="00FB74A0" w:rsidRDefault="00FB74A0" w:rsidP="00C80EA9">
            <w:pPr>
              <w:rPr>
                <w:shd w:val="clear" w:color="auto" w:fill="FFFFFF"/>
              </w:rPr>
            </w:pPr>
            <w:r>
              <w:rPr>
                <w:shd w:val="clear" w:color="auto" w:fill="FFFFFF"/>
              </w:rPr>
              <w:t>1</w:t>
            </w:r>
          </w:p>
        </w:tc>
        <w:tc>
          <w:tcPr>
            <w:tcW w:w="1134" w:type="dxa"/>
          </w:tcPr>
          <w:p w14:paraId="4C19BF1C" w14:textId="77777777" w:rsidR="00FB74A0" w:rsidRDefault="00FB74A0" w:rsidP="00C80EA9">
            <w:pPr>
              <w:rPr>
                <w:shd w:val="clear" w:color="auto" w:fill="FFFFFF"/>
              </w:rPr>
            </w:pPr>
            <w:proofErr w:type="spellStart"/>
            <w:r>
              <w:rPr>
                <w:shd w:val="clear" w:color="auto" w:fill="FFFFFF"/>
              </w:rPr>
              <w:t>yes</w:t>
            </w:r>
            <w:proofErr w:type="spellEnd"/>
          </w:p>
        </w:tc>
        <w:tc>
          <w:tcPr>
            <w:tcW w:w="850" w:type="dxa"/>
          </w:tcPr>
          <w:p w14:paraId="12C56F63" w14:textId="77777777" w:rsidR="00FB74A0" w:rsidRDefault="00FB74A0" w:rsidP="00C80EA9">
            <w:pPr>
              <w:rPr>
                <w:shd w:val="clear" w:color="auto" w:fill="FFFFFF"/>
              </w:rPr>
            </w:pPr>
            <w:proofErr w:type="spellStart"/>
            <w:r>
              <w:rPr>
                <w:shd w:val="clear" w:color="auto" w:fill="FFFFFF"/>
              </w:rPr>
              <w:t>yes</w:t>
            </w:r>
            <w:proofErr w:type="spellEnd"/>
          </w:p>
        </w:tc>
        <w:tc>
          <w:tcPr>
            <w:tcW w:w="1276" w:type="dxa"/>
          </w:tcPr>
          <w:p w14:paraId="3B4EF71E" w14:textId="77777777" w:rsidR="00FB74A0" w:rsidRDefault="00FB74A0" w:rsidP="00C80EA9">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6F2BD75E" w14:textId="77777777" w:rsidTr="00AA1D40">
        <w:trPr>
          <w:trHeight w:val="561"/>
        </w:trPr>
        <w:tc>
          <w:tcPr>
            <w:tcW w:w="1555" w:type="dxa"/>
          </w:tcPr>
          <w:p w14:paraId="26B94FAD" w14:textId="77777777" w:rsidR="00FB74A0" w:rsidRDefault="00FB74A0" w:rsidP="00C80EA9">
            <w:pPr>
              <w:rPr>
                <w:shd w:val="clear" w:color="auto" w:fill="FFFFFF"/>
              </w:rPr>
            </w:pPr>
            <w:r>
              <w:rPr>
                <w:shd w:val="clear" w:color="auto" w:fill="FFFFFF"/>
              </w:rPr>
              <w:t>P03</w:t>
            </w:r>
          </w:p>
        </w:tc>
        <w:tc>
          <w:tcPr>
            <w:tcW w:w="708" w:type="dxa"/>
          </w:tcPr>
          <w:p w14:paraId="2E3259FE" w14:textId="77777777" w:rsidR="00FB74A0" w:rsidRPr="0076606A" w:rsidRDefault="00FB74A0" w:rsidP="00C80EA9">
            <w:pPr>
              <w:rPr>
                <w:shd w:val="clear" w:color="auto" w:fill="FFFFFF"/>
              </w:rPr>
            </w:pPr>
            <w:r w:rsidRPr="0076606A">
              <w:rPr>
                <w:color w:val="000000" w:themeColor="dark1"/>
                <w:kern w:val="24"/>
              </w:rPr>
              <w:t>20.9</w:t>
            </w:r>
          </w:p>
        </w:tc>
        <w:tc>
          <w:tcPr>
            <w:tcW w:w="993" w:type="dxa"/>
          </w:tcPr>
          <w:p w14:paraId="5CB33D50" w14:textId="77777777" w:rsidR="00FB74A0" w:rsidRPr="0076606A" w:rsidRDefault="00FB74A0" w:rsidP="00C80EA9">
            <w:pPr>
              <w:rPr>
                <w:shd w:val="clear" w:color="auto" w:fill="FFFFFF"/>
              </w:rPr>
            </w:pPr>
            <w:proofErr w:type="spellStart"/>
            <w:r w:rsidRPr="0076606A">
              <w:rPr>
                <w:color w:val="000000" w:themeColor="dark1"/>
                <w:kern w:val="24"/>
              </w:rPr>
              <w:t>woman</w:t>
            </w:r>
            <w:proofErr w:type="spellEnd"/>
          </w:p>
        </w:tc>
        <w:tc>
          <w:tcPr>
            <w:tcW w:w="1275" w:type="dxa"/>
          </w:tcPr>
          <w:p w14:paraId="6344104F" w14:textId="1E95E2DE" w:rsidR="00FB74A0" w:rsidRPr="0076606A" w:rsidRDefault="00AA1D40" w:rsidP="00C80EA9">
            <w:pPr>
              <w:rPr>
                <w:shd w:val="clear" w:color="auto" w:fill="FFFFFF"/>
              </w:rPr>
            </w:pPr>
            <w:proofErr w:type="spellStart"/>
            <w:r>
              <w:rPr>
                <w:color w:val="000000" w:themeColor="dark1"/>
                <w:kern w:val="24"/>
              </w:rPr>
              <w:t>caucasian</w:t>
            </w:r>
            <w:proofErr w:type="spellEnd"/>
          </w:p>
        </w:tc>
        <w:tc>
          <w:tcPr>
            <w:tcW w:w="851" w:type="dxa"/>
          </w:tcPr>
          <w:p w14:paraId="45329644" w14:textId="77777777" w:rsidR="00FB74A0" w:rsidRDefault="00FB74A0" w:rsidP="00C80EA9">
            <w:pPr>
              <w:rPr>
                <w:shd w:val="clear" w:color="auto" w:fill="FFFFFF"/>
              </w:rPr>
            </w:pPr>
            <w:proofErr w:type="spellStart"/>
            <w:r>
              <w:rPr>
                <w:shd w:val="clear" w:color="auto" w:fill="FFFFFF"/>
              </w:rPr>
              <w:t>yes</w:t>
            </w:r>
            <w:proofErr w:type="spellEnd"/>
          </w:p>
        </w:tc>
        <w:tc>
          <w:tcPr>
            <w:tcW w:w="1134" w:type="dxa"/>
          </w:tcPr>
          <w:p w14:paraId="40BB9A4D" w14:textId="77777777" w:rsidR="00FB74A0" w:rsidRDefault="00FB74A0" w:rsidP="00C80EA9">
            <w:pPr>
              <w:rPr>
                <w:shd w:val="clear" w:color="auto" w:fill="FFFFFF"/>
              </w:rPr>
            </w:pPr>
            <w:r>
              <w:rPr>
                <w:shd w:val="clear" w:color="auto" w:fill="FFFFFF"/>
              </w:rPr>
              <w:t>4</w:t>
            </w:r>
          </w:p>
        </w:tc>
        <w:tc>
          <w:tcPr>
            <w:tcW w:w="1134" w:type="dxa"/>
          </w:tcPr>
          <w:p w14:paraId="781B4F84" w14:textId="77777777" w:rsidR="00FB74A0" w:rsidRDefault="00FB74A0" w:rsidP="00C80EA9">
            <w:pPr>
              <w:rPr>
                <w:shd w:val="clear" w:color="auto" w:fill="FFFFFF"/>
              </w:rPr>
            </w:pPr>
            <w:proofErr w:type="spellStart"/>
            <w:r>
              <w:rPr>
                <w:shd w:val="clear" w:color="auto" w:fill="FFFFFF"/>
              </w:rPr>
              <w:t>yes</w:t>
            </w:r>
            <w:proofErr w:type="spellEnd"/>
          </w:p>
        </w:tc>
        <w:tc>
          <w:tcPr>
            <w:tcW w:w="850" w:type="dxa"/>
          </w:tcPr>
          <w:p w14:paraId="4AC66919" w14:textId="77777777" w:rsidR="00FB74A0" w:rsidRDefault="00FB74A0" w:rsidP="00C80EA9">
            <w:pPr>
              <w:rPr>
                <w:shd w:val="clear" w:color="auto" w:fill="FFFFFF"/>
              </w:rPr>
            </w:pPr>
            <w:proofErr w:type="spellStart"/>
            <w:r>
              <w:rPr>
                <w:shd w:val="clear" w:color="auto" w:fill="FFFFFF"/>
              </w:rPr>
              <w:t>no</w:t>
            </w:r>
            <w:proofErr w:type="spellEnd"/>
          </w:p>
        </w:tc>
        <w:tc>
          <w:tcPr>
            <w:tcW w:w="1276" w:type="dxa"/>
          </w:tcPr>
          <w:p w14:paraId="38BABE85" w14:textId="77777777" w:rsidR="00FB74A0" w:rsidRDefault="00FB74A0" w:rsidP="00C80EA9">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49BBC820" w14:textId="77777777" w:rsidTr="00AA1D40">
        <w:trPr>
          <w:trHeight w:val="548"/>
        </w:trPr>
        <w:tc>
          <w:tcPr>
            <w:tcW w:w="1555" w:type="dxa"/>
          </w:tcPr>
          <w:p w14:paraId="7FF2364B" w14:textId="77777777" w:rsidR="00FB74A0" w:rsidRDefault="00FB74A0" w:rsidP="00C80EA9">
            <w:pPr>
              <w:rPr>
                <w:shd w:val="clear" w:color="auto" w:fill="FFFFFF"/>
              </w:rPr>
            </w:pPr>
            <w:r>
              <w:rPr>
                <w:shd w:val="clear" w:color="auto" w:fill="FFFFFF"/>
              </w:rPr>
              <w:t>P04</w:t>
            </w:r>
          </w:p>
        </w:tc>
        <w:tc>
          <w:tcPr>
            <w:tcW w:w="708" w:type="dxa"/>
            <w:tcBorders>
              <w:bottom w:val="single" w:sz="4" w:space="0" w:color="auto"/>
            </w:tcBorders>
          </w:tcPr>
          <w:p w14:paraId="0A19D2E9" w14:textId="77777777" w:rsidR="00FB74A0" w:rsidRPr="0076606A" w:rsidRDefault="00FB74A0" w:rsidP="00C80EA9">
            <w:pPr>
              <w:rPr>
                <w:shd w:val="clear" w:color="auto" w:fill="FFFFFF"/>
              </w:rPr>
            </w:pPr>
            <w:r w:rsidRPr="0076606A">
              <w:rPr>
                <w:color w:val="000000" w:themeColor="dark1"/>
                <w:kern w:val="24"/>
              </w:rPr>
              <w:t>51.4</w:t>
            </w:r>
          </w:p>
        </w:tc>
        <w:tc>
          <w:tcPr>
            <w:tcW w:w="993" w:type="dxa"/>
            <w:tcBorders>
              <w:bottom w:val="single" w:sz="4" w:space="0" w:color="auto"/>
            </w:tcBorders>
          </w:tcPr>
          <w:p w14:paraId="1BBCEB45" w14:textId="77777777" w:rsidR="00FB74A0" w:rsidRPr="0076606A" w:rsidRDefault="00FB74A0" w:rsidP="00C80EA9">
            <w:pPr>
              <w:rPr>
                <w:shd w:val="clear" w:color="auto" w:fill="FFFFFF"/>
              </w:rPr>
            </w:pPr>
            <w:r w:rsidRPr="0076606A">
              <w:rPr>
                <w:color w:val="000000" w:themeColor="dark1"/>
                <w:kern w:val="24"/>
              </w:rPr>
              <w:t>man</w:t>
            </w:r>
          </w:p>
        </w:tc>
        <w:tc>
          <w:tcPr>
            <w:tcW w:w="1275" w:type="dxa"/>
            <w:tcBorders>
              <w:bottom w:val="single" w:sz="4" w:space="0" w:color="auto"/>
            </w:tcBorders>
          </w:tcPr>
          <w:p w14:paraId="399A7981" w14:textId="19592D90" w:rsidR="00FB74A0" w:rsidRPr="0076606A" w:rsidRDefault="00AA1D40" w:rsidP="00C80EA9">
            <w:pPr>
              <w:rPr>
                <w:shd w:val="clear" w:color="auto" w:fill="FFFFFF"/>
              </w:rPr>
            </w:pPr>
            <w:proofErr w:type="spellStart"/>
            <w:r>
              <w:rPr>
                <w:color w:val="000000" w:themeColor="dark1"/>
                <w:kern w:val="24"/>
              </w:rPr>
              <w:t>caucasian</w:t>
            </w:r>
            <w:proofErr w:type="spellEnd"/>
          </w:p>
        </w:tc>
        <w:tc>
          <w:tcPr>
            <w:tcW w:w="851" w:type="dxa"/>
            <w:tcBorders>
              <w:bottom w:val="single" w:sz="4" w:space="0" w:color="auto"/>
            </w:tcBorders>
          </w:tcPr>
          <w:p w14:paraId="76340F9E" w14:textId="77777777" w:rsidR="00FB74A0" w:rsidRDefault="00FB74A0" w:rsidP="00C80EA9">
            <w:pPr>
              <w:rPr>
                <w:shd w:val="clear" w:color="auto" w:fill="FFFFFF"/>
              </w:rPr>
            </w:pPr>
            <w:proofErr w:type="spellStart"/>
            <w:r>
              <w:rPr>
                <w:shd w:val="clear" w:color="auto" w:fill="FFFFFF"/>
              </w:rPr>
              <w:t>yes</w:t>
            </w:r>
            <w:proofErr w:type="spellEnd"/>
          </w:p>
        </w:tc>
        <w:tc>
          <w:tcPr>
            <w:tcW w:w="1134" w:type="dxa"/>
            <w:tcBorders>
              <w:bottom w:val="single" w:sz="4" w:space="0" w:color="auto"/>
            </w:tcBorders>
          </w:tcPr>
          <w:p w14:paraId="464824B9" w14:textId="77777777" w:rsidR="00FB74A0" w:rsidRDefault="00FB74A0" w:rsidP="00C80EA9">
            <w:pPr>
              <w:rPr>
                <w:shd w:val="clear" w:color="auto" w:fill="FFFFFF"/>
              </w:rPr>
            </w:pPr>
            <w:r>
              <w:rPr>
                <w:shd w:val="clear" w:color="auto" w:fill="FFFFFF"/>
              </w:rPr>
              <w:t>2</w:t>
            </w:r>
          </w:p>
        </w:tc>
        <w:tc>
          <w:tcPr>
            <w:tcW w:w="1134" w:type="dxa"/>
          </w:tcPr>
          <w:p w14:paraId="58B59EA7" w14:textId="77777777" w:rsidR="00FB74A0" w:rsidRDefault="00FB74A0" w:rsidP="00C80EA9">
            <w:pPr>
              <w:rPr>
                <w:shd w:val="clear" w:color="auto" w:fill="FFFFFF"/>
              </w:rPr>
            </w:pPr>
            <w:proofErr w:type="spellStart"/>
            <w:r>
              <w:rPr>
                <w:shd w:val="clear" w:color="auto" w:fill="FFFFFF"/>
              </w:rPr>
              <w:t>no</w:t>
            </w:r>
            <w:proofErr w:type="spellEnd"/>
          </w:p>
        </w:tc>
        <w:tc>
          <w:tcPr>
            <w:tcW w:w="850" w:type="dxa"/>
          </w:tcPr>
          <w:p w14:paraId="4A945784" w14:textId="77777777" w:rsidR="00FB74A0" w:rsidRDefault="00FB74A0" w:rsidP="00C80EA9">
            <w:pPr>
              <w:rPr>
                <w:shd w:val="clear" w:color="auto" w:fill="FFFFFF"/>
              </w:rPr>
            </w:pPr>
            <w:proofErr w:type="spellStart"/>
            <w:r>
              <w:rPr>
                <w:shd w:val="clear" w:color="auto" w:fill="FFFFFF"/>
              </w:rPr>
              <w:t>no</w:t>
            </w:r>
            <w:proofErr w:type="spellEnd"/>
          </w:p>
        </w:tc>
        <w:tc>
          <w:tcPr>
            <w:tcW w:w="1276" w:type="dxa"/>
          </w:tcPr>
          <w:p w14:paraId="37EE3D8B" w14:textId="77777777" w:rsidR="00FB74A0" w:rsidRDefault="00FB74A0" w:rsidP="00C80EA9">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no</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276DAADD" w14:textId="77777777" w:rsidTr="00AA1D40">
        <w:trPr>
          <w:trHeight w:val="2546"/>
        </w:trPr>
        <w:tc>
          <w:tcPr>
            <w:tcW w:w="1555" w:type="dxa"/>
          </w:tcPr>
          <w:p w14:paraId="43F94A2B" w14:textId="77777777" w:rsidR="00FB74A0" w:rsidRPr="000F019B" w:rsidRDefault="00FB74A0" w:rsidP="00C80EA9">
            <w:pPr>
              <w:rPr>
                <w:b/>
                <w:bCs/>
                <w:shd w:val="clear" w:color="auto" w:fill="FFFFFF"/>
              </w:rPr>
            </w:pPr>
            <w:r w:rsidRPr="000F019B">
              <w:rPr>
                <w:b/>
                <w:bCs/>
                <w:shd w:val="clear" w:color="auto" w:fill="FFFFFF"/>
              </w:rPr>
              <w:t xml:space="preserve">Summary </w:t>
            </w:r>
            <w:proofErr w:type="spellStart"/>
            <w:r w:rsidRPr="000F019B">
              <w:rPr>
                <w:b/>
                <w:bCs/>
                <w:shd w:val="clear" w:color="auto" w:fill="FFFFFF"/>
              </w:rPr>
              <w:t>of</w:t>
            </w:r>
            <w:proofErr w:type="spellEnd"/>
            <w:r w:rsidRPr="000F019B">
              <w:rPr>
                <w:b/>
                <w:bCs/>
                <w:shd w:val="clear" w:color="auto" w:fill="FFFFFF"/>
              </w:rPr>
              <w:t xml:space="preserve"> P01-P04</w:t>
            </w:r>
          </w:p>
        </w:tc>
        <w:tc>
          <w:tcPr>
            <w:tcW w:w="708" w:type="dxa"/>
          </w:tcPr>
          <w:p w14:paraId="4D9F2598" w14:textId="77777777" w:rsidR="00FB74A0" w:rsidRPr="000F019B" w:rsidRDefault="00FB74A0" w:rsidP="00C80EA9">
            <w:pPr>
              <w:rPr>
                <w:b/>
                <w:bCs/>
                <w:shd w:val="clear" w:color="auto" w:fill="FFFFFF"/>
              </w:rPr>
            </w:pPr>
            <w:r>
              <w:rPr>
                <w:b/>
                <w:bCs/>
                <w:shd w:val="clear" w:color="auto" w:fill="FFFFFF"/>
              </w:rPr>
              <w:t xml:space="preserve">35 </w:t>
            </w:r>
            <w:r>
              <w:rPr>
                <w:b/>
                <w:bCs/>
                <w:shd w:val="clear" w:color="auto" w:fill="FFFFFF"/>
              </w:rPr>
              <w:sym w:font="Symbol" w:char="F0B1"/>
            </w:r>
            <w:r>
              <w:rPr>
                <w:b/>
                <w:bCs/>
                <w:shd w:val="clear" w:color="auto" w:fill="FFFFFF"/>
              </w:rPr>
              <w:t xml:space="preserve"> 12.6</w:t>
            </w:r>
          </w:p>
        </w:tc>
        <w:tc>
          <w:tcPr>
            <w:tcW w:w="993" w:type="dxa"/>
          </w:tcPr>
          <w:p w14:paraId="6D72071E" w14:textId="77777777" w:rsidR="00FB74A0" w:rsidRPr="000F019B" w:rsidRDefault="00FB74A0" w:rsidP="00C80EA9">
            <w:pPr>
              <w:rPr>
                <w:b/>
                <w:bCs/>
                <w:shd w:val="clear" w:color="auto" w:fill="FFFFFF"/>
              </w:rPr>
            </w:pPr>
            <w:r>
              <w:rPr>
                <w:b/>
                <w:bCs/>
                <w:shd w:val="clear" w:color="auto" w:fill="FFFFFF"/>
              </w:rPr>
              <w:t xml:space="preserve">3 </w:t>
            </w:r>
            <w:proofErr w:type="spellStart"/>
            <w:r>
              <w:rPr>
                <w:b/>
                <w:bCs/>
                <w:shd w:val="clear" w:color="auto" w:fill="FFFFFF"/>
              </w:rPr>
              <w:t>women</w:t>
            </w:r>
            <w:proofErr w:type="spellEnd"/>
            <w:r>
              <w:rPr>
                <w:b/>
                <w:bCs/>
                <w:shd w:val="clear" w:color="auto" w:fill="FFFFFF"/>
              </w:rPr>
              <w:t>: 1 man</w:t>
            </w:r>
          </w:p>
        </w:tc>
        <w:tc>
          <w:tcPr>
            <w:tcW w:w="1275" w:type="dxa"/>
          </w:tcPr>
          <w:p w14:paraId="4A87EE01" w14:textId="60ECCE72" w:rsidR="00FB74A0" w:rsidRPr="000F019B" w:rsidRDefault="00FB74A0" w:rsidP="00C80EA9">
            <w:pPr>
              <w:rPr>
                <w:b/>
                <w:bCs/>
                <w:shd w:val="clear" w:color="auto" w:fill="FFFFFF"/>
              </w:rPr>
            </w:pPr>
            <w:r>
              <w:rPr>
                <w:b/>
                <w:bCs/>
                <w:shd w:val="clear" w:color="auto" w:fill="FFFFFF"/>
              </w:rPr>
              <w:t xml:space="preserve">4/4 </w:t>
            </w:r>
            <w:proofErr w:type="spellStart"/>
            <w:r w:rsidR="00AA1D40" w:rsidRPr="00AA1D40">
              <w:rPr>
                <w:b/>
                <w:bCs/>
                <w:color w:val="000000" w:themeColor="dark1"/>
                <w:kern w:val="24"/>
              </w:rPr>
              <w:t>caucasian</w:t>
            </w:r>
            <w:proofErr w:type="spellEnd"/>
          </w:p>
        </w:tc>
        <w:tc>
          <w:tcPr>
            <w:tcW w:w="851" w:type="dxa"/>
          </w:tcPr>
          <w:p w14:paraId="5BC2699D" w14:textId="77777777" w:rsidR="00FB74A0" w:rsidRPr="000F019B" w:rsidRDefault="00FB74A0" w:rsidP="00C80EA9">
            <w:pPr>
              <w:rPr>
                <w:b/>
                <w:bCs/>
                <w:shd w:val="clear" w:color="auto" w:fill="FFFFFF"/>
              </w:rPr>
            </w:pPr>
            <w:r>
              <w:rPr>
                <w:b/>
                <w:bCs/>
                <w:shd w:val="clear" w:color="auto" w:fill="FFFFFF"/>
              </w:rPr>
              <w:t>4/4 NMO-ON</w:t>
            </w:r>
          </w:p>
        </w:tc>
        <w:tc>
          <w:tcPr>
            <w:tcW w:w="1134" w:type="dxa"/>
          </w:tcPr>
          <w:p w14:paraId="4C5A904A" w14:textId="77777777" w:rsidR="00FB74A0" w:rsidRPr="000F019B" w:rsidRDefault="00FB74A0" w:rsidP="00C80EA9">
            <w:pPr>
              <w:rPr>
                <w:b/>
                <w:bCs/>
                <w:shd w:val="clear" w:color="auto" w:fill="FFFFFF"/>
              </w:rPr>
            </w:pPr>
            <w:r>
              <w:rPr>
                <w:b/>
                <w:bCs/>
                <w:shd w:val="clear" w:color="auto" w:fill="FFFFFF"/>
              </w:rPr>
              <w:t>Median 2</w:t>
            </w:r>
          </w:p>
        </w:tc>
        <w:tc>
          <w:tcPr>
            <w:tcW w:w="1134" w:type="dxa"/>
          </w:tcPr>
          <w:p w14:paraId="495E4212" w14:textId="004FD8A6" w:rsidR="00FB74A0" w:rsidRPr="000F019B" w:rsidRDefault="00FB74A0" w:rsidP="00C80EA9">
            <w:pPr>
              <w:rPr>
                <w:b/>
                <w:bCs/>
                <w:shd w:val="clear" w:color="auto" w:fill="FFFFFF"/>
              </w:rPr>
            </w:pPr>
            <w:r>
              <w:rPr>
                <w:b/>
                <w:bCs/>
                <w:shd w:val="clear" w:color="auto" w:fill="FFFFFF"/>
              </w:rPr>
              <w:t xml:space="preserve">2 </w:t>
            </w:r>
            <w:proofErr w:type="spellStart"/>
            <w:r>
              <w:rPr>
                <w:b/>
                <w:bCs/>
                <w:shd w:val="clear" w:color="auto" w:fill="FFFFFF"/>
              </w:rPr>
              <w:t>yes</w:t>
            </w:r>
            <w:proofErr w:type="spellEnd"/>
            <w:r>
              <w:rPr>
                <w:b/>
                <w:bCs/>
                <w:shd w:val="clear" w:color="auto" w:fill="FFFFFF"/>
              </w:rPr>
              <w:t xml:space="preserve">: </w:t>
            </w:r>
            <w:r w:rsidR="00AA1D40">
              <w:rPr>
                <w:b/>
                <w:bCs/>
                <w:shd w:val="clear" w:color="auto" w:fill="FFFFFF"/>
              </w:rPr>
              <w:t xml:space="preserve">   </w:t>
            </w:r>
            <w:r>
              <w:rPr>
                <w:b/>
                <w:bCs/>
                <w:shd w:val="clear" w:color="auto" w:fill="FFFFFF"/>
              </w:rPr>
              <w:t xml:space="preserve">2 </w:t>
            </w:r>
            <w:proofErr w:type="spellStart"/>
            <w:r>
              <w:rPr>
                <w:b/>
                <w:bCs/>
                <w:shd w:val="clear" w:color="auto" w:fill="FFFFFF"/>
              </w:rPr>
              <w:t>no</w:t>
            </w:r>
            <w:proofErr w:type="spellEnd"/>
          </w:p>
        </w:tc>
        <w:tc>
          <w:tcPr>
            <w:tcW w:w="850" w:type="dxa"/>
          </w:tcPr>
          <w:p w14:paraId="4019888D" w14:textId="77777777" w:rsidR="00FB74A0" w:rsidRPr="000F019B" w:rsidRDefault="00FB74A0" w:rsidP="00C80EA9">
            <w:pPr>
              <w:rPr>
                <w:b/>
                <w:bCs/>
                <w:shd w:val="clear" w:color="auto" w:fill="FFFFFF"/>
              </w:rPr>
            </w:pPr>
            <w:r>
              <w:rPr>
                <w:b/>
                <w:bCs/>
                <w:shd w:val="clear" w:color="auto" w:fill="FFFFFF"/>
              </w:rPr>
              <w:t xml:space="preserve">1 </w:t>
            </w:r>
            <w:proofErr w:type="spellStart"/>
            <w:r>
              <w:rPr>
                <w:b/>
                <w:bCs/>
                <w:shd w:val="clear" w:color="auto" w:fill="FFFFFF"/>
              </w:rPr>
              <w:t>yes</w:t>
            </w:r>
            <w:proofErr w:type="spellEnd"/>
            <w:r>
              <w:rPr>
                <w:b/>
                <w:bCs/>
                <w:shd w:val="clear" w:color="auto" w:fill="FFFFFF"/>
              </w:rPr>
              <w:t xml:space="preserve">: 3 </w:t>
            </w:r>
            <w:proofErr w:type="spellStart"/>
            <w:r>
              <w:rPr>
                <w:b/>
                <w:bCs/>
                <w:shd w:val="clear" w:color="auto" w:fill="FFFFFF"/>
              </w:rPr>
              <w:t>no</w:t>
            </w:r>
            <w:proofErr w:type="spellEnd"/>
            <w:r>
              <w:rPr>
                <w:b/>
                <w:bCs/>
                <w:shd w:val="clear" w:color="auto" w:fill="FFFFFF"/>
              </w:rPr>
              <w:t xml:space="preserve"> </w:t>
            </w:r>
          </w:p>
        </w:tc>
        <w:tc>
          <w:tcPr>
            <w:tcW w:w="1276" w:type="dxa"/>
          </w:tcPr>
          <w:p w14:paraId="2E986529" w14:textId="77777777" w:rsidR="00FB74A0" w:rsidRPr="00FB74A0" w:rsidRDefault="00FB74A0" w:rsidP="00C80EA9">
            <w:pPr>
              <w:rPr>
                <w:b/>
                <w:bCs/>
                <w:shd w:val="clear" w:color="auto" w:fill="FFFFFF"/>
                <w:lang w:val="en-US"/>
              </w:rPr>
            </w:pPr>
            <w:r w:rsidRPr="00FB74A0">
              <w:rPr>
                <w:b/>
                <w:bCs/>
                <w:shd w:val="clear" w:color="auto" w:fill="FFFFFF"/>
                <w:lang w:val="en-US"/>
              </w:rPr>
              <w:t>4/4 yes (3/4 with a treatment change during follow-up)</w:t>
            </w:r>
          </w:p>
        </w:tc>
      </w:tr>
      <w:tr w:rsidR="00FB74A0" w14:paraId="6FBE05E8" w14:textId="77777777" w:rsidTr="00AA1D40">
        <w:trPr>
          <w:trHeight w:val="2669"/>
        </w:trPr>
        <w:tc>
          <w:tcPr>
            <w:tcW w:w="1555" w:type="dxa"/>
          </w:tcPr>
          <w:p w14:paraId="3540B960" w14:textId="77777777" w:rsidR="00FB74A0" w:rsidRPr="00FB74A0" w:rsidRDefault="00FB74A0" w:rsidP="00C80EA9">
            <w:pPr>
              <w:rPr>
                <w:b/>
                <w:bCs/>
                <w:shd w:val="clear" w:color="auto" w:fill="FFFFFF"/>
                <w:lang w:val="en-US"/>
              </w:rPr>
            </w:pPr>
            <w:r w:rsidRPr="00FB74A0">
              <w:rPr>
                <w:b/>
                <w:bCs/>
                <w:shd w:val="clear" w:color="auto" w:fill="FFFFFF"/>
                <w:lang w:val="en-US"/>
              </w:rPr>
              <w:lastRenderedPageBreak/>
              <w:t>Matched patients without new ON during follow-up</w:t>
            </w:r>
          </w:p>
        </w:tc>
        <w:tc>
          <w:tcPr>
            <w:tcW w:w="708" w:type="dxa"/>
          </w:tcPr>
          <w:p w14:paraId="0F147098" w14:textId="77777777" w:rsidR="00FB74A0" w:rsidRPr="00FB74A0" w:rsidRDefault="00FB74A0" w:rsidP="00C80EA9">
            <w:pPr>
              <w:rPr>
                <w:shd w:val="clear" w:color="auto" w:fill="FFFFFF"/>
                <w:lang w:val="en-US"/>
              </w:rPr>
            </w:pPr>
          </w:p>
        </w:tc>
        <w:tc>
          <w:tcPr>
            <w:tcW w:w="993" w:type="dxa"/>
          </w:tcPr>
          <w:p w14:paraId="1E302D18" w14:textId="77777777" w:rsidR="00FB74A0" w:rsidRPr="00FB74A0" w:rsidRDefault="00FB74A0" w:rsidP="00C80EA9">
            <w:pPr>
              <w:rPr>
                <w:shd w:val="clear" w:color="auto" w:fill="FFFFFF"/>
                <w:lang w:val="en-US"/>
              </w:rPr>
            </w:pPr>
          </w:p>
        </w:tc>
        <w:tc>
          <w:tcPr>
            <w:tcW w:w="1275" w:type="dxa"/>
          </w:tcPr>
          <w:p w14:paraId="393EBC33" w14:textId="77777777" w:rsidR="00FB74A0" w:rsidRPr="00FB74A0" w:rsidRDefault="00FB74A0" w:rsidP="00C80EA9">
            <w:pPr>
              <w:rPr>
                <w:shd w:val="clear" w:color="auto" w:fill="FFFFFF"/>
                <w:lang w:val="en-US"/>
              </w:rPr>
            </w:pPr>
          </w:p>
        </w:tc>
        <w:tc>
          <w:tcPr>
            <w:tcW w:w="851" w:type="dxa"/>
          </w:tcPr>
          <w:p w14:paraId="36C6B922" w14:textId="77777777" w:rsidR="00FB74A0" w:rsidRPr="00FB74A0" w:rsidRDefault="00FB74A0" w:rsidP="00C80EA9">
            <w:pPr>
              <w:rPr>
                <w:shd w:val="clear" w:color="auto" w:fill="FFFFFF"/>
                <w:lang w:val="en-US"/>
              </w:rPr>
            </w:pPr>
          </w:p>
        </w:tc>
        <w:tc>
          <w:tcPr>
            <w:tcW w:w="1134" w:type="dxa"/>
          </w:tcPr>
          <w:p w14:paraId="00B92792" w14:textId="77777777" w:rsidR="00FB74A0" w:rsidRPr="00FB74A0" w:rsidRDefault="00FB74A0" w:rsidP="00C80EA9">
            <w:pPr>
              <w:rPr>
                <w:shd w:val="clear" w:color="auto" w:fill="FFFFFF"/>
                <w:lang w:val="en-US"/>
              </w:rPr>
            </w:pPr>
          </w:p>
        </w:tc>
        <w:tc>
          <w:tcPr>
            <w:tcW w:w="1134" w:type="dxa"/>
          </w:tcPr>
          <w:p w14:paraId="5A2FB3D3" w14:textId="77777777" w:rsidR="00FB74A0" w:rsidRPr="00FB74A0" w:rsidRDefault="00FB74A0" w:rsidP="00C80EA9">
            <w:pPr>
              <w:rPr>
                <w:shd w:val="clear" w:color="auto" w:fill="FFFFFF"/>
                <w:lang w:val="en-US"/>
              </w:rPr>
            </w:pPr>
          </w:p>
        </w:tc>
        <w:tc>
          <w:tcPr>
            <w:tcW w:w="850" w:type="dxa"/>
          </w:tcPr>
          <w:p w14:paraId="731290CC" w14:textId="77777777" w:rsidR="00FB74A0" w:rsidRPr="00FB74A0" w:rsidRDefault="00FB74A0" w:rsidP="00C80EA9">
            <w:pPr>
              <w:rPr>
                <w:shd w:val="clear" w:color="auto" w:fill="FFFFFF"/>
                <w:lang w:val="en-US"/>
              </w:rPr>
            </w:pPr>
          </w:p>
        </w:tc>
        <w:tc>
          <w:tcPr>
            <w:tcW w:w="1276" w:type="dxa"/>
          </w:tcPr>
          <w:p w14:paraId="2A49E409" w14:textId="77777777" w:rsidR="00FB74A0" w:rsidRPr="00FB74A0" w:rsidRDefault="00FB74A0" w:rsidP="00C80EA9">
            <w:pPr>
              <w:rPr>
                <w:shd w:val="clear" w:color="auto" w:fill="FFFFFF"/>
                <w:lang w:val="en-US"/>
              </w:rPr>
            </w:pPr>
          </w:p>
        </w:tc>
      </w:tr>
      <w:tr w:rsidR="00FB74A0" w14:paraId="54DE5330" w14:textId="77777777" w:rsidTr="00AA1D40">
        <w:trPr>
          <w:trHeight w:val="548"/>
        </w:trPr>
        <w:tc>
          <w:tcPr>
            <w:tcW w:w="1555" w:type="dxa"/>
            <w:tcBorders>
              <w:right w:val="single" w:sz="4" w:space="0" w:color="auto"/>
            </w:tcBorders>
            <w:shd w:val="clear" w:color="auto" w:fill="auto"/>
          </w:tcPr>
          <w:p w14:paraId="67F590E9" w14:textId="77777777" w:rsidR="00FB74A0" w:rsidRDefault="00FB74A0" w:rsidP="00AA1D40">
            <w:pPr>
              <w:rPr>
                <w:shd w:val="clear" w:color="auto" w:fill="FFFFFF"/>
              </w:rPr>
            </w:pPr>
            <w:r>
              <w:rPr>
                <w:shd w:val="clear" w:color="auto" w:fill="FFFFFF"/>
              </w:rPr>
              <w:t>CP01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C52FC2" w14:textId="77777777" w:rsidR="00FB74A0" w:rsidRPr="008E4BE5" w:rsidRDefault="00FB74A0" w:rsidP="00AA1D40">
            <w:pPr>
              <w:rPr>
                <w:shd w:val="clear" w:color="auto" w:fill="FFFFFF"/>
              </w:rPr>
            </w:pPr>
            <w:r>
              <w:rPr>
                <w:color w:val="000000"/>
                <w:kern w:val="24"/>
              </w:rPr>
              <w:t>29.8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C5FBA4" w14:textId="77777777" w:rsidR="00FB74A0" w:rsidRPr="008E4BE5" w:rsidRDefault="00FB74A0" w:rsidP="00AA1D40">
            <w:pPr>
              <w:rPr>
                <w:shd w:val="clear" w:color="auto" w:fill="FFFFFF"/>
              </w:rPr>
            </w:pPr>
            <w:proofErr w:type="spellStart"/>
            <w:r>
              <w:rPr>
                <w:color w:val="000000"/>
                <w:kern w:val="24"/>
              </w:rPr>
              <w:t>wo</w:t>
            </w:r>
            <w:r w:rsidRPr="008E4BE5">
              <w:rPr>
                <w:color w:val="000000"/>
                <w:kern w:val="24"/>
              </w:rPr>
              <w:t>man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53BE6F" w14:textId="07EF8F38" w:rsidR="00FB74A0" w:rsidRPr="008E4BE5" w:rsidRDefault="00AA1D40" w:rsidP="00AA1D40">
            <w:pPr>
              <w:rPr>
                <w:shd w:val="clear" w:color="auto" w:fill="FFFFFF"/>
              </w:rPr>
            </w:pPr>
            <w:proofErr w:type="spellStart"/>
            <w:r>
              <w:rPr>
                <w:color w:val="000000" w:themeColor="dark1"/>
                <w:kern w:val="24"/>
              </w:rPr>
              <w:t>caucasian</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BD8BE7" w14:textId="77777777" w:rsidR="00FB74A0" w:rsidRPr="008E4BE5" w:rsidRDefault="00FB74A0" w:rsidP="00AA1D40">
            <w:pPr>
              <w:rPr>
                <w:shd w:val="clear" w:color="auto" w:fill="FFFFFF"/>
              </w:rPr>
            </w:pPr>
            <w:proofErr w:type="spellStart"/>
            <w:r>
              <w:rPr>
                <w:color w:val="000000"/>
                <w:kern w:val="24"/>
              </w:rPr>
              <w:t>yes</w:t>
            </w:r>
            <w:proofErr w:type="spellEnd"/>
          </w:p>
        </w:tc>
        <w:tc>
          <w:tcPr>
            <w:tcW w:w="1134" w:type="dxa"/>
            <w:tcBorders>
              <w:top w:val="single" w:sz="4" w:space="0" w:color="auto"/>
              <w:left w:val="single" w:sz="4" w:space="0" w:color="auto"/>
              <w:bottom w:val="single" w:sz="4" w:space="0" w:color="auto"/>
            </w:tcBorders>
            <w:shd w:val="clear" w:color="auto" w:fill="auto"/>
          </w:tcPr>
          <w:p w14:paraId="58AD061E" w14:textId="77777777" w:rsidR="00FB74A0" w:rsidRPr="008E4BE5" w:rsidRDefault="00FB74A0" w:rsidP="00AA1D40">
            <w:pPr>
              <w:rPr>
                <w:shd w:val="clear" w:color="auto" w:fill="FFFFFF"/>
              </w:rPr>
            </w:pPr>
            <w:r>
              <w:rPr>
                <w:shd w:val="clear" w:color="auto" w:fill="FFFFFF"/>
              </w:rPr>
              <w:t>2</w:t>
            </w:r>
          </w:p>
        </w:tc>
        <w:tc>
          <w:tcPr>
            <w:tcW w:w="1134" w:type="dxa"/>
          </w:tcPr>
          <w:p w14:paraId="00D087A4" w14:textId="77777777" w:rsidR="00FB74A0" w:rsidRDefault="00FB74A0" w:rsidP="00AA1D40">
            <w:pPr>
              <w:tabs>
                <w:tab w:val="left" w:pos="460"/>
              </w:tabs>
              <w:rPr>
                <w:shd w:val="clear" w:color="auto" w:fill="FFFFFF"/>
              </w:rPr>
            </w:pPr>
            <w:proofErr w:type="spellStart"/>
            <w:r>
              <w:rPr>
                <w:shd w:val="clear" w:color="auto" w:fill="FFFFFF"/>
              </w:rPr>
              <w:t>yes</w:t>
            </w:r>
            <w:proofErr w:type="spellEnd"/>
          </w:p>
        </w:tc>
        <w:tc>
          <w:tcPr>
            <w:tcW w:w="850" w:type="dxa"/>
          </w:tcPr>
          <w:p w14:paraId="5AF050C7" w14:textId="77777777" w:rsidR="00FB74A0" w:rsidRDefault="00FB74A0" w:rsidP="00AA1D40">
            <w:pPr>
              <w:rPr>
                <w:shd w:val="clear" w:color="auto" w:fill="FFFFFF"/>
              </w:rPr>
            </w:pPr>
            <w:proofErr w:type="spellStart"/>
            <w:r>
              <w:rPr>
                <w:shd w:val="clear" w:color="auto" w:fill="FFFFFF"/>
              </w:rPr>
              <w:t>yes</w:t>
            </w:r>
            <w:proofErr w:type="spellEnd"/>
          </w:p>
        </w:tc>
        <w:tc>
          <w:tcPr>
            <w:tcW w:w="1276" w:type="dxa"/>
          </w:tcPr>
          <w:p w14:paraId="5057D6F5" w14:textId="77777777" w:rsidR="00FB74A0" w:rsidRDefault="00FB74A0" w:rsidP="00AA1D40">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15A04074" w14:textId="77777777" w:rsidTr="00AA1D40">
        <w:trPr>
          <w:trHeight w:val="561"/>
        </w:trPr>
        <w:tc>
          <w:tcPr>
            <w:tcW w:w="1555" w:type="dxa"/>
            <w:tcBorders>
              <w:right w:val="single" w:sz="4" w:space="0" w:color="auto"/>
            </w:tcBorders>
            <w:shd w:val="clear" w:color="auto" w:fill="auto"/>
          </w:tcPr>
          <w:p w14:paraId="702A3EA3" w14:textId="77777777" w:rsidR="00FB74A0" w:rsidRDefault="00FB74A0" w:rsidP="00AA1D40">
            <w:pPr>
              <w:rPr>
                <w:shd w:val="clear" w:color="auto" w:fill="FFFFFF"/>
              </w:rPr>
            </w:pPr>
            <w:r>
              <w:rPr>
                <w:shd w:val="clear" w:color="auto" w:fill="FFFFFF"/>
              </w:rPr>
              <w:t>CP02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B1EA21" w14:textId="77777777" w:rsidR="00FB74A0" w:rsidRPr="008E4BE5" w:rsidRDefault="00FB74A0" w:rsidP="00AA1D40">
            <w:pPr>
              <w:rPr>
                <w:shd w:val="clear" w:color="auto" w:fill="FFFFFF"/>
              </w:rPr>
            </w:pPr>
            <w:r w:rsidRPr="008E4BE5">
              <w:rPr>
                <w:color w:val="000000"/>
                <w:kern w:val="24"/>
              </w:rPr>
              <w:t>38.</w:t>
            </w:r>
            <w:r>
              <w:rPr>
                <w:color w:val="000000"/>
                <w:kern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6FB1A8" w14:textId="77777777" w:rsidR="00FB74A0" w:rsidRPr="008E4BE5" w:rsidRDefault="00FB74A0" w:rsidP="00AA1D40">
            <w:pPr>
              <w:rPr>
                <w:shd w:val="clear" w:color="auto" w:fill="FFFFFF"/>
              </w:rPr>
            </w:pPr>
            <w:proofErr w:type="spellStart"/>
            <w:r w:rsidRPr="008E4BE5">
              <w:rPr>
                <w:color w:val="000000"/>
                <w:kern w:val="24"/>
              </w:rPr>
              <w:t>woman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F4050" w14:textId="5AD5F860" w:rsidR="00FB74A0" w:rsidRPr="008E4BE5" w:rsidRDefault="00AA1D40" w:rsidP="00AA1D40">
            <w:pPr>
              <w:rPr>
                <w:shd w:val="clear" w:color="auto" w:fill="FFFFFF"/>
              </w:rPr>
            </w:pPr>
            <w:proofErr w:type="spellStart"/>
            <w:r>
              <w:rPr>
                <w:color w:val="000000" w:themeColor="dark1"/>
                <w:kern w:val="24"/>
              </w:rPr>
              <w:t>caucasian</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53256F" w14:textId="77777777" w:rsidR="00FB74A0" w:rsidRPr="008E4BE5" w:rsidRDefault="00FB74A0" w:rsidP="00AA1D40">
            <w:pPr>
              <w:rPr>
                <w:shd w:val="clear" w:color="auto" w:fill="FFFFFF"/>
              </w:rPr>
            </w:pPr>
            <w:proofErr w:type="spellStart"/>
            <w:r>
              <w:rPr>
                <w:color w:val="000000"/>
                <w:kern w:val="24"/>
              </w:rPr>
              <w:t>yes</w:t>
            </w:r>
            <w:proofErr w:type="spellEnd"/>
          </w:p>
        </w:tc>
        <w:tc>
          <w:tcPr>
            <w:tcW w:w="1134" w:type="dxa"/>
            <w:tcBorders>
              <w:top w:val="single" w:sz="4" w:space="0" w:color="auto"/>
              <w:left w:val="single" w:sz="4" w:space="0" w:color="auto"/>
              <w:bottom w:val="single" w:sz="4" w:space="0" w:color="auto"/>
            </w:tcBorders>
            <w:shd w:val="clear" w:color="auto" w:fill="auto"/>
          </w:tcPr>
          <w:p w14:paraId="11D01481" w14:textId="77777777" w:rsidR="00FB74A0" w:rsidRPr="008E4BE5" w:rsidRDefault="00FB74A0" w:rsidP="00AA1D40">
            <w:pPr>
              <w:rPr>
                <w:shd w:val="clear" w:color="auto" w:fill="FFFFFF"/>
              </w:rPr>
            </w:pPr>
            <w:r>
              <w:rPr>
                <w:shd w:val="clear" w:color="auto" w:fill="FFFFFF"/>
              </w:rPr>
              <w:t>1</w:t>
            </w:r>
          </w:p>
        </w:tc>
        <w:tc>
          <w:tcPr>
            <w:tcW w:w="1134" w:type="dxa"/>
          </w:tcPr>
          <w:p w14:paraId="76AF5208" w14:textId="77777777" w:rsidR="00FB74A0" w:rsidRDefault="00FB74A0" w:rsidP="00AA1D40">
            <w:pPr>
              <w:rPr>
                <w:shd w:val="clear" w:color="auto" w:fill="FFFFFF"/>
              </w:rPr>
            </w:pPr>
            <w:proofErr w:type="spellStart"/>
            <w:r>
              <w:rPr>
                <w:shd w:val="clear" w:color="auto" w:fill="FFFFFF"/>
              </w:rPr>
              <w:t>no</w:t>
            </w:r>
            <w:proofErr w:type="spellEnd"/>
          </w:p>
        </w:tc>
        <w:tc>
          <w:tcPr>
            <w:tcW w:w="850" w:type="dxa"/>
          </w:tcPr>
          <w:p w14:paraId="3EEAED73" w14:textId="77777777" w:rsidR="00FB74A0" w:rsidRDefault="00FB74A0" w:rsidP="00AA1D40">
            <w:pPr>
              <w:rPr>
                <w:shd w:val="clear" w:color="auto" w:fill="FFFFFF"/>
              </w:rPr>
            </w:pPr>
            <w:proofErr w:type="spellStart"/>
            <w:r>
              <w:rPr>
                <w:shd w:val="clear" w:color="auto" w:fill="FFFFFF"/>
              </w:rPr>
              <w:t>no</w:t>
            </w:r>
            <w:proofErr w:type="spellEnd"/>
          </w:p>
        </w:tc>
        <w:tc>
          <w:tcPr>
            <w:tcW w:w="1276" w:type="dxa"/>
          </w:tcPr>
          <w:p w14:paraId="55A42806" w14:textId="77777777" w:rsidR="00FB74A0" w:rsidRDefault="00FB74A0" w:rsidP="00AA1D40">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3988366C" w14:textId="77777777" w:rsidTr="00AA1D40">
        <w:trPr>
          <w:trHeight w:val="548"/>
        </w:trPr>
        <w:tc>
          <w:tcPr>
            <w:tcW w:w="1555" w:type="dxa"/>
            <w:tcBorders>
              <w:right w:val="single" w:sz="4" w:space="0" w:color="auto"/>
            </w:tcBorders>
            <w:shd w:val="clear" w:color="auto" w:fill="auto"/>
          </w:tcPr>
          <w:p w14:paraId="3FD5668D" w14:textId="77777777" w:rsidR="00FB74A0" w:rsidRDefault="00FB74A0" w:rsidP="00AA1D40">
            <w:pPr>
              <w:rPr>
                <w:shd w:val="clear" w:color="auto" w:fill="FFFFFF"/>
              </w:rPr>
            </w:pPr>
            <w:r>
              <w:rPr>
                <w:shd w:val="clear" w:color="auto" w:fill="FFFFFF"/>
              </w:rPr>
              <w:t>CP03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CC02D7" w14:textId="77777777" w:rsidR="00FB74A0" w:rsidRPr="008E4BE5" w:rsidRDefault="00FB74A0" w:rsidP="00AA1D40">
            <w:pPr>
              <w:rPr>
                <w:shd w:val="clear" w:color="auto" w:fill="FFFFFF"/>
              </w:rPr>
            </w:pPr>
            <w:r w:rsidRPr="008E4BE5">
              <w:rPr>
                <w:color w:val="000000"/>
                <w:kern w:val="24"/>
              </w:rPr>
              <w:t>20.9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95E738" w14:textId="77777777" w:rsidR="00FB74A0" w:rsidRPr="008E4BE5" w:rsidRDefault="00FB74A0" w:rsidP="00AA1D40">
            <w:pPr>
              <w:rPr>
                <w:shd w:val="clear" w:color="auto" w:fill="FFFFFF"/>
              </w:rPr>
            </w:pPr>
            <w:proofErr w:type="spellStart"/>
            <w:r w:rsidRPr="008E4BE5">
              <w:rPr>
                <w:color w:val="000000"/>
                <w:kern w:val="24"/>
              </w:rPr>
              <w:t>woman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D42597" w14:textId="52C76E3C" w:rsidR="00FB74A0" w:rsidRPr="008E4BE5" w:rsidRDefault="00AA1D40" w:rsidP="00AA1D40">
            <w:pPr>
              <w:rPr>
                <w:shd w:val="clear" w:color="auto" w:fill="FFFFFF"/>
              </w:rPr>
            </w:pPr>
            <w:proofErr w:type="spellStart"/>
            <w:r>
              <w:rPr>
                <w:color w:val="000000" w:themeColor="dark1"/>
                <w:kern w:val="24"/>
              </w:rPr>
              <w:t>caucasian</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B2C7F4" w14:textId="77777777" w:rsidR="00FB74A0" w:rsidRPr="008E4BE5" w:rsidRDefault="00FB74A0" w:rsidP="00AA1D40">
            <w:pPr>
              <w:rPr>
                <w:shd w:val="clear" w:color="auto" w:fill="FFFFFF"/>
              </w:rPr>
            </w:pPr>
            <w:proofErr w:type="spellStart"/>
            <w:r>
              <w:rPr>
                <w:color w:val="000000"/>
                <w:kern w:val="24"/>
              </w:rPr>
              <w:t>yes</w:t>
            </w:r>
            <w:proofErr w:type="spellEnd"/>
          </w:p>
        </w:tc>
        <w:tc>
          <w:tcPr>
            <w:tcW w:w="1134" w:type="dxa"/>
            <w:tcBorders>
              <w:top w:val="single" w:sz="4" w:space="0" w:color="auto"/>
              <w:left w:val="single" w:sz="4" w:space="0" w:color="auto"/>
              <w:bottom w:val="single" w:sz="4" w:space="0" w:color="auto"/>
            </w:tcBorders>
            <w:shd w:val="clear" w:color="auto" w:fill="auto"/>
          </w:tcPr>
          <w:p w14:paraId="48ADBB06" w14:textId="77777777" w:rsidR="00FB74A0" w:rsidRPr="008E4BE5" w:rsidRDefault="00FB74A0" w:rsidP="00AA1D40">
            <w:pPr>
              <w:rPr>
                <w:shd w:val="clear" w:color="auto" w:fill="FFFFFF"/>
              </w:rPr>
            </w:pPr>
            <w:r>
              <w:rPr>
                <w:shd w:val="clear" w:color="auto" w:fill="FFFFFF"/>
              </w:rPr>
              <w:t>1</w:t>
            </w:r>
          </w:p>
        </w:tc>
        <w:tc>
          <w:tcPr>
            <w:tcW w:w="1134" w:type="dxa"/>
          </w:tcPr>
          <w:p w14:paraId="4BECB7C9" w14:textId="77777777" w:rsidR="00FB74A0" w:rsidRDefault="00FB74A0" w:rsidP="00AA1D40">
            <w:pPr>
              <w:rPr>
                <w:shd w:val="clear" w:color="auto" w:fill="FFFFFF"/>
              </w:rPr>
            </w:pPr>
            <w:proofErr w:type="spellStart"/>
            <w:r>
              <w:rPr>
                <w:shd w:val="clear" w:color="auto" w:fill="FFFFFF"/>
              </w:rPr>
              <w:t>yes</w:t>
            </w:r>
            <w:proofErr w:type="spellEnd"/>
          </w:p>
        </w:tc>
        <w:tc>
          <w:tcPr>
            <w:tcW w:w="850" w:type="dxa"/>
          </w:tcPr>
          <w:p w14:paraId="5353755B" w14:textId="77777777" w:rsidR="00FB74A0" w:rsidRDefault="00FB74A0" w:rsidP="00AA1D40">
            <w:pPr>
              <w:rPr>
                <w:shd w:val="clear" w:color="auto" w:fill="FFFFFF"/>
              </w:rPr>
            </w:pPr>
            <w:proofErr w:type="spellStart"/>
            <w:r>
              <w:rPr>
                <w:shd w:val="clear" w:color="auto" w:fill="FFFFFF"/>
              </w:rPr>
              <w:t>no</w:t>
            </w:r>
            <w:proofErr w:type="spellEnd"/>
          </w:p>
        </w:tc>
        <w:tc>
          <w:tcPr>
            <w:tcW w:w="1276" w:type="dxa"/>
          </w:tcPr>
          <w:p w14:paraId="43CA0E02" w14:textId="77777777" w:rsidR="00FB74A0" w:rsidRDefault="00FB74A0" w:rsidP="00AA1D40">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no</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58F39302" w14:textId="77777777" w:rsidTr="00AA1D40">
        <w:trPr>
          <w:trHeight w:val="561"/>
        </w:trPr>
        <w:tc>
          <w:tcPr>
            <w:tcW w:w="1555" w:type="dxa"/>
            <w:tcBorders>
              <w:right w:val="single" w:sz="4" w:space="0" w:color="auto"/>
            </w:tcBorders>
            <w:shd w:val="clear" w:color="auto" w:fill="auto"/>
          </w:tcPr>
          <w:p w14:paraId="399CA2F4" w14:textId="77777777" w:rsidR="00FB74A0" w:rsidRDefault="00FB74A0" w:rsidP="00AA1D40">
            <w:pPr>
              <w:rPr>
                <w:shd w:val="clear" w:color="auto" w:fill="FFFFFF"/>
              </w:rPr>
            </w:pPr>
            <w:r>
              <w:rPr>
                <w:shd w:val="clear" w:color="auto" w:fill="FFFFFF"/>
              </w:rPr>
              <w:t>CP04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243CB0" w14:textId="77777777" w:rsidR="00FB74A0" w:rsidRPr="008E4BE5" w:rsidRDefault="00FB74A0" w:rsidP="00AA1D40">
            <w:pPr>
              <w:rPr>
                <w:shd w:val="clear" w:color="auto" w:fill="FFFFFF"/>
              </w:rPr>
            </w:pPr>
            <w:r>
              <w:rPr>
                <w:color w:val="000000"/>
                <w:kern w:val="24"/>
              </w:rPr>
              <w:t>68.4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901CF" w14:textId="77777777" w:rsidR="00FB74A0" w:rsidRPr="008E4BE5" w:rsidRDefault="00FB74A0" w:rsidP="00AA1D40">
            <w:pPr>
              <w:rPr>
                <w:shd w:val="clear" w:color="auto" w:fill="FFFFFF"/>
              </w:rPr>
            </w:pPr>
            <w:r w:rsidRPr="008E4BE5">
              <w:rPr>
                <w:color w:val="000000"/>
                <w:kern w:val="24"/>
              </w:rPr>
              <w:t>man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071BD2" w14:textId="7F591A66" w:rsidR="00FB74A0" w:rsidRPr="008E4BE5" w:rsidRDefault="00AA1D40" w:rsidP="00AA1D40">
            <w:pPr>
              <w:rPr>
                <w:shd w:val="clear" w:color="auto" w:fill="FFFFFF"/>
              </w:rPr>
            </w:pPr>
            <w:proofErr w:type="spellStart"/>
            <w:r>
              <w:rPr>
                <w:color w:val="000000" w:themeColor="dark1"/>
                <w:kern w:val="24"/>
              </w:rPr>
              <w:t>caucasian</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C314E9" w14:textId="77777777" w:rsidR="00FB74A0" w:rsidRPr="008E4BE5" w:rsidRDefault="00FB74A0" w:rsidP="00AA1D40">
            <w:pPr>
              <w:rPr>
                <w:shd w:val="clear" w:color="auto" w:fill="FFFFFF"/>
              </w:rPr>
            </w:pPr>
            <w:proofErr w:type="spellStart"/>
            <w:r>
              <w:rPr>
                <w:color w:val="000000"/>
                <w:kern w:val="24"/>
              </w:rPr>
              <w:t>yes</w:t>
            </w:r>
            <w:proofErr w:type="spellEnd"/>
          </w:p>
        </w:tc>
        <w:tc>
          <w:tcPr>
            <w:tcW w:w="1134" w:type="dxa"/>
            <w:tcBorders>
              <w:top w:val="single" w:sz="4" w:space="0" w:color="auto"/>
              <w:left w:val="single" w:sz="4" w:space="0" w:color="auto"/>
              <w:bottom w:val="single" w:sz="4" w:space="0" w:color="auto"/>
            </w:tcBorders>
            <w:shd w:val="clear" w:color="auto" w:fill="auto"/>
          </w:tcPr>
          <w:p w14:paraId="120635BE" w14:textId="77777777" w:rsidR="00FB74A0" w:rsidRPr="008E4BE5" w:rsidRDefault="00FB74A0" w:rsidP="00AA1D40">
            <w:pPr>
              <w:rPr>
                <w:shd w:val="clear" w:color="auto" w:fill="FFFFFF"/>
              </w:rPr>
            </w:pPr>
            <w:r>
              <w:rPr>
                <w:shd w:val="clear" w:color="auto" w:fill="FFFFFF"/>
              </w:rPr>
              <w:t>1</w:t>
            </w:r>
          </w:p>
        </w:tc>
        <w:tc>
          <w:tcPr>
            <w:tcW w:w="1134" w:type="dxa"/>
          </w:tcPr>
          <w:p w14:paraId="134880AF" w14:textId="77777777" w:rsidR="00FB74A0" w:rsidRDefault="00FB74A0" w:rsidP="00AA1D40">
            <w:pPr>
              <w:rPr>
                <w:shd w:val="clear" w:color="auto" w:fill="FFFFFF"/>
              </w:rPr>
            </w:pPr>
            <w:proofErr w:type="spellStart"/>
            <w:r>
              <w:rPr>
                <w:shd w:val="clear" w:color="auto" w:fill="FFFFFF"/>
              </w:rPr>
              <w:t>no</w:t>
            </w:r>
            <w:proofErr w:type="spellEnd"/>
          </w:p>
        </w:tc>
        <w:tc>
          <w:tcPr>
            <w:tcW w:w="850" w:type="dxa"/>
          </w:tcPr>
          <w:p w14:paraId="5F7D7810" w14:textId="77777777" w:rsidR="00FB74A0" w:rsidRDefault="00FB74A0" w:rsidP="00AA1D40">
            <w:pPr>
              <w:rPr>
                <w:shd w:val="clear" w:color="auto" w:fill="FFFFFF"/>
              </w:rPr>
            </w:pPr>
            <w:proofErr w:type="spellStart"/>
            <w:r>
              <w:rPr>
                <w:shd w:val="clear" w:color="auto" w:fill="FFFFFF"/>
              </w:rPr>
              <w:t>no</w:t>
            </w:r>
            <w:proofErr w:type="spellEnd"/>
          </w:p>
        </w:tc>
        <w:tc>
          <w:tcPr>
            <w:tcW w:w="1276" w:type="dxa"/>
          </w:tcPr>
          <w:p w14:paraId="6B73EA62" w14:textId="77777777" w:rsidR="00FB74A0" w:rsidRDefault="00FB74A0" w:rsidP="00AA1D40">
            <w:pPr>
              <w:rPr>
                <w:shd w:val="clear" w:color="auto" w:fill="FFFFFF"/>
              </w:rPr>
            </w:pPr>
            <w:proofErr w:type="spellStart"/>
            <w:r>
              <w:rPr>
                <w:shd w:val="clear" w:color="auto" w:fill="FFFFFF"/>
              </w:rPr>
              <w:t>yes</w:t>
            </w:r>
            <w:proofErr w:type="spellEnd"/>
            <w:r>
              <w:rPr>
                <w:shd w:val="clear" w:color="auto" w:fill="FFFFFF"/>
              </w:rPr>
              <w:t xml:space="preserve"> (</w:t>
            </w:r>
            <w:proofErr w:type="spellStart"/>
            <w:r>
              <w:rPr>
                <w:shd w:val="clear" w:color="auto" w:fill="FFFFFF"/>
              </w:rPr>
              <w:t>no</w:t>
            </w:r>
            <w:proofErr w:type="spellEnd"/>
            <w:r>
              <w:rPr>
                <w:shd w:val="clear" w:color="auto" w:fill="FFFFFF"/>
              </w:rPr>
              <w:t xml:space="preserve"> </w:t>
            </w:r>
            <w:proofErr w:type="spellStart"/>
            <w:proofErr w:type="gramStart"/>
            <w:r>
              <w:rPr>
                <w:shd w:val="clear" w:color="auto" w:fill="FFFFFF"/>
              </w:rPr>
              <w:t>change</w:t>
            </w:r>
            <w:proofErr w:type="spellEnd"/>
            <w:r>
              <w:rPr>
                <w:shd w:val="clear" w:color="auto" w:fill="FFFFFF"/>
              </w:rPr>
              <w:t>)*</w:t>
            </w:r>
            <w:proofErr w:type="gramEnd"/>
          </w:p>
        </w:tc>
      </w:tr>
      <w:tr w:rsidR="00FB74A0" w14:paraId="0F3DDCCF" w14:textId="77777777" w:rsidTr="00AA1D40">
        <w:trPr>
          <w:trHeight w:val="548"/>
        </w:trPr>
        <w:tc>
          <w:tcPr>
            <w:tcW w:w="1555" w:type="dxa"/>
            <w:shd w:val="clear" w:color="auto" w:fill="auto"/>
          </w:tcPr>
          <w:p w14:paraId="135B92AA" w14:textId="77777777" w:rsidR="00FB74A0" w:rsidRPr="000F019B" w:rsidRDefault="00FB74A0" w:rsidP="00AA1D40">
            <w:pPr>
              <w:rPr>
                <w:b/>
                <w:bCs/>
                <w:shd w:val="clear" w:color="auto" w:fill="FFFFFF"/>
              </w:rPr>
            </w:pPr>
            <w:r w:rsidRPr="000F019B">
              <w:rPr>
                <w:b/>
                <w:bCs/>
                <w:shd w:val="clear" w:color="auto" w:fill="FFFFFF"/>
              </w:rPr>
              <w:t xml:space="preserve">Summary </w:t>
            </w:r>
            <w:proofErr w:type="spellStart"/>
            <w:r w:rsidRPr="000F019B">
              <w:rPr>
                <w:b/>
                <w:bCs/>
                <w:shd w:val="clear" w:color="auto" w:fill="FFFFFF"/>
              </w:rPr>
              <w:t>of</w:t>
            </w:r>
            <w:proofErr w:type="spellEnd"/>
            <w:r w:rsidRPr="000F019B">
              <w:rPr>
                <w:b/>
                <w:bCs/>
                <w:shd w:val="clear" w:color="auto" w:fill="FFFFFF"/>
              </w:rPr>
              <w:t xml:space="preserve"> CP01-CP04</w:t>
            </w:r>
          </w:p>
        </w:tc>
        <w:tc>
          <w:tcPr>
            <w:tcW w:w="708" w:type="dxa"/>
            <w:shd w:val="clear" w:color="auto" w:fill="auto"/>
          </w:tcPr>
          <w:p w14:paraId="3B163C8E" w14:textId="77777777" w:rsidR="00FB74A0" w:rsidRPr="000F019B" w:rsidRDefault="00FB74A0" w:rsidP="00AA1D40">
            <w:pPr>
              <w:rPr>
                <w:b/>
                <w:bCs/>
                <w:shd w:val="clear" w:color="auto" w:fill="FFFFFF"/>
              </w:rPr>
            </w:pPr>
            <w:r>
              <w:rPr>
                <w:b/>
                <w:bCs/>
                <w:shd w:val="clear" w:color="auto" w:fill="FFFFFF"/>
              </w:rPr>
              <w:t xml:space="preserve">39.4 </w:t>
            </w:r>
            <w:r>
              <w:rPr>
                <w:b/>
                <w:bCs/>
                <w:shd w:val="clear" w:color="auto" w:fill="FFFFFF"/>
              </w:rPr>
              <w:sym w:font="Symbol" w:char="F0B1"/>
            </w:r>
            <w:r>
              <w:rPr>
                <w:b/>
                <w:bCs/>
                <w:shd w:val="clear" w:color="auto" w:fill="FFFFFF"/>
              </w:rPr>
              <w:t xml:space="preserve"> 20.6</w:t>
            </w:r>
          </w:p>
        </w:tc>
        <w:tc>
          <w:tcPr>
            <w:tcW w:w="993" w:type="dxa"/>
            <w:shd w:val="clear" w:color="auto" w:fill="auto"/>
          </w:tcPr>
          <w:p w14:paraId="5F1DE149" w14:textId="77777777" w:rsidR="00FB74A0" w:rsidRPr="00AA1D40" w:rsidRDefault="00FB74A0" w:rsidP="00AA1D40">
            <w:pPr>
              <w:rPr>
                <w:b/>
                <w:bCs/>
                <w:shd w:val="clear" w:color="auto" w:fill="FFFFFF"/>
              </w:rPr>
            </w:pPr>
            <w:r w:rsidRPr="00AA1D40">
              <w:rPr>
                <w:b/>
                <w:bCs/>
                <w:shd w:val="clear" w:color="auto" w:fill="FFFFFF"/>
              </w:rPr>
              <w:t xml:space="preserve">3 </w:t>
            </w:r>
            <w:proofErr w:type="spellStart"/>
            <w:r w:rsidRPr="00AA1D40">
              <w:rPr>
                <w:b/>
                <w:bCs/>
                <w:shd w:val="clear" w:color="auto" w:fill="FFFFFF"/>
              </w:rPr>
              <w:t>women</w:t>
            </w:r>
            <w:proofErr w:type="spellEnd"/>
            <w:r w:rsidRPr="00AA1D40">
              <w:rPr>
                <w:b/>
                <w:bCs/>
                <w:shd w:val="clear" w:color="auto" w:fill="FFFFFF"/>
              </w:rPr>
              <w:t>: 1 man</w:t>
            </w:r>
          </w:p>
        </w:tc>
        <w:tc>
          <w:tcPr>
            <w:tcW w:w="1275" w:type="dxa"/>
            <w:shd w:val="clear" w:color="auto" w:fill="auto"/>
          </w:tcPr>
          <w:p w14:paraId="18589539" w14:textId="577775C6" w:rsidR="00FB74A0" w:rsidRPr="00AA1D40" w:rsidRDefault="00FB74A0" w:rsidP="00AA1D40">
            <w:pPr>
              <w:rPr>
                <w:b/>
                <w:bCs/>
                <w:shd w:val="clear" w:color="auto" w:fill="FFFFFF"/>
              </w:rPr>
            </w:pPr>
            <w:r w:rsidRPr="00AA1D40">
              <w:rPr>
                <w:b/>
                <w:bCs/>
                <w:shd w:val="clear" w:color="auto" w:fill="FFFFFF"/>
              </w:rPr>
              <w:t>4/4</w:t>
            </w:r>
            <w:r w:rsidR="00AA1D40" w:rsidRPr="00AA1D40">
              <w:rPr>
                <w:b/>
                <w:bCs/>
                <w:color w:val="000000" w:themeColor="dark1"/>
                <w:kern w:val="24"/>
              </w:rPr>
              <w:t xml:space="preserve"> </w:t>
            </w:r>
            <w:proofErr w:type="spellStart"/>
            <w:r w:rsidR="00AA1D40" w:rsidRPr="00AA1D40">
              <w:rPr>
                <w:b/>
                <w:bCs/>
                <w:color w:val="000000" w:themeColor="dark1"/>
                <w:kern w:val="24"/>
              </w:rPr>
              <w:t>caucasian</w:t>
            </w:r>
            <w:proofErr w:type="spellEnd"/>
          </w:p>
        </w:tc>
        <w:tc>
          <w:tcPr>
            <w:tcW w:w="851" w:type="dxa"/>
            <w:shd w:val="clear" w:color="auto" w:fill="auto"/>
          </w:tcPr>
          <w:p w14:paraId="19616E2C" w14:textId="77777777" w:rsidR="00FB74A0" w:rsidRPr="000F019B" w:rsidRDefault="00FB74A0" w:rsidP="00AA1D40">
            <w:pPr>
              <w:rPr>
                <w:b/>
                <w:bCs/>
                <w:shd w:val="clear" w:color="auto" w:fill="FFFFFF"/>
              </w:rPr>
            </w:pPr>
            <w:r>
              <w:rPr>
                <w:b/>
                <w:bCs/>
                <w:shd w:val="clear" w:color="auto" w:fill="FFFFFF"/>
              </w:rPr>
              <w:t>4/4 NMO-ON</w:t>
            </w:r>
          </w:p>
        </w:tc>
        <w:tc>
          <w:tcPr>
            <w:tcW w:w="1134" w:type="dxa"/>
            <w:shd w:val="clear" w:color="auto" w:fill="auto"/>
          </w:tcPr>
          <w:p w14:paraId="49CC45E1" w14:textId="77777777" w:rsidR="00FB74A0" w:rsidRPr="000F019B" w:rsidRDefault="00FB74A0" w:rsidP="00AA1D40">
            <w:pPr>
              <w:rPr>
                <w:b/>
                <w:bCs/>
                <w:shd w:val="clear" w:color="auto" w:fill="FFFFFF"/>
              </w:rPr>
            </w:pPr>
            <w:r>
              <w:rPr>
                <w:b/>
                <w:bCs/>
                <w:shd w:val="clear" w:color="auto" w:fill="FFFFFF"/>
              </w:rPr>
              <w:t>Median 1</w:t>
            </w:r>
          </w:p>
        </w:tc>
        <w:tc>
          <w:tcPr>
            <w:tcW w:w="1134" w:type="dxa"/>
          </w:tcPr>
          <w:p w14:paraId="3CA1B5E9" w14:textId="77777777" w:rsidR="00FB74A0" w:rsidRPr="000F019B" w:rsidRDefault="00FB74A0" w:rsidP="00AA1D40">
            <w:pPr>
              <w:rPr>
                <w:b/>
                <w:bCs/>
                <w:shd w:val="clear" w:color="auto" w:fill="FFFFFF"/>
              </w:rPr>
            </w:pPr>
            <w:r>
              <w:rPr>
                <w:b/>
                <w:bCs/>
                <w:shd w:val="clear" w:color="auto" w:fill="FFFFFF"/>
              </w:rPr>
              <w:t xml:space="preserve">2 </w:t>
            </w:r>
            <w:proofErr w:type="spellStart"/>
            <w:r>
              <w:rPr>
                <w:b/>
                <w:bCs/>
                <w:shd w:val="clear" w:color="auto" w:fill="FFFFFF"/>
              </w:rPr>
              <w:t>yes</w:t>
            </w:r>
            <w:proofErr w:type="spellEnd"/>
            <w:r>
              <w:rPr>
                <w:b/>
                <w:bCs/>
                <w:shd w:val="clear" w:color="auto" w:fill="FFFFFF"/>
              </w:rPr>
              <w:t xml:space="preserve">: 2 </w:t>
            </w:r>
            <w:proofErr w:type="spellStart"/>
            <w:r>
              <w:rPr>
                <w:b/>
                <w:bCs/>
                <w:shd w:val="clear" w:color="auto" w:fill="FFFFFF"/>
              </w:rPr>
              <w:t>no</w:t>
            </w:r>
            <w:proofErr w:type="spellEnd"/>
          </w:p>
        </w:tc>
        <w:tc>
          <w:tcPr>
            <w:tcW w:w="850" w:type="dxa"/>
          </w:tcPr>
          <w:p w14:paraId="22CC7813" w14:textId="77777777" w:rsidR="00FB74A0" w:rsidRPr="000F019B" w:rsidRDefault="00FB74A0" w:rsidP="00AA1D40">
            <w:pPr>
              <w:rPr>
                <w:b/>
                <w:bCs/>
                <w:shd w:val="clear" w:color="auto" w:fill="FFFFFF"/>
              </w:rPr>
            </w:pPr>
            <w:r>
              <w:rPr>
                <w:b/>
                <w:bCs/>
                <w:shd w:val="clear" w:color="auto" w:fill="FFFFFF"/>
              </w:rPr>
              <w:t xml:space="preserve">1 </w:t>
            </w:r>
            <w:proofErr w:type="spellStart"/>
            <w:r>
              <w:rPr>
                <w:b/>
                <w:bCs/>
                <w:shd w:val="clear" w:color="auto" w:fill="FFFFFF"/>
              </w:rPr>
              <w:t>yes</w:t>
            </w:r>
            <w:proofErr w:type="spellEnd"/>
            <w:r>
              <w:rPr>
                <w:b/>
                <w:bCs/>
                <w:shd w:val="clear" w:color="auto" w:fill="FFFFFF"/>
              </w:rPr>
              <w:t xml:space="preserve">: 3 </w:t>
            </w:r>
            <w:proofErr w:type="spellStart"/>
            <w:r>
              <w:rPr>
                <w:b/>
                <w:bCs/>
                <w:shd w:val="clear" w:color="auto" w:fill="FFFFFF"/>
              </w:rPr>
              <w:t>no</w:t>
            </w:r>
            <w:proofErr w:type="spellEnd"/>
            <w:r>
              <w:rPr>
                <w:b/>
                <w:bCs/>
                <w:shd w:val="clear" w:color="auto" w:fill="FFFFFF"/>
              </w:rPr>
              <w:t xml:space="preserve"> </w:t>
            </w:r>
          </w:p>
        </w:tc>
        <w:tc>
          <w:tcPr>
            <w:tcW w:w="1276" w:type="dxa"/>
          </w:tcPr>
          <w:p w14:paraId="19272EDF" w14:textId="77777777" w:rsidR="00FB74A0" w:rsidRPr="00FB74A0" w:rsidRDefault="00FB74A0" w:rsidP="00AA1D40">
            <w:pPr>
              <w:rPr>
                <w:b/>
                <w:bCs/>
                <w:shd w:val="clear" w:color="auto" w:fill="FFFFFF"/>
                <w:lang w:val="en-US"/>
              </w:rPr>
            </w:pPr>
            <w:r w:rsidRPr="00FB74A0">
              <w:rPr>
                <w:b/>
                <w:bCs/>
                <w:shd w:val="clear" w:color="auto" w:fill="FFFFFF"/>
                <w:lang w:val="en-US"/>
              </w:rPr>
              <w:t>4/4 yes (2/4 with a treatment change during follow-up)</w:t>
            </w:r>
          </w:p>
        </w:tc>
      </w:tr>
    </w:tbl>
    <w:p w14:paraId="534CA2BA" w14:textId="77777777" w:rsidR="00FB74A0" w:rsidRDefault="00FB74A0" w:rsidP="00FB74A0">
      <w:pPr>
        <w:rPr>
          <w:shd w:val="clear" w:color="auto" w:fill="FFFFFF"/>
        </w:rPr>
      </w:pPr>
    </w:p>
    <w:p w14:paraId="3E0B95E2" w14:textId="77777777" w:rsidR="00FB74A0" w:rsidRPr="000F019B" w:rsidRDefault="00FB74A0" w:rsidP="00FB74A0">
      <w:pPr>
        <w:rPr>
          <w:b/>
        </w:rPr>
      </w:pPr>
      <w:r w:rsidRPr="000F019B">
        <w:rPr>
          <w:b/>
        </w:rPr>
        <w:t>Legend table S1</w:t>
      </w:r>
    </w:p>
    <w:p w14:paraId="5D81D08C" w14:textId="68338B85" w:rsidR="00FB74A0" w:rsidRDefault="00FB74A0" w:rsidP="00FB74A0">
      <w:pPr>
        <w:rPr>
          <w:bCs/>
        </w:rPr>
      </w:pPr>
      <w:r>
        <w:rPr>
          <w:bCs/>
        </w:rPr>
        <w:t>*: Most patients had some change in their immunosuppressive treatment during follow-up: P01 from rituximab to azathioprine (between V0 and V1), P02: from methotrexat</w:t>
      </w:r>
      <w:r w:rsidR="007A100B">
        <w:rPr>
          <w:bCs/>
        </w:rPr>
        <w:t>e</w:t>
      </w:r>
      <w:r>
        <w:rPr>
          <w:bCs/>
        </w:rPr>
        <w:t xml:space="preserve"> to methotrexat</w:t>
      </w:r>
      <w:r w:rsidR="007A100B">
        <w:rPr>
          <w:bCs/>
        </w:rPr>
        <w:t>e</w:t>
      </w:r>
      <w:bookmarkStart w:id="2" w:name="_GoBack"/>
      <w:bookmarkEnd w:id="2"/>
      <w:r>
        <w:rPr>
          <w:bCs/>
        </w:rPr>
        <w:t xml:space="preserve"> and rituximab (between V0 and V1), P03: from azathioprine to prednisolone </w:t>
      </w:r>
      <w:r>
        <w:rPr>
          <w:bCs/>
        </w:rPr>
        <w:lastRenderedPageBreak/>
        <w:t>(between V0 and V1) and from prednisolone to mycophenolate mofetil (between V1 and V2), CP01: from rituximab to azathioprine (between V2 and V3), and CP02: from azathioprine to rituximab and from rituximab to mycophenolate mofetil (between V0 and V1). P04, CP03 and CP04 had no treatment change during the entire follow-up period (the first two had azathioprine and the last rituximab).</w:t>
      </w:r>
    </w:p>
    <w:p w14:paraId="582A75B5" w14:textId="0601AB09" w:rsidR="00FB74A0" w:rsidRPr="000F019B" w:rsidRDefault="00FB74A0" w:rsidP="00FB74A0">
      <w:pPr>
        <w:rPr>
          <w:bCs/>
        </w:rPr>
      </w:pPr>
      <w:r w:rsidRPr="000F019B">
        <w:rPr>
          <w:bCs/>
        </w:rPr>
        <w:t>Abbreviations</w:t>
      </w:r>
      <w:r>
        <w:rPr>
          <w:bCs/>
        </w:rPr>
        <w:t xml:space="preserve">: NMO-ON: patients with neuromyelitis </w:t>
      </w:r>
      <w:proofErr w:type="spellStart"/>
      <w:r>
        <w:rPr>
          <w:bCs/>
        </w:rPr>
        <w:t>optica</w:t>
      </w:r>
      <w:proofErr w:type="spellEnd"/>
      <w:r>
        <w:rPr>
          <w:bCs/>
        </w:rPr>
        <w:t xml:space="preserve"> and prior optic neuritis, ON= optic neuritis, SLE= systemic lupus </w:t>
      </w:r>
      <w:proofErr w:type="spellStart"/>
      <w:r>
        <w:rPr>
          <w:bCs/>
        </w:rPr>
        <w:t>erythematodes</w:t>
      </w:r>
      <w:proofErr w:type="spellEnd"/>
      <w:r w:rsidR="00AA1D40">
        <w:rPr>
          <w:bCs/>
        </w:rPr>
        <w:t xml:space="preserve">, y= years </w:t>
      </w:r>
    </w:p>
    <w:p w14:paraId="7534CA85" w14:textId="77777777" w:rsidR="00722ECA" w:rsidRDefault="00722ECA" w:rsidP="00590739">
      <w:pPr>
        <w:rPr>
          <w:b/>
        </w:rPr>
      </w:pPr>
    </w:p>
    <w:p w14:paraId="67D9D604" w14:textId="385D7A97" w:rsidR="00590739" w:rsidRPr="00590739" w:rsidRDefault="00733EE7" w:rsidP="00590739">
      <w:pPr>
        <w:rPr>
          <w:b/>
        </w:rPr>
      </w:pPr>
      <w:r>
        <w:rPr>
          <w:b/>
        </w:rPr>
        <w:t>REFERENCES</w:t>
      </w:r>
    </w:p>
    <w:p w14:paraId="78F720FC" w14:textId="77777777" w:rsidR="00053B77" w:rsidRPr="00053B77" w:rsidRDefault="00590739" w:rsidP="00053B77">
      <w:pPr>
        <w:pStyle w:val="Bibliography"/>
        <w:rPr>
          <w:lang w:val="en-GB"/>
        </w:rPr>
      </w:pPr>
      <w:r>
        <w:fldChar w:fldCharType="begin"/>
      </w:r>
      <w:r w:rsidR="00053B77">
        <w:instrText xml:space="preserve"> ADDIN ZOTERO_BIBL {"uncited":[],"omitted":[],"custom":[]} CSL_BIBLIOGRAPHY </w:instrText>
      </w:r>
      <w:r>
        <w:fldChar w:fldCharType="separate"/>
      </w:r>
      <w:r w:rsidR="00053B77" w:rsidRPr="00053B77">
        <w:rPr>
          <w:lang w:val="en-GB"/>
        </w:rPr>
        <w:t xml:space="preserve">1 </w:t>
      </w:r>
      <w:r w:rsidR="00053B77" w:rsidRPr="00053B77">
        <w:rPr>
          <w:lang w:val="en-GB"/>
        </w:rPr>
        <w:tab/>
        <w:t xml:space="preserve">Chakravarty MM, Bertrand G, Hodge CP, </w:t>
      </w:r>
      <w:r w:rsidR="00053B77" w:rsidRPr="00053B77">
        <w:rPr>
          <w:i/>
          <w:iCs/>
          <w:lang w:val="en-GB"/>
        </w:rPr>
        <w:t>et al.</w:t>
      </w:r>
      <w:r w:rsidR="00053B77" w:rsidRPr="00053B77">
        <w:rPr>
          <w:lang w:val="en-GB"/>
        </w:rPr>
        <w:t xml:space="preserve"> The creation of a brain atlas for image guided neurosurgery using serial histological data. </w:t>
      </w:r>
      <w:r w:rsidR="00053B77" w:rsidRPr="00053B77">
        <w:rPr>
          <w:i/>
          <w:iCs/>
          <w:lang w:val="en-GB"/>
        </w:rPr>
        <w:t>NeuroImage</w:t>
      </w:r>
      <w:r w:rsidR="00053B77" w:rsidRPr="00053B77">
        <w:rPr>
          <w:lang w:val="en-GB"/>
        </w:rPr>
        <w:t xml:space="preserve"> 2006;</w:t>
      </w:r>
      <w:r w:rsidR="00053B77" w:rsidRPr="00053B77">
        <w:rPr>
          <w:b/>
          <w:bCs/>
          <w:lang w:val="en-GB"/>
        </w:rPr>
        <w:t>30</w:t>
      </w:r>
      <w:r w:rsidR="00053B77" w:rsidRPr="00053B77">
        <w:rPr>
          <w:lang w:val="en-GB"/>
        </w:rPr>
        <w:t>:359–76. doi:10.1016/j.neuroimage.2005.09.041</w:t>
      </w:r>
    </w:p>
    <w:p w14:paraId="3BB94B8C" w14:textId="77777777" w:rsidR="00053B77" w:rsidRPr="00053B77" w:rsidRDefault="00053B77" w:rsidP="00053B77">
      <w:pPr>
        <w:pStyle w:val="Bibliography"/>
        <w:rPr>
          <w:lang w:val="en-GB"/>
        </w:rPr>
      </w:pPr>
      <w:r w:rsidRPr="00053B77">
        <w:rPr>
          <w:lang w:val="en-GB"/>
        </w:rPr>
        <w:t xml:space="preserve">2 </w:t>
      </w:r>
      <w:r w:rsidRPr="00053B77">
        <w:rPr>
          <w:lang w:val="en-GB"/>
        </w:rPr>
        <w:tab/>
        <w:t xml:space="preserve">Chakravarty MM, Steadman P, van Eede MC, </w:t>
      </w:r>
      <w:r w:rsidRPr="00053B77">
        <w:rPr>
          <w:i/>
          <w:iCs/>
          <w:lang w:val="en-GB"/>
        </w:rPr>
        <w:t>et al.</w:t>
      </w:r>
      <w:r w:rsidRPr="00053B77">
        <w:rPr>
          <w:lang w:val="en-GB"/>
        </w:rPr>
        <w:t xml:space="preserve"> Performing label-fusion-based segmentation using multiple automatically generated templates. </w:t>
      </w:r>
      <w:r w:rsidRPr="00053B77">
        <w:rPr>
          <w:i/>
          <w:iCs/>
          <w:lang w:val="en-GB"/>
        </w:rPr>
        <w:t>Hum Brain Mapp</w:t>
      </w:r>
      <w:r w:rsidRPr="00053B77">
        <w:rPr>
          <w:lang w:val="en-GB"/>
        </w:rPr>
        <w:t xml:space="preserve"> 2013;</w:t>
      </w:r>
      <w:r w:rsidRPr="00053B77">
        <w:rPr>
          <w:b/>
          <w:bCs/>
          <w:lang w:val="en-GB"/>
        </w:rPr>
        <w:t>34</w:t>
      </w:r>
      <w:r w:rsidRPr="00053B77">
        <w:rPr>
          <w:lang w:val="en-GB"/>
        </w:rPr>
        <w:t>:2635–54. doi:10.1002/hbm.22092</w:t>
      </w:r>
    </w:p>
    <w:p w14:paraId="4E941832" w14:textId="77777777" w:rsidR="00053B77" w:rsidRPr="00053B77" w:rsidRDefault="00053B77" w:rsidP="00053B77">
      <w:pPr>
        <w:pStyle w:val="Bibliography"/>
        <w:rPr>
          <w:lang w:val="en-GB"/>
        </w:rPr>
      </w:pPr>
      <w:r w:rsidRPr="00053B77">
        <w:rPr>
          <w:lang w:val="en-GB"/>
        </w:rPr>
        <w:t xml:space="preserve">3 </w:t>
      </w:r>
      <w:r w:rsidRPr="00053B77">
        <w:rPr>
          <w:lang w:val="en-GB"/>
        </w:rPr>
        <w:tab/>
        <w:t xml:space="preserve">Hirai T, Jones EG. A new parcellation of the human thalamus on the basis of histochemical staining. </w:t>
      </w:r>
      <w:r w:rsidRPr="00053B77">
        <w:rPr>
          <w:i/>
          <w:iCs/>
          <w:lang w:val="en-GB"/>
        </w:rPr>
        <w:t>Brain Res Brain Res Rev</w:t>
      </w:r>
      <w:r w:rsidRPr="00053B77">
        <w:rPr>
          <w:lang w:val="en-GB"/>
        </w:rPr>
        <w:t xml:space="preserve"> 1989;</w:t>
      </w:r>
      <w:r w:rsidRPr="00053B77">
        <w:rPr>
          <w:b/>
          <w:bCs/>
          <w:lang w:val="en-GB"/>
        </w:rPr>
        <w:t>14</w:t>
      </w:r>
      <w:r w:rsidRPr="00053B77">
        <w:rPr>
          <w:lang w:val="en-GB"/>
        </w:rPr>
        <w:t>:1–34.</w:t>
      </w:r>
    </w:p>
    <w:p w14:paraId="227103F1" w14:textId="77777777" w:rsidR="00053B77" w:rsidRPr="00053B77" w:rsidRDefault="00053B77" w:rsidP="00053B77">
      <w:pPr>
        <w:pStyle w:val="Bibliography"/>
        <w:rPr>
          <w:lang w:val="en-GB"/>
        </w:rPr>
      </w:pPr>
      <w:r w:rsidRPr="00053B77">
        <w:rPr>
          <w:lang w:val="en-GB"/>
        </w:rPr>
        <w:t xml:space="preserve">4 </w:t>
      </w:r>
      <w:r w:rsidRPr="00053B77">
        <w:rPr>
          <w:lang w:val="en-GB"/>
        </w:rPr>
        <w:tab/>
        <w:t xml:space="preserve">Pipitone J, Park MTM, Winterburn J, </w:t>
      </w:r>
      <w:r w:rsidRPr="00053B77">
        <w:rPr>
          <w:i/>
          <w:iCs/>
          <w:lang w:val="en-GB"/>
        </w:rPr>
        <w:t>et al.</w:t>
      </w:r>
      <w:r w:rsidRPr="00053B77">
        <w:rPr>
          <w:lang w:val="en-GB"/>
        </w:rPr>
        <w:t xml:space="preserve"> Multi-atlas segmentation of the whole hippocampus and subfields using multiple automatically generated templates. </w:t>
      </w:r>
      <w:r w:rsidRPr="00053B77">
        <w:rPr>
          <w:i/>
          <w:iCs/>
          <w:lang w:val="en-GB"/>
        </w:rPr>
        <w:t>NeuroImage</w:t>
      </w:r>
      <w:r w:rsidRPr="00053B77">
        <w:rPr>
          <w:lang w:val="en-GB"/>
        </w:rPr>
        <w:t xml:space="preserve"> 2014;</w:t>
      </w:r>
      <w:r w:rsidRPr="00053B77">
        <w:rPr>
          <w:b/>
          <w:bCs/>
          <w:lang w:val="en-GB"/>
        </w:rPr>
        <w:t>101</w:t>
      </w:r>
      <w:r w:rsidRPr="00053B77">
        <w:rPr>
          <w:lang w:val="en-GB"/>
        </w:rPr>
        <w:t>:494–512. doi:10.1016/j.neuroimage.2014.04.054</w:t>
      </w:r>
    </w:p>
    <w:p w14:paraId="64B0FCDB" w14:textId="77777777" w:rsidR="00053B77" w:rsidRPr="00053B77" w:rsidRDefault="00053B77" w:rsidP="00053B77">
      <w:pPr>
        <w:pStyle w:val="Bibliography"/>
        <w:rPr>
          <w:lang w:val="en-GB"/>
        </w:rPr>
      </w:pPr>
      <w:r w:rsidRPr="00053B77">
        <w:rPr>
          <w:lang w:val="en-GB"/>
        </w:rPr>
        <w:t xml:space="preserve">5 </w:t>
      </w:r>
      <w:r w:rsidRPr="00053B77">
        <w:rPr>
          <w:lang w:val="en-GB"/>
        </w:rPr>
        <w:tab/>
        <w:t xml:space="preserve">Magon S, Chakravarty MM, Amann M, </w:t>
      </w:r>
      <w:r w:rsidRPr="00053B77">
        <w:rPr>
          <w:i/>
          <w:iCs/>
          <w:lang w:val="en-GB"/>
        </w:rPr>
        <w:t>et al.</w:t>
      </w:r>
      <w:r w:rsidRPr="00053B77">
        <w:rPr>
          <w:lang w:val="en-GB"/>
        </w:rPr>
        <w:t xml:space="preserve"> Label-fusion-segmentation and deformation-based shape analysis of deep gray matter in multiple sclerosis: the impact of thalamic subnuclei on disability. </w:t>
      </w:r>
      <w:r w:rsidRPr="00053B77">
        <w:rPr>
          <w:i/>
          <w:iCs/>
          <w:lang w:val="en-GB"/>
        </w:rPr>
        <w:t>Hum Brain Mapp</w:t>
      </w:r>
      <w:r w:rsidRPr="00053B77">
        <w:rPr>
          <w:lang w:val="en-GB"/>
        </w:rPr>
        <w:t xml:space="preserve"> 2014;</w:t>
      </w:r>
      <w:r w:rsidRPr="00053B77">
        <w:rPr>
          <w:b/>
          <w:bCs/>
          <w:lang w:val="en-GB"/>
        </w:rPr>
        <w:t>35</w:t>
      </w:r>
      <w:r w:rsidRPr="00053B77">
        <w:rPr>
          <w:lang w:val="en-GB"/>
        </w:rPr>
        <w:t>:4193–203. doi:10.1002/hbm.22470</w:t>
      </w:r>
    </w:p>
    <w:p w14:paraId="74E14242" w14:textId="77777777" w:rsidR="00053B77" w:rsidRPr="00053B77" w:rsidRDefault="00053B77" w:rsidP="00053B77">
      <w:pPr>
        <w:pStyle w:val="Bibliography"/>
        <w:rPr>
          <w:lang w:val="de-CH"/>
        </w:rPr>
      </w:pPr>
      <w:r w:rsidRPr="00053B77">
        <w:rPr>
          <w:lang w:val="en-GB"/>
        </w:rPr>
        <w:t xml:space="preserve">6 </w:t>
      </w:r>
      <w:r w:rsidRPr="00053B77">
        <w:rPr>
          <w:lang w:val="en-GB"/>
        </w:rPr>
        <w:tab/>
        <w:t xml:space="preserve">Tournier J-D, Calamante F, Connelly A. Robust determination of the fibre orientation distribution in diffusion MRI: non-negativity constrained super-resolved spherical deconvolution. </w:t>
      </w:r>
      <w:r w:rsidRPr="00053B77">
        <w:rPr>
          <w:i/>
          <w:iCs/>
          <w:lang w:val="de-CH"/>
        </w:rPr>
        <w:t>NeuroImage</w:t>
      </w:r>
      <w:r w:rsidRPr="00053B77">
        <w:rPr>
          <w:lang w:val="de-CH"/>
        </w:rPr>
        <w:t xml:space="preserve"> 2007;</w:t>
      </w:r>
      <w:r w:rsidRPr="00053B77">
        <w:rPr>
          <w:b/>
          <w:bCs/>
          <w:lang w:val="de-CH"/>
        </w:rPr>
        <w:t>35</w:t>
      </w:r>
      <w:r w:rsidRPr="00053B77">
        <w:rPr>
          <w:lang w:val="de-CH"/>
        </w:rPr>
        <w:t>:1459–72. doi:10.1016/j.neuroimage.2007.02.016</w:t>
      </w:r>
    </w:p>
    <w:p w14:paraId="00B7E2FA" w14:textId="77777777" w:rsidR="00053B77" w:rsidRPr="00053B77" w:rsidRDefault="00053B77" w:rsidP="00053B77">
      <w:pPr>
        <w:pStyle w:val="Bibliography"/>
        <w:rPr>
          <w:lang w:val="en-GB"/>
        </w:rPr>
      </w:pPr>
      <w:r w:rsidRPr="00053B77">
        <w:rPr>
          <w:lang w:val="de-CH"/>
        </w:rPr>
        <w:t xml:space="preserve">7 </w:t>
      </w:r>
      <w:r w:rsidRPr="00053B77">
        <w:rPr>
          <w:lang w:val="de-CH"/>
        </w:rPr>
        <w:tab/>
        <w:t xml:space="preserve">Cruz-Herranz A, Balk LJ, Oberwahrenbrock T, </w:t>
      </w:r>
      <w:r w:rsidRPr="00053B77">
        <w:rPr>
          <w:i/>
          <w:iCs/>
          <w:lang w:val="de-CH"/>
        </w:rPr>
        <w:t>et al.</w:t>
      </w:r>
      <w:r w:rsidRPr="00053B77">
        <w:rPr>
          <w:lang w:val="de-CH"/>
        </w:rPr>
        <w:t xml:space="preserve"> </w:t>
      </w:r>
      <w:r w:rsidRPr="00053B77">
        <w:rPr>
          <w:lang w:val="en-GB"/>
        </w:rPr>
        <w:t xml:space="preserve">The APOSTEL recommendations for reporting quantitative optical coherence tomography studies. </w:t>
      </w:r>
      <w:r w:rsidRPr="00053B77">
        <w:rPr>
          <w:i/>
          <w:iCs/>
          <w:lang w:val="en-GB"/>
        </w:rPr>
        <w:t>Neurology</w:t>
      </w:r>
      <w:r w:rsidRPr="00053B77">
        <w:rPr>
          <w:lang w:val="en-GB"/>
        </w:rPr>
        <w:t xml:space="preserve"> 2016;</w:t>
      </w:r>
      <w:r w:rsidRPr="00053B77">
        <w:rPr>
          <w:b/>
          <w:bCs/>
          <w:lang w:val="en-GB"/>
        </w:rPr>
        <w:t>86</w:t>
      </w:r>
      <w:r w:rsidRPr="00053B77">
        <w:rPr>
          <w:lang w:val="en-GB"/>
        </w:rPr>
        <w:t>:2303–9. doi:10.1212/WNL.0000000000002774</w:t>
      </w:r>
    </w:p>
    <w:p w14:paraId="298B542F" w14:textId="77777777" w:rsidR="00053B77" w:rsidRPr="00053B77" w:rsidRDefault="00053B77" w:rsidP="00053B77">
      <w:pPr>
        <w:pStyle w:val="Bibliography"/>
        <w:rPr>
          <w:lang w:val="en-GB"/>
        </w:rPr>
      </w:pPr>
      <w:r w:rsidRPr="00053B77">
        <w:rPr>
          <w:lang w:val="en-GB"/>
        </w:rPr>
        <w:t xml:space="preserve">8 </w:t>
      </w:r>
      <w:r w:rsidRPr="00053B77">
        <w:rPr>
          <w:lang w:val="en-GB"/>
        </w:rPr>
        <w:tab/>
        <w:t xml:space="preserve">Tewarie P, Balk L, Costello F, </w:t>
      </w:r>
      <w:r w:rsidRPr="00053B77">
        <w:rPr>
          <w:i/>
          <w:iCs/>
          <w:lang w:val="en-GB"/>
        </w:rPr>
        <w:t>et al.</w:t>
      </w:r>
      <w:r w:rsidRPr="00053B77">
        <w:rPr>
          <w:lang w:val="en-GB"/>
        </w:rPr>
        <w:t xml:space="preserve"> The OSCAR-IB consensus criteria for retinal OCT quality assessment. </w:t>
      </w:r>
      <w:r w:rsidRPr="00053B77">
        <w:rPr>
          <w:i/>
          <w:iCs/>
          <w:lang w:val="en-GB"/>
        </w:rPr>
        <w:t>PloS One</w:t>
      </w:r>
      <w:r w:rsidRPr="00053B77">
        <w:rPr>
          <w:lang w:val="en-GB"/>
        </w:rPr>
        <w:t xml:space="preserve"> 2012;</w:t>
      </w:r>
      <w:r w:rsidRPr="00053B77">
        <w:rPr>
          <w:b/>
          <w:bCs/>
          <w:lang w:val="en-GB"/>
        </w:rPr>
        <w:t>7</w:t>
      </w:r>
      <w:r w:rsidRPr="00053B77">
        <w:rPr>
          <w:lang w:val="en-GB"/>
        </w:rPr>
        <w:t>:e34823. doi:10.1371/journal.pone.0034823</w:t>
      </w:r>
    </w:p>
    <w:p w14:paraId="61294DDD" w14:textId="77777777" w:rsidR="00053B77" w:rsidRPr="00053B77" w:rsidRDefault="00053B77" w:rsidP="00053B77">
      <w:pPr>
        <w:pStyle w:val="Bibliography"/>
        <w:rPr>
          <w:lang w:val="en-GB"/>
        </w:rPr>
      </w:pPr>
      <w:r w:rsidRPr="00053B77">
        <w:rPr>
          <w:lang w:val="en-GB"/>
        </w:rPr>
        <w:t xml:space="preserve">9 </w:t>
      </w:r>
      <w:r w:rsidRPr="00053B77">
        <w:rPr>
          <w:lang w:val="en-GB"/>
        </w:rPr>
        <w:tab/>
        <w:t xml:space="preserve">Motamedi S, Gawlik K, Ayadi N, </w:t>
      </w:r>
      <w:r w:rsidRPr="00053B77">
        <w:rPr>
          <w:i/>
          <w:iCs/>
          <w:lang w:val="en-GB"/>
        </w:rPr>
        <w:t>et al.</w:t>
      </w:r>
      <w:r w:rsidRPr="00053B77">
        <w:rPr>
          <w:lang w:val="en-GB"/>
        </w:rPr>
        <w:t xml:space="preserve"> Normative data and minimally detectable change for inner retinal layer thicknesses using a semi-automated OCT image segmentation pipeline. </w:t>
      </w:r>
      <w:r w:rsidRPr="00053B77">
        <w:rPr>
          <w:i/>
          <w:iCs/>
          <w:lang w:val="en-GB"/>
        </w:rPr>
        <w:t>Front Neurol</w:t>
      </w:r>
      <w:r w:rsidRPr="00053B77">
        <w:rPr>
          <w:lang w:val="en-GB"/>
        </w:rPr>
        <w:t xml:space="preserve"> 2019;</w:t>
      </w:r>
      <w:r w:rsidRPr="00053B77">
        <w:rPr>
          <w:b/>
          <w:bCs/>
          <w:lang w:val="en-GB"/>
        </w:rPr>
        <w:t>10</w:t>
      </w:r>
      <w:r w:rsidRPr="00053B77">
        <w:rPr>
          <w:lang w:val="en-GB"/>
        </w:rPr>
        <w:t>. doi:10.3389/fneur.2019.01117</w:t>
      </w:r>
    </w:p>
    <w:p w14:paraId="5165760B" w14:textId="3728E631" w:rsidR="00F808E7" w:rsidRPr="00A35133" w:rsidRDefault="00590739">
      <w:r>
        <w:lastRenderedPageBreak/>
        <w:fldChar w:fldCharType="end"/>
      </w:r>
    </w:p>
    <w:sectPr w:rsidR="00F808E7" w:rsidRPr="00A35133" w:rsidSect="00374DEE">
      <w:headerReference w:type="even" r:id="rId7"/>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63C9" w14:textId="77777777" w:rsidR="00553168" w:rsidRDefault="00553168" w:rsidP="00E96F68">
      <w:pPr>
        <w:spacing w:line="240" w:lineRule="auto"/>
      </w:pPr>
      <w:r>
        <w:separator/>
      </w:r>
    </w:p>
  </w:endnote>
  <w:endnote w:type="continuationSeparator" w:id="0">
    <w:p w14:paraId="2EC01506" w14:textId="77777777" w:rsidR="00553168" w:rsidRDefault="00553168" w:rsidP="00E96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5211" w14:textId="4A69E7C2" w:rsidR="00E96F68" w:rsidRPr="00E96F68" w:rsidRDefault="00E96F68">
    <w:pPr>
      <w:pStyle w:val="Footer"/>
    </w:pPr>
    <w:proofErr w:type="spellStart"/>
    <w:r w:rsidRPr="00E96F68">
      <w:t>Papadopoulou</w:t>
    </w:r>
    <w:proofErr w:type="spellEnd"/>
    <w:r w:rsidRPr="00E96F68">
      <w:t xml:space="preserve"> A et al.  </w:t>
    </w:r>
    <w:r>
      <w:tab/>
    </w:r>
    <w:r w:rsidRPr="00E96F68">
      <w:t>Supplementary m</w:t>
    </w:r>
    <w:r>
      <w:t xml:space="preserve">aterial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48E7" w14:textId="77777777" w:rsidR="00553168" w:rsidRDefault="00553168" w:rsidP="00E96F68">
      <w:pPr>
        <w:spacing w:line="240" w:lineRule="auto"/>
      </w:pPr>
      <w:r>
        <w:separator/>
      </w:r>
    </w:p>
  </w:footnote>
  <w:footnote w:type="continuationSeparator" w:id="0">
    <w:p w14:paraId="41712896" w14:textId="77777777" w:rsidR="00553168" w:rsidRDefault="00553168" w:rsidP="00E96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4289012"/>
      <w:docPartObj>
        <w:docPartGallery w:val="Page Numbers (Top of Page)"/>
        <w:docPartUnique/>
      </w:docPartObj>
    </w:sdtPr>
    <w:sdtEndPr>
      <w:rPr>
        <w:rStyle w:val="PageNumber"/>
      </w:rPr>
    </w:sdtEndPr>
    <w:sdtContent>
      <w:p w14:paraId="38E85216" w14:textId="374F467B" w:rsidR="00E96F68" w:rsidRDefault="00E96F68" w:rsidP="004C30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FF9E4" w14:textId="77777777" w:rsidR="00E96F68" w:rsidRDefault="00E96F68" w:rsidP="00E96F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0140206"/>
      <w:docPartObj>
        <w:docPartGallery w:val="Page Numbers (Top of Page)"/>
        <w:docPartUnique/>
      </w:docPartObj>
    </w:sdtPr>
    <w:sdtEndPr>
      <w:rPr>
        <w:rStyle w:val="PageNumber"/>
      </w:rPr>
    </w:sdtEndPr>
    <w:sdtContent>
      <w:p w14:paraId="04CE56D3" w14:textId="5BA725D5" w:rsidR="00E96F68" w:rsidRDefault="00E96F68" w:rsidP="004C30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15D398" w14:textId="77777777" w:rsidR="00E96F68" w:rsidRDefault="00E96F68" w:rsidP="00E96F6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F3097"/>
    <w:multiLevelType w:val="hybridMultilevel"/>
    <w:tmpl w:val="22E2B2CA"/>
    <w:lvl w:ilvl="0" w:tplc="F6F4A396">
      <w:start w:val="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33"/>
    <w:rsid w:val="000177B6"/>
    <w:rsid w:val="000373C1"/>
    <w:rsid w:val="00053B77"/>
    <w:rsid w:val="000755F1"/>
    <w:rsid w:val="001D5CEA"/>
    <w:rsid w:val="002A0D97"/>
    <w:rsid w:val="002A301C"/>
    <w:rsid w:val="002B62C4"/>
    <w:rsid w:val="002C6CAD"/>
    <w:rsid w:val="002E1E31"/>
    <w:rsid w:val="00312973"/>
    <w:rsid w:val="00352A2B"/>
    <w:rsid w:val="00374DEE"/>
    <w:rsid w:val="003C5834"/>
    <w:rsid w:val="00402886"/>
    <w:rsid w:val="00416BAC"/>
    <w:rsid w:val="004D7112"/>
    <w:rsid w:val="00535244"/>
    <w:rsid w:val="00553168"/>
    <w:rsid w:val="00590739"/>
    <w:rsid w:val="0064391F"/>
    <w:rsid w:val="00722ECA"/>
    <w:rsid w:val="00733EE7"/>
    <w:rsid w:val="007A100B"/>
    <w:rsid w:val="007A4D26"/>
    <w:rsid w:val="007E5C95"/>
    <w:rsid w:val="008E458E"/>
    <w:rsid w:val="009210F5"/>
    <w:rsid w:val="00A0791B"/>
    <w:rsid w:val="00A35133"/>
    <w:rsid w:val="00A522FE"/>
    <w:rsid w:val="00A55B8E"/>
    <w:rsid w:val="00AA1D40"/>
    <w:rsid w:val="00AC558D"/>
    <w:rsid w:val="00B054F7"/>
    <w:rsid w:val="00CE45C4"/>
    <w:rsid w:val="00D2517D"/>
    <w:rsid w:val="00DE269C"/>
    <w:rsid w:val="00DE7C5A"/>
    <w:rsid w:val="00E7719B"/>
    <w:rsid w:val="00E96F68"/>
    <w:rsid w:val="00EE7E7E"/>
    <w:rsid w:val="00F808E7"/>
    <w:rsid w:val="00F8712E"/>
    <w:rsid w:val="00F927AF"/>
    <w:rsid w:val="00FA3FD5"/>
    <w:rsid w:val="00FB74A0"/>
    <w:rsid w:val="00FE53A2"/>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CDA2"/>
  <w15:chartTrackingRefBased/>
  <w15:docId w15:val="{C8490EA7-F364-7B47-91F5-B740968B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5133"/>
    <w:pPr>
      <w:spacing w:line="480"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A35133"/>
    <w:pPr>
      <w:keepNext/>
      <w:keepLines/>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133"/>
    <w:rPr>
      <w:rFonts w:ascii="Times New Roman" w:eastAsiaTheme="majorEastAsia" w:hAnsi="Times New Roman" w:cs="Times New Roman"/>
      <w:b/>
      <w:szCs w:val="26"/>
    </w:rPr>
  </w:style>
  <w:style w:type="character" w:styleId="CommentReference">
    <w:name w:val="annotation reference"/>
    <w:basedOn w:val="DefaultParagraphFont"/>
    <w:uiPriority w:val="99"/>
    <w:semiHidden/>
    <w:unhideWhenUsed/>
    <w:rsid w:val="00A35133"/>
    <w:rPr>
      <w:sz w:val="16"/>
      <w:szCs w:val="16"/>
    </w:rPr>
  </w:style>
  <w:style w:type="paragraph" w:styleId="CommentText">
    <w:name w:val="annotation text"/>
    <w:basedOn w:val="Normal"/>
    <w:link w:val="CommentTextChar"/>
    <w:uiPriority w:val="99"/>
    <w:unhideWhenUsed/>
    <w:rsid w:val="00A35133"/>
    <w:pPr>
      <w:spacing w:after="200"/>
    </w:pPr>
    <w:rPr>
      <w:sz w:val="20"/>
      <w:szCs w:val="20"/>
    </w:rPr>
  </w:style>
  <w:style w:type="character" w:customStyle="1" w:styleId="CommentTextChar">
    <w:name w:val="Comment Text Char"/>
    <w:basedOn w:val="DefaultParagraphFont"/>
    <w:link w:val="CommentText"/>
    <w:uiPriority w:val="99"/>
    <w:rsid w:val="00A3513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35133"/>
    <w:pPr>
      <w:spacing w:line="240" w:lineRule="auto"/>
    </w:pPr>
    <w:rPr>
      <w:sz w:val="18"/>
      <w:szCs w:val="18"/>
    </w:rPr>
  </w:style>
  <w:style w:type="character" w:customStyle="1" w:styleId="BalloonTextChar">
    <w:name w:val="Balloon Text Char"/>
    <w:basedOn w:val="DefaultParagraphFont"/>
    <w:link w:val="BalloonText"/>
    <w:uiPriority w:val="99"/>
    <w:semiHidden/>
    <w:rsid w:val="00A35133"/>
    <w:rPr>
      <w:rFonts w:ascii="Times New Roman" w:hAnsi="Times New Roman" w:cs="Times New Roman"/>
      <w:sz w:val="18"/>
      <w:szCs w:val="18"/>
    </w:rPr>
  </w:style>
  <w:style w:type="paragraph" w:styleId="Bibliography">
    <w:name w:val="Bibliography"/>
    <w:basedOn w:val="Normal"/>
    <w:next w:val="Normal"/>
    <w:uiPriority w:val="37"/>
    <w:unhideWhenUsed/>
    <w:rsid w:val="00590739"/>
    <w:pPr>
      <w:tabs>
        <w:tab w:val="left" w:pos="260"/>
      </w:tabs>
      <w:spacing w:after="240" w:line="240" w:lineRule="auto"/>
      <w:ind w:left="264" w:hanging="264"/>
    </w:pPr>
  </w:style>
  <w:style w:type="paragraph" w:styleId="CommentSubject">
    <w:name w:val="annotation subject"/>
    <w:basedOn w:val="CommentText"/>
    <w:next w:val="CommentText"/>
    <w:link w:val="CommentSubjectChar"/>
    <w:uiPriority w:val="99"/>
    <w:semiHidden/>
    <w:unhideWhenUsed/>
    <w:rsid w:val="00EE7E7E"/>
    <w:pPr>
      <w:spacing w:after="0" w:line="240" w:lineRule="auto"/>
    </w:pPr>
    <w:rPr>
      <w:b/>
      <w:bCs/>
    </w:rPr>
  </w:style>
  <w:style w:type="character" w:customStyle="1" w:styleId="CommentSubjectChar">
    <w:name w:val="Comment Subject Char"/>
    <w:basedOn w:val="CommentTextChar"/>
    <w:link w:val="CommentSubject"/>
    <w:uiPriority w:val="99"/>
    <w:semiHidden/>
    <w:rsid w:val="00EE7E7E"/>
    <w:rPr>
      <w:rFonts w:ascii="Times New Roman" w:hAnsi="Times New Roman" w:cs="Times New Roman"/>
      <w:b/>
      <w:bCs/>
      <w:sz w:val="20"/>
      <w:szCs w:val="20"/>
    </w:rPr>
  </w:style>
  <w:style w:type="table" w:styleId="TableGrid">
    <w:name w:val="Table Grid"/>
    <w:basedOn w:val="TableNormal"/>
    <w:uiPriority w:val="59"/>
    <w:rsid w:val="00FB74A0"/>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F68"/>
    <w:pPr>
      <w:tabs>
        <w:tab w:val="center" w:pos="4680"/>
        <w:tab w:val="right" w:pos="9360"/>
      </w:tabs>
      <w:spacing w:line="240" w:lineRule="auto"/>
    </w:pPr>
  </w:style>
  <w:style w:type="character" w:customStyle="1" w:styleId="HeaderChar">
    <w:name w:val="Header Char"/>
    <w:basedOn w:val="DefaultParagraphFont"/>
    <w:link w:val="Header"/>
    <w:uiPriority w:val="99"/>
    <w:rsid w:val="00E96F68"/>
    <w:rPr>
      <w:rFonts w:ascii="Times New Roman" w:hAnsi="Times New Roman" w:cs="Times New Roman"/>
    </w:rPr>
  </w:style>
  <w:style w:type="paragraph" w:styleId="Footer">
    <w:name w:val="footer"/>
    <w:basedOn w:val="Normal"/>
    <w:link w:val="FooterChar"/>
    <w:uiPriority w:val="99"/>
    <w:unhideWhenUsed/>
    <w:rsid w:val="00E96F68"/>
    <w:pPr>
      <w:tabs>
        <w:tab w:val="center" w:pos="4680"/>
        <w:tab w:val="right" w:pos="9360"/>
      </w:tabs>
      <w:spacing w:line="240" w:lineRule="auto"/>
    </w:pPr>
  </w:style>
  <w:style w:type="character" w:customStyle="1" w:styleId="FooterChar">
    <w:name w:val="Footer Char"/>
    <w:basedOn w:val="DefaultParagraphFont"/>
    <w:link w:val="Footer"/>
    <w:uiPriority w:val="99"/>
    <w:rsid w:val="00E96F68"/>
    <w:rPr>
      <w:rFonts w:ascii="Times New Roman" w:hAnsi="Times New Roman" w:cs="Times New Roman"/>
    </w:rPr>
  </w:style>
  <w:style w:type="character" w:styleId="PageNumber">
    <w:name w:val="page number"/>
    <w:basedOn w:val="DefaultParagraphFont"/>
    <w:uiPriority w:val="99"/>
    <w:semiHidden/>
    <w:unhideWhenUsed/>
    <w:rsid w:val="00E9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D'Souza</dc:creator>
  <cp:keywords/>
  <dc:description/>
  <cp:lastModifiedBy>Marcus D'Souza</cp:lastModifiedBy>
  <cp:revision>2</cp:revision>
  <dcterms:created xsi:type="dcterms:W3CDTF">2021-03-08T12:46:00Z</dcterms:created>
  <dcterms:modified xsi:type="dcterms:W3CDTF">2021-03-08T12:46:00Z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zotero-version="5.0.70"&gt;&lt;session id="ewTrC3II"/&gt;&lt;style id="http://www.zotero.org/styles/journal-of-neurology-neurosurgery-and-psychiatry"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