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D1451" w14:textId="22EB5CAE" w:rsidR="00E67E0B" w:rsidRPr="00973BCC" w:rsidRDefault="00E67E0B" w:rsidP="00973BCC">
      <w:pPr>
        <w:rPr>
          <w:b/>
        </w:rPr>
      </w:pPr>
      <w:r w:rsidRPr="00973BCC">
        <w:rPr>
          <w:b/>
        </w:rPr>
        <w:t xml:space="preserve">Supplemental </w:t>
      </w:r>
      <w:r w:rsidR="000D425D">
        <w:rPr>
          <w:b/>
        </w:rPr>
        <w:t>methods</w:t>
      </w:r>
    </w:p>
    <w:p w14:paraId="6F115C03" w14:textId="77777777" w:rsidR="00E67E0B" w:rsidRPr="00973BCC" w:rsidRDefault="00E67E0B" w:rsidP="00E67E0B">
      <w:pPr>
        <w:rPr>
          <w:b/>
        </w:rPr>
      </w:pPr>
    </w:p>
    <w:p w14:paraId="7AD64B45" w14:textId="77777777" w:rsidR="008539C8" w:rsidRPr="00515418" w:rsidRDefault="008539C8" w:rsidP="002B54E4">
      <w:pPr>
        <w:pStyle w:val="berschrift2"/>
        <w:rPr>
          <w:sz w:val="20"/>
          <w:szCs w:val="20"/>
        </w:rPr>
      </w:pPr>
    </w:p>
    <w:p w14:paraId="1DB828FB" w14:textId="77777777" w:rsidR="00515418" w:rsidRPr="000D425D" w:rsidRDefault="002B54E4" w:rsidP="000D425D">
      <w:pPr>
        <w:spacing w:line="360" w:lineRule="auto"/>
        <w:rPr>
          <w:b/>
          <w:sz w:val="22"/>
          <w:szCs w:val="22"/>
        </w:rPr>
      </w:pPr>
      <w:r w:rsidRPr="000D425D">
        <w:rPr>
          <w:b/>
          <w:sz w:val="22"/>
          <w:szCs w:val="22"/>
        </w:rPr>
        <w:t>Description of genetic re-evaluation</w:t>
      </w:r>
    </w:p>
    <w:p w14:paraId="7D242342" w14:textId="3382CEDB" w:rsidR="008539C8" w:rsidRPr="000D425D" w:rsidRDefault="008539C8" w:rsidP="000D425D">
      <w:pPr>
        <w:spacing w:line="360" w:lineRule="auto"/>
        <w:jc w:val="both"/>
        <w:rPr>
          <w:sz w:val="22"/>
          <w:szCs w:val="22"/>
          <w:lang w:val="en-US"/>
        </w:rPr>
      </w:pPr>
      <w:r w:rsidRPr="000D425D">
        <w:rPr>
          <w:sz w:val="22"/>
          <w:szCs w:val="22"/>
          <w:lang w:val="en-US"/>
        </w:rPr>
        <w:t>Variants were automatically classified according to an algorithm based on a modified version of the American College of Medical Genetics and Genomics (ACMG) guidelines for variant classification. According to this algorithm, splice variants at the position +/-1 and +/-2 are classified as likely pathogenic if the variant disrupts the function of the gene product unless the population frequency of the variant is not compa</w:t>
      </w:r>
      <w:r w:rsidR="0000698F" w:rsidRPr="000D425D">
        <w:rPr>
          <w:sz w:val="22"/>
          <w:szCs w:val="22"/>
          <w:lang w:val="en-US"/>
        </w:rPr>
        <w:t xml:space="preserve">tible for a pathogenic variant. </w:t>
      </w:r>
      <w:r w:rsidRPr="000D425D">
        <w:rPr>
          <w:sz w:val="22"/>
          <w:szCs w:val="22"/>
          <w:lang w:val="en-US"/>
        </w:rPr>
        <w:t xml:space="preserve">Minor Allele Frequency </w:t>
      </w:r>
      <w:r w:rsidR="00D51447" w:rsidRPr="000D425D">
        <w:rPr>
          <w:sz w:val="22"/>
          <w:szCs w:val="22"/>
          <w:lang w:val="en-US"/>
        </w:rPr>
        <w:t xml:space="preserve">above 1% derived from the 1000Genomes Project, </w:t>
      </w:r>
      <w:proofErr w:type="spellStart"/>
      <w:r w:rsidR="00D51447" w:rsidRPr="000D425D">
        <w:rPr>
          <w:sz w:val="22"/>
          <w:szCs w:val="22"/>
          <w:lang w:val="en-US"/>
        </w:rPr>
        <w:t>dbSNP</w:t>
      </w:r>
      <w:proofErr w:type="spellEnd"/>
      <w:r w:rsidR="00D51447" w:rsidRPr="000D425D">
        <w:rPr>
          <w:sz w:val="22"/>
          <w:szCs w:val="22"/>
          <w:lang w:val="en-US"/>
        </w:rPr>
        <w:t xml:space="preserve"> Exome Aggregation Consortium, ESP 6500 or </w:t>
      </w:r>
      <w:proofErr w:type="spellStart"/>
      <w:r w:rsidR="00D51447" w:rsidRPr="000D425D">
        <w:rPr>
          <w:sz w:val="22"/>
          <w:szCs w:val="22"/>
          <w:lang w:val="en-US"/>
        </w:rPr>
        <w:t>CentoMD</w:t>
      </w:r>
      <w:proofErr w:type="spellEnd"/>
      <w:r w:rsidR="00D51447" w:rsidRPr="000D425D">
        <w:rPr>
          <w:sz w:val="22"/>
          <w:szCs w:val="22"/>
          <w:lang w:val="en-US"/>
        </w:rPr>
        <w:t xml:space="preserve"> was set as stand-alone evidence for “benign” variants. </w:t>
      </w:r>
      <w:r w:rsidRPr="000D425D">
        <w:rPr>
          <w:sz w:val="22"/>
          <w:szCs w:val="22"/>
          <w:lang w:val="en-US"/>
        </w:rPr>
        <w:t xml:space="preserve">Variants were considered as pathogenic or likely pathogenic if they led to a truncating, initiation loss or canonical splice site effect or if there was a relevant publication in favor of pathogenicity and if there was additional evidence in public databases like </w:t>
      </w:r>
      <w:proofErr w:type="spellStart"/>
      <w:r w:rsidRPr="000D425D">
        <w:rPr>
          <w:sz w:val="22"/>
          <w:szCs w:val="22"/>
          <w:lang w:val="en-US"/>
        </w:rPr>
        <w:t>CentoMD</w:t>
      </w:r>
      <w:proofErr w:type="spellEnd"/>
      <w:r w:rsidRPr="000D425D">
        <w:rPr>
          <w:sz w:val="22"/>
          <w:szCs w:val="22"/>
          <w:lang w:val="en-US"/>
        </w:rPr>
        <w:t xml:space="preserve"> or </w:t>
      </w:r>
      <w:proofErr w:type="spellStart"/>
      <w:r w:rsidRPr="000D425D">
        <w:rPr>
          <w:sz w:val="22"/>
          <w:szCs w:val="22"/>
          <w:lang w:val="en-US"/>
        </w:rPr>
        <w:t>ClinVar</w:t>
      </w:r>
      <w:proofErr w:type="spellEnd"/>
      <w:r w:rsidRPr="000D425D">
        <w:rPr>
          <w:sz w:val="22"/>
          <w:szCs w:val="22"/>
          <w:lang w:val="en-US"/>
        </w:rPr>
        <w:t xml:space="preserve">. </w:t>
      </w:r>
    </w:p>
    <w:p w14:paraId="3D99CB41" w14:textId="77777777" w:rsidR="00C42B13" w:rsidRPr="000D425D" w:rsidRDefault="00C42B13" w:rsidP="000D425D">
      <w:pPr>
        <w:pStyle w:val="berschrift2"/>
        <w:spacing w:line="360" w:lineRule="auto"/>
        <w:rPr>
          <w:rFonts w:ascii="Times New Roman" w:hAnsi="Times New Roman" w:cs="Times New Roman"/>
          <w:sz w:val="22"/>
          <w:szCs w:val="22"/>
        </w:rPr>
      </w:pPr>
    </w:p>
    <w:p w14:paraId="72EB753D" w14:textId="053B2F8B" w:rsidR="007C42B8" w:rsidRPr="000D425D" w:rsidRDefault="00973BCC" w:rsidP="000D425D">
      <w:pPr>
        <w:pStyle w:val="berschrift2"/>
        <w:spacing w:line="360" w:lineRule="auto"/>
        <w:rPr>
          <w:rFonts w:ascii="Times New Roman" w:eastAsiaTheme="minorHAnsi" w:hAnsi="Times New Roman" w:cs="Times New Roman"/>
          <w:b/>
          <w:color w:val="auto"/>
          <w:sz w:val="22"/>
          <w:szCs w:val="22"/>
        </w:rPr>
      </w:pPr>
      <w:r w:rsidRPr="000D425D">
        <w:rPr>
          <w:rFonts w:ascii="Times New Roman" w:eastAsiaTheme="minorHAnsi" w:hAnsi="Times New Roman" w:cs="Times New Roman"/>
          <w:b/>
          <w:color w:val="auto"/>
          <w:sz w:val="22"/>
          <w:szCs w:val="22"/>
        </w:rPr>
        <w:t>Protein structure</w:t>
      </w:r>
      <w:r w:rsidR="00C42B13" w:rsidRPr="000D425D">
        <w:rPr>
          <w:rFonts w:ascii="Times New Roman" w:eastAsiaTheme="minorHAnsi" w:hAnsi="Times New Roman" w:cs="Times New Roman"/>
          <w:b/>
          <w:color w:val="auto"/>
          <w:sz w:val="22"/>
          <w:szCs w:val="22"/>
        </w:rPr>
        <w:t xml:space="preserve"> retrieval and modelling </w:t>
      </w:r>
    </w:p>
    <w:p w14:paraId="260A5EFD" w14:textId="77777777" w:rsidR="00E62CEC" w:rsidRPr="000D425D" w:rsidRDefault="00C42B13" w:rsidP="000D425D">
      <w:pPr>
        <w:pStyle w:val="EndNoteBibliography"/>
        <w:spacing w:line="360" w:lineRule="auto"/>
        <w:rPr>
          <w:noProof w:val="0"/>
          <w:sz w:val="22"/>
          <w:szCs w:val="22"/>
          <w:lang w:val="en-US"/>
        </w:rPr>
      </w:pPr>
      <w:r w:rsidRPr="000D425D">
        <w:rPr>
          <w:noProof w:val="0"/>
          <w:sz w:val="22"/>
          <w:szCs w:val="22"/>
          <w:lang w:val="en-US"/>
        </w:rPr>
        <w:t>Structural information on PRKCG is heterogeneous and strongly depends on the domains. Two structures of the protein</w:t>
      </w:r>
      <w:r w:rsidR="0089670D" w:rsidRPr="000D425D">
        <w:rPr>
          <w:noProof w:val="0"/>
          <w:sz w:val="22"/>
          <w:szCs w:val="22"/>
          <w:lang w:val="en-US"/>
        </w:rPr>
        <w:t xml:space="preserve"> have been solved: </w:t>
      </w:r>
    </w:p>
    <w:p w14:paraId="2C234059" w14:textId="562F14E9" w:rsidR="00E62CEC" w:rsidRPr="000D425D" w:rsidRDefault="0089670D" w:rsidP="000D425D">
      <w:pPr>
        <w:pStyle w:val="EndNoteBibliography"/>
        <w:numPr>
          <w:ilvl w:val="0"/>
          <w:numId w:val="15"/>
        </w:numPr>
        <w:spacing w:line="360" w:lineRule="auto"/>
        <w:jc w:val="both"/>
        <w:rPr>
          <w:noProof w:val="0"/>
          <w:sz w:val="22"/>
          <w:szCs w:val="22"/>
          <w:lang w:val="en-US"/>
        </w:rPr>
      </w:pPr>
      <w:r w:rsidRPr="000D425D">
        <w:rPr>
          <w:noProof w:val="0"/>
          <w:sz w:val="22"/>
          <w:szCs w:val="22"/>
          <w:lang w:val="en-US"/>
        </w:rPr>
        <w:t>NMR structur</w:t>
      </w:r>
      <w:r w:rsidR="00E62CEC" w:rsidRPr="000D425D">
        <w:rPr>
          <w:noProof w:val="0"/>
          <w:sz w:val="22"/>
          <w:szCs w:val="22"/>
          <w:lang w:val="en-US"/>
        </w:rPr>
        <w:t xml:space="preserve">e of the N-terminal domain (PDB code: </w:t>
      </w:r>
      <w:r w:rsidRPr="000D425D">
        <w:rPr>
          <w:noProof w:val="0"/>
          <w:sz w:val="22"/>
          <w:szCs w:val="22"/>
          <w:lang w:val="en-US"/>
        </w:rPr>
        <w:t>2E73) (</w:t>
      </w:r>
      <w:r w:rsidR="0017433C" w:rsidRPr="000D425D">
        <w:rPr>
          <w:noProof w:val="0"/>
          <w:sz w:val="22"/>
          <w:szCs w:val="22"/>
          <w:lang w:val="en-US"/>
        </w:rPr>
        <w:t>for citation: DOI:</w:t>
      </w:r>
      <w:hyperlink r:id="rId8" w:history="1">
        <w:r w:rsidR="0017433C" w:rsidRPr="000D425D">
          <w:rPr>
            <w:noProof w:val="0"/>
            <w:sz w:val="22"/>
            <w:szCs w:val="22"/>
            <w:lang w:val="en-US"/>
          </w:rPr>
          <w:t>10.2210/pdb2E73/pdb</w:t>
        </w:r>
      </w:hyperlink>
      <w:r w:rsidR="0017433C" w:rsidRPr="000D425D">
        <w:rPr>
          <w:noProof w:val="0"/>
          <w:sz w:val="22"/>
          <w:szCs w:val="22"/>
          <w:lang w:val="en-US"/>
        </w:rPr>
        <w:t xml:space="preserve"> or</w:t>
      </w:r>
      <w:r w:rsidR="00E62CEC" w:rsidRPr="000D425D">
        <w:rPr>
          <w:noProof w:val="0"/>
          <w:sz w:val="22"/>
          <w:szCs w:val="22"/>
          <w:lang w:val="en-US"/>
        </w:rPr>
        <w:t xml:space="preserve"> </w:t>
      </w:r>
      <w:hyperlink r:id="rId9" w:history="1">
        <w:r w:rsidR="00E62CEC" w:rsidRPr="000D425D">
          <w:rPr>
            <w:sz w:val="22"/>
            <w:szCs w:val="22"/>
          </w:rPr>
          <w:t>https://www.rcsb.org/structure/2E73</w:t>
        </w:r>
      </w:hyperlink>
      <w:r w:rsidRPr="000D425D">
        <w:rPr>
          <w:noProof w:val="0"/>
          <w:sz w:val="22"/>
          <w:szCs w:val="22"/>
          <w:lang w:val="en-US"/>
        </w:rPr>
        <w:t xml:space="preserve">), including two ‘Zinc finger’ domains, that expands from residue 36 to 105 and </w:t>
      </w:r>
    </w:p>
    <w:p w14:paraId="17C0A3AD" w14:textId="674201D0" w:rsidR="00E62CEC" w:rsidRPr="000D425D" w:rsidRDefault="0089670D" w:rsidP="000D425D">
      <w:pPr>
        <w:pStyle w:val="EndNoteBibliography"/>
        <w:numPr>
          <w:ilvl w:val="0"/>
          <w:numId w:val="15"/>
        </w:numPr>
        <w:spacing w:line="360" w:lineRule="auto"/>
        <w:jc w:val="both"/>
        <w:rPr>
          <w:noProof w:val="0"/>
          <w:sz w:val="22"/>
          <w:szCs w:val="22"/>
          <w:lang w:val="en-US"/>
        </w:rPr>
      </w:pPr>
      <w:r w:rsidRPr="000D425D">
        <w:rPr>
          <w:noProof w:val="0"/>
          <w:sz w:val="22"/>
          <w:szCs w:val="22"/>
          <w:lang w:val="en-US"/>
        </w:rPr>
        <w:t>X-ray structure that spans form residues 159 to 295 (PDB code: 2UZP) (</w:t>
      </w:r>
      <w:r w:rsidR="0017433C" w:rsidRPr="000D425D">
        <w:rPr>
          <w:noProof w:val="0"/>
          <w:sz w:val="22"/>
          <w:szCs w:val="22"/>
          <w:lang w:val="en-US"/>
        </w:rPr>
        <w:t>for citation: DOI:</w:t>
      </w:r>
      <w:r w:rsidR="00E0039A" w:rsidRPr="000D425D">
        <w:rPr>
          <w:noProof w:val="0"/>
          <w:sz w:val="22"/>
          <w:szCs w:val="22"/>
          <w:lang w:val="en-US"/>
        </w:rPr>
        <w:t xml:space="preserve"> </w:t>
      </w:r>
      <w:hyperlink r:id="rId10" w:history="1">
        <w:r w:rsidR="0017433C" w:rsidRPr="000D425D">
          <w:rPr>
            <w:noProof w:val="0"/>
            <w:sz w:val="22"/>
            <w:szCs w:val="22"/>
            <w:lang w:val="en-US"/>
          </w:rPr>
          <w:t>10.2210/pdb2UZP/pdb</w:t>
        </w:r>
      </w:hyperlink>
      <w:r w:rsidR="0017433C" w:rsidRPr="000D425D">
        <w:rPr>
          <w:noProof w:val="0"/>
          <w:sz w:val="22"/>
          <w:szCs w:val="22"/>
          <w:lang w:val="en-US"/>
        </w:rPr>
        <w:t xml:space="preserve"> or </w:t>
      </w:r>
      <w:hyperlink r:id="rId11" w:history="1">
        <w:r w:rsidR="00E62CEC" w:rsidRPr="000D425D">
          <w:rPr>
            <w:sz w:val="22"/>
            <w:szCs w:val="22"/>
          </w:rPr>
          <w:t>https://www.rcsb.org/structure/2UZP</w:t>
        </w:r>
      </w:hyperlink>
      <w:r w:rsidRPr="000D425D">
        <w:rPr>
          <w:noProof w:val="0"/>
          <w:sz w:val="22"/>
          <w:szCs w:val="22"/>
          <w:lang w:val="en-US"/>
        </w:rPr>
        <w:t xml:space="preserve">) that corresponds to the C2 domain. </w:t>
      </w:r>
    </w:p>
    <w:p w14:paraId="395958E8" w14:textId="5D5B6661" w:rsidR="00973BCC" w:rsidRPr="000D425D" w:rsidRDefault="0089670D" w:rsidP="000D425D">
      <w:pPr>
        <w:pStyle w:val="EndNoteBibliography"/>
        <w:spacing w:line="360" w:lineRule="auto"/>
        <w:jc w:val="both"/>
        <w:rPr>
          <w:noProof w:val="0"/>
          <w:sz w:val="22"/>
          <w:szCs w:val="22"/>
          <w:lang w:val="en-US"/>
        </w:rPr>
      </w:pPr>
      <w:r w:rsidRPr="000D425D">
        <w:rPr>
          <w:noProof w:val="0"/>
          <w:sz w:val="22"/>
          <w:szCs w:val="22"/>
          <w:lang w:val="en-US"/>
        </w:rPr>
        <w:t xml:space="preserve">The lack of structural information for residues 1-35, residues 106-158 and from residue 295 upwards hampers a complete characterization of the domain organization of the protein. We therefore relied on a multi-template homology modelling approach </w:t>
      </w:r>
      <w:r w:rsidR="000D425D">
        <w:rPr>
          <w:noProof w:val="0"/>
          <w:sz w:val="22"/>
          <w:szCs w:val="22"/>
          <w:lang w:val="en-US"/>
        </w:rPr>
        <w:t>(</w:t>
      </w:r>
      <w:proofErr w:type="spellStart"/>
      <w:r w:rsidR="000D425D" w:rsidRPr="000D425D">
        <w:rPr>
          <w:noProof w:val="0"/>
          <w:sz w:val="22"/>
          <w:szCs w:val="22"/>
          <w:lang w:val="en-US"/>
        </w:rPr>
        <w:t>SwissModel</w:t>
      </w:r>
      <w:proofErr w:type="spellEnd"/>
      <w:r w:rsidR="000D425D" w:rsidRPr="000D425D">
        <w:rPr>
          <w:noProof w:val="0"/>
          <w:sz w:val="22"/>
          <w:szCs w:val="22"/>
          <w:lang w:val="en-US"/>
        </w:rPr>
        <w:t xml:space="preserve"> webserver</w:t>
      </w:r>
      <w:r w:rsidR="000D425D">
        <w:rPr>
          <w:noProof w:val="0"/>
          <w:sz w:val="22"/>
          <w:szCs w:val="22"/>
          <w:lang w:val="en-US"/>
        </w:rPr>
        <w:t>)</w:t>
      </w:r>
      <w:r w:rsidR="000D425D" w:rsidRPr="000D425D">
        <w:rPr>
          <w:noProof w:val="0"/>
          <w:sz w:val="22"/>
          <w:szCs w:val="22"/>
          <w:lang w:val="en-US"/>
        </w:rPr>
        <w:t xml:space="preserve"> </w:t>
      </w:r>
      <w:r w:rsidRPr="000D425D">
        <w:rPr>
          <w:noProof w:val="0"/>
          <w:sz w:val="22"/>
          <w:szCs w:val="22"/>
          <w:lang w:val="en-US"/>
        </w:rPr>
        <w:t xml:space="preserve">to model </w:t>
      </w:r>
      <w:r w:rsidR="000D425D" w:rsidRPr="000D425D">
        <w:rPr>
          <w:noProof w:val="0"/>
          <w:sz w:val="22"/>
          <w:szCs w:val="22"/>
          <w:lang w:val="en-US"/>
        </w:rPr>
        <w:t>the full length PRKCG structure</w:t>
      </w:r>
      <w:r w:rsidR="00685A70">
        <w:rPr>
          <w:noProof w:val="0"/>
          <w:sz w:val="22"/>
          <w:szCs w:val="22"/>
          <w:lang w:val="en-US"/>
        </w:rPr>
        <w:t>.</w:t>
      </w:r>
      <w:r w:rsidR="000D425D" w:rsidRPr="000D425D">
        <w:rPr>
          <w:noProof w:val="0"/>
          <w:sz w:val="22"/>
          <w:szCs w:val="22"/>
          <w:lang w:val="en-US"/>
        </w:rPr>
        <w:t xml:space="preserve"> </w:t>
      </w:r>
      <w:r w:rsidR="00685A70">
        <w:rPr>
          <w:noProof w:val="0"/>
          <w:sz w:val="22"/>
          <w:szCs w:val="22"/>
          <w:lang w:val="en-US"/>
        </w:rPr>
        <w:t>R</w:t>
      </w:r>
      <w:r w:rsidR="00685A70" w:rsidRPr="000D425D">
        <w:rPr>
          <w:noProof w:val="0"/>
          <w:sz w:val="22"/>
          <w:szCs w:val="22"/>
          <w:lang w:val="en-US"/>
        </w:rPr>
        <w:t>esidues 1-35</w:t>
      </w:r>
      <w:r w:rsidR="00685A70">
        <w:rPr>
          <w:noProof w:val="0"/>
          <w:sz w:val="22"/>
          <w:szCs w:val="22"/>
          <w:lang w:val="en-US"/>
        </w:rPr>
        <w:t xml:space="preserve"> </w:t>
      </w:r>
      <w:r w:rsidR="0087456D" w:rsidRPr="000D425D">
        <w:rPr>
          <w:noProof w:val="0"/>
          <w:sz w:val="22"/>
          <w:szCs w:val="22"/>
          <w:lang w:val="en-US"/>
        </w:rPr>
        <w:t xml:space="preserve">could </w:t>
      </w:r>
      <w:r w:rsidR="00E62CEC" w:rsidRPr="000D425D">
        <w:rPr>
          <w:noProof w:val="0"/>
          <w:sz w:val="22"/>
          <w:szCs w:val="22"/>
          <w:lang w:val="en-US"/>
        </w:rPr>
        <w:t xml:space="preserve">not be modelled, </w:t>
      </w:r>
      <w:r w:rsidRPr="000D425D">
        <w:rPr>
          <w:noProof w:val="0"/>
          <w:sz w:val="22"/>
          <w:szCs w:val="22"/>
          <w:lang w:val="en-US"/>
        </w:rPr>
        <w:t xml:space="preserve">because </w:t>
      </w:r>
      <w:r w:rsidR="00E62CEC" w:rsidRPr="000D425D">
        <w:rPr>
          <w:noProof w:val="0"/>
          <w:sz w:val="22"/>
          <w:szCs w:val="22"/>
          <w:lang w:val="en-US"/>
        </w:rPr>
        <w:t xml:space="preserve">to date </w:t>
      </w:r>
      <w:r w:rsidR="00685A70">
        <w:rPr>
          <w:noProof w:val="0"/>
          <w:sz w:val="22"/>
          <w:szCs w:val="22"/>
          <w:lang w:val="en-US"/>
        </w:rPr>
        <w:t>this</w:t>
      </w:r>
      <w:r w:rsidRPr="000D425D">
        <w:rPr>
          <w:noProof w:val="0"/>
          <w:sz w:val="22"/>
          <w:szCs w:val="22"/>
          <w:lang w:val="en-US"/>
        </w:rPr>
        <w:t xml:space="preserve"> region </w:t>
      </w:r>
      <w:r w:rsidR="00E62CEC" w:rsidRPr="000D425D">
        <w:rPr>
          <w:noProof w:val="0"/>
          <w:sz w:val="22"/>
          <w:szCs w:val="22"/>
          <w:lang w:val="en-US"/>
        </w:rPr>
        <w:t>has</w:t>
      </w:r>
      <w:r w:rsidRPr="000D425D">
        <w:rPr>
          <w:noProof w:val="0"/>
          <w:sz w:val="22"/>
          <w:szCs w:val="22"/>
          <w:lang w:val="en-US"/>
        </w:rPr>
        <w:t xml:space="preserve"> not even </w:t>
      </w:r>
      <w:r w:rsidR="00E62CEC" w:rsidRPr="000D425D">
        <w:rPr>
          <w:noProof w:val="0"/>
          <w:sz w:val="22"/>
          <w:szCs w:val="22"/>
          <w:lang w:val="en-US"/>
        </w:rPr>
        <w:t xml:space="preserve">been </w:t>
      </w:r>
      <w:r w:rsidRPr="000D425D">
        <w:rPr>
          <w:noProof w:val="0"/>
          <w:sz w:val="22"/>
          <w:szCs w:val="22"/>
          <w:lang w:val="en-US"/>
        </w:rPr>
        <w:t xml:space="preserve">solved in the homologous proteins used as templates. Thus, </w:t>
      </w:r>
      <w:r w:rsidR="006E0CDE" w:rsidRPr="000D425D">
        <w:rPr>
          <w:noProof w:val="0"/>
          <w:sz w:val="22"/>
          <w:szCs w:val="22"/>
          <w:lang w:val="en-US"/>
        </w:rPr>
        <w:t xml:space="preserve">our model </w:t>
      </w:r>
      <w:r w:rsidR="00973BCC" w:rsidRPr="000D425D">
        <w:rPr>
          <w:noProof w:val="0"/>
          <w:sz w:val="22"/>
          <w:szCs w:val="22"/>
          <w:lang w:val="en-US"/>
        </w:rPr>
        <w:t>covered</w:t>
      </w:r>
      <w:r w:rsidR="006E0CDE" w:rsidRPr="000D425D">
        <w:rPr>
          <w:noProof w:val="0"/>
          <w:sz w:val="22"/>
          <w:szCs w:val="22"/>
          <w:lang w:val="en-US"/>
        </w:rPr>
        <w:t xml:space="preserve"> </w:t>
      </w:r>
      <w:r w:rsidR="00973BCC" w:rsidRPr="000D425D">
        <w:rPr>
          <w:noProof w:val="0"/>
          <w:sz w:val="22"/>
          <w:szCs w:val="22"/>
          <w:lang w:val="en-US"/>
        </w:rPr>
        <w:t xml:space="preserve">the full PRKCG protein except for residues 0-35 </w:t>
      </w:r>
      <w:r w:rsidR="006E0CDE" w:rsidRPr="000D425D">
        <w:rPr>
          <w:noProof w:val="0"/>
          <w:sz w:val="22"/>
          <w:szCs w:val="22"/>
          <w:lang w:val="en-US"/>
        </w:rPr>
        <w:t>and includes the regulatory and the entire kinase domain of PRKCG</w:t>
      </w:r>
      <w:r w:rsidR="00685A70" w:rsidRPr="00685A70">
        <w:rPr>
          <w:noProof w:val="0"/>
          <w:sz w:val="22"/>
          <w:szCs w:val="22"/>
          <w:lang w:val="en-US"/>
        </w:rPr>
        <w:t xml:space="preserve"> </w:t>
      </w:r>
      <w:r w:rsidR="00685A70" w:rsidRPr="000D425D">
        <w:rPr>
          <w:noProof w:val="0"/>
          <w:sz w:val="22"/>
          <w:szCs w:val="22"/>
          <w:lang w:val="en-US"/>
        </w:rPr>
        <w:t>which is assumed to span from residue 36 to 383</w:t>
      </w:r>
      <w:r w:rsidR="00973BCC" w:rsidRPr="000D425D">
        <w:rPr>
          <w:noProof w:val="0"/>
          <w:sz w:val="22"/>
          <w:szCs w:val="22"/>
          <w:lang w:val="en-US"/>
        </w:rPr>
        <w:t xml:space="preserve">. Within this model, two zinc binding cavities are formed by residues C49, C52, C77 and H74 (1st zinc binding site) and C85, C35, C69 and H36 (2nd zinc binding site). </w:t>
      </w:r>
    </w:p>
    <w:p w14:paraId="68A554F6" w14:textId="5A2D43C6" w:rsidR="00727F84" w:rsidRDefault="00727F84" w:rsidP="000D425D">
      <w:pPr>
        <w:pStyle w:val="EndNoteBibliography"/>
        <w:spacing w:line="360" w:lineRule="auto"/>
        <w:jc w:val="both"/>
        <w:rPr>
          <w:noProof w:val="0"/>
          <w:sz w:val="22"/>
          <w:szCs w:val="22"/>
          <w:lang w:val="en-US"/>
        </w:rPr>
      </w:pPr>
      <w:r w:rsidRPr="000D425D">
        <w:rPr>
          <w:noProof w:val="0"/>
          <w:sz w:val="22"/>
          <w:szCs w:val="22"/>
          <w:lang w:val="en-US"/>
        </w:rPr>
        <w:t>The role of t</w:t>
      </w:r>
      <w:r w:rsidR="0087456D" w:rsidRPr="000D425D">
        <w:rPr>
          <w:noProof w:val="0"/>
          <w:sz w:val="22"/>
          <w:szCs w:val="22"/>
          <w:lang w:val="en-US"/>
        </w:rPr>
        <w:t>he wild-type residues was analyz</w:t>
      </w:r>
      <w:r w:rsidRPr="000D425D">
        <w:rPr>
          <w:noProof w:val="0"/>
          <w:sz w:val="22"/>
          <w:szCs w:val="22"/>
          <w:lang w:val="en-US"/>
        </w:rPr>
        <w:t xml:space="preserve">ed for all </w:t>
      </w:r>
      <w:r w:rsidR="0087456D" w:rsidRPr="000D425D">
        <w:rPr>
          <w:noProof w:val="0"/>
          <w:sz w:val="22"/>
          <w:szCs w:val="22"/>
          <w:lang w:val="en-US"/>
        </w:rPr>
        <w:t xml:space="preserve">variants </w:t>
      </w:r>
      <w:r w:rsidRPr="000D425D">
        <w:rPr>
          <w:noProof w:val="0"/>
          <w:sz w:val="22"/>
          <w:szCs w:val="22"/>
          <w:lang w:val="en-US"/>
        </w:rPr>
        <w:t>classified as likely pathogenic (p.C49Y, T82_E84del)</w:t>
      </w:r>
      <w:r w:rsidR="007245AA">
        <w:rPr>
          <w:noProof w:val="0"/>
          <w:sz w:val="22"/>
          <w:szCs w:val="22"/>
          <w:lang w:val="en-US"/>
        </w:rPr>
        <w:t xml:space="preserve"> </w:t>
      </w:r>
      <w:r w:rsidR="00973BCC" w:rsidRPr="000D425D">
        <w:rPr>
          <w:noProof w:val="0"/>
          <w:sz w:val="22"/>
          <w:szCs w:val="22"/>
          <w:lang w:val="en-US"/>
        </w:rPr>
        <w:t>– including all new variants</w:t>
      </w:r>
      <w:r w:rsidRPr="000D425D">
        <w:rPr>
          <w:noProof w:val="0"/>
          <w:sz w:val="22"/>
          <w:szCs w:val="22"/>
          <w:lang w:val="en-US"/>
        </w:rPr>
        <w:t>, i.e. involving residues not previously described in SCA-PRKCG</w:t>
      </w:r>
      <w:r w:rsidR="00973BCC" w:rsidRPr="000D425D">
        <w:rPr>
          <w:noProof w:val="0"/>
          <w:sz w:val="22"/>
          <w:szCs w:val="22"/>
          <w:lang w:val="en-US"/>
        </w:rPr>
        <w:t xml:space="preserve"> –</w:t>
      </w:r>
      <w:r w:rsidRPr="000D425D">
        <w:rPr>
          <w:noProof w:val="0"/>
          <w:sz w:val="22"/>
          <w:szCs w:val="22"/>
          <w:lang w:val="en-US"/>
        </w:rPr>
        <w:t xml:space="preserve">, and for all variants classified as likely benign or of unknown significance (see figure 1). Structural modelling was not performed for </w:t>
      </w:r>
      <w:r w:rsidR="00C9707F" w:rsidRPr="000D425D">
        <w:rPr>
          <w:noProof w:val="0"/>
          <w:sz w:val="22"/>
          <w:szCs w:val="22"/>
          <w:lang w:val="en-US"/>
        </w:rPr>
        <w:t>variant</w:t>
      </w:r>
      <w:r w:rsidRPr="000D425D">
        <w:rPr>
          <w:noProof w:val="0"/>
          <w:sz w:val="22"/>
          <w:szCs w:val="22"/>
          <w:lang w:val="en-US"/>
        </w:rPr>
        <w:t xml:space="preserve">s that affect residues already described as pathogenic </w:t>
      </w:r>
      <w:r w:rsidRPr="000D425D">
        <w:rPr>
          <w:noProof w:val="0"/>
          <w:sz w:val="22"/>
          <w:szCs w:val="22"/>
          <w:lang w:val="en-US"/>
        </w:rPr>
        <w:lastRenderedPageBreak/>
        <w:t>(p.C131S, p.C150Y, p.G123A). Modelling was not applicable for p.G23E and p.A24S as this region was not covered by our modelling approach.</w:t>
      </w:r>
    </w:p>
    <w:p w14:paraId="167377D3" w14:textId="77777777" w:rsidR="00685A70" w:rsidRDefault="00685A70" w:rsidP="000D425D">
      <w:pPr>
        <w:pStyle w:val="EndNoteBibliography"/>
        <w:spacing w:line="360" w:lineRule="auto"/>
        <w:jc w:val="both"/>
        <w:rPr>
          <w:noProof w:val="0"/>
          <w:sz w:val="22"/>
          <w:szCs w:val="22"/>
          <w:lang w:val="en-US"/>
        </w:rPr>
      </w:pPr>
    </w:p>
    <w:p w14:paraId="07320988" w14:textId="3486056C" w:rsidR="00AF253D" w:rsidRPr="000D425D" w:rsidRDefault="0087456D" w:rsidP="000D425D">
      <w:pPr>
        <w:spacing w:line="360" w:lineRule="auto"/>
        <w:rPr>
          <w:sz w:val="22"/>
          <w:szCs w:val="22"/>
          <w:lang w:val="en-US"/>
        </w:rPr>
      </w:pPr>
      <w:r w:rsidRPr="000D425D">
        <w:rPr>
          <w:b/>
          <w:sz w:val="22"/>
          <w:szCs w:val="22"/>
        </w:rPr>
        <w:t>Assessment of the</w:t>
      </w:r>
      <w:r w:rsidR="002B54E4" w:rsidRPr="000D425D">
        <w:rPr>
          <w:b/>
          <w:sz w:val="22"/>
          <w:szCs w:val="22"/>
        </w:rPr>
        <w:t xml:space="preserve"> visual </w:t>
      </w:r>
      <w:r w:rsidRPr="000D425D">
        <w:rPr>
          <w:b/>
          <w:sz w:val="22"/>
          <w:szCs w:val="22"/>
        </w:rPr>
        <w:t>pathway</w:t>
      </w:r>
    </w:p>
    <w:p w14:paraId="21C712E0" w14:textId="70D6771C" w:rsidR="00AF253D" w:rsidRPr="000D425D" w:rsidRDefault="00330C03" w:rsidP="000D425D">
      <w:pPr>
        <w:spacing w:line="360" w:lineRule="auto"/>
        <w:jc w:val="both"/>
        <w:rPr>
          <w:sz w:val="22"/>
          <w:szCs w:val="22"/>
          <w:lang w:val="en-US"/>
        </w:rPr>
      </w:pPr>
      <w:r w:rsidRPr="000D425D">
        <w:rPr>
          <w:sz w:val="22"/>
          <w:szCs w:val="22"/>
        </w:rPr>
        <w:t>M</w:t>
      </w:r>
      <w:proofErr w:type="spellStart"/>
      <w:r w:rsidRPr="000D425D">
        <w:rPr>
          <w:sz w:val="22"/>
          <w:szCs w:val="22"/>
          <w:lang w:val="en-US"/>
        </w:rPr>
        <w:t>onocular</w:t>
      </w:r>
      <w:proofErr w:type="spellEnd"/>
      <w:r w:rsidRPr="000D425D">
        <w:rPr>
          <w:sz w:val="22"/>
          <w:szCs w:val="22"/>
          <w:lang w:val="en-US"/>
        </w:rPr>
        <w:t xml:space="preserve"> and binocular v</w:t>
      </w:r>
      <w:r w:rsidR="00AF253D" w:rsidRPr="000D425D">
        <w:rPr>
          <w:sz w:val="22"/>
          <w:szCs w:val="22"/>
          <w:lang w:val="en-US"/>
        </w:rPr>
        <w:t xml:space="preserve">isual acuity was acquired under habitual correction with ETDRS charts as integrated in the Functional Vision Analyzer (OPTEC 6500 P system, Stereo Optical Co, </w:t>
      </w:r>
      <w:proofErr w:type="spellStart"/>
      <w:r w:rsidR="00AF253D" w:rsidRPr="000D425D">
        <w:rPr>
          <w:sz w:val="22"/>
          <w:szCs w:val="22"/>
          <w:lang w:val="en-US"/>
        </w:rPr>
        <w:t>Inc</w:t>
      </w:r>
      <w:proofErr w:type="spellEnd"/>
      <w:r w:rsidR="00AF253D" w:rsidRPr="000D425D">
        <w:rPr>
          <w:sz w:val="22"/>
          <w:szCs w:val="22"/>
          <w:lang w:val="en-US"/>
        </w:rPr>
        <w:t xml:space="preserve">, Illinois, USA) with </w:t>
      </w:r>
      <w:proofErr w:type="spellStart"/>
      <w:r w:rsidR="00AF253D" w:rsidRPr="000D425D">
        <w:rPr>
          <w:sz w:val="22"/>
          <w:szCs w:val="22"/>
          <w:lang w:val="en-US"/>
        </w:rPr>
        <w:t>photopic</w:t>
      </w:r>
      <w:proofErr w:type="spellEnd"/>
      <w:r w:rsidR="00AF253D" w:rsidRPr="000D425D">
        <w:rPr>
          <w:sz w:val="22"/>
          <w:szCs w:val="22"/>
          <w:lang w:val="en-US"/>
        </w:rPr>
        <w:t xml:space="preserve"> conditions. </w:t>
      </w:r>
    </w:p>
    <w:p w14:paraId="6D2BE21B" w14:textId="77777777" w:rsidR="00AF253D" w:rsidRPr="000D425D" w:rsidRDefault="00AF253D" w:rsidP="000D425D">
      <w:pPr>
        <w:spacing w:line="360" w:lineRule="auto"/>
        <w:jc w:val="both"/>
        <w:rPr>
          <w:sz w:val="22"/>
          <w:szCs w:val="22"/>
          <w:lang w:val="en-US"/>
        </w:rPr>
      </w:pPr>
      <w:r w:rsidRPr="000D425D">
        <w:rPr>
          <w:sz w:val="22"/>
          <w:szCs w:val="22"/>
          <w:lang w:val="en-US"/>
        </w:rPr>
        <w:t xml:space="preserve">Visual fields were assessed with Humphrey Field Analyzer II 720 (Zeiss </w:t>
      </w:r>
      <w:proofErr w:type="spellStart"/>
      <w:r w:rsidRPr="000D425D">
        <w:rPr>
          <w:sz w:val="22"/>
          <w:szCs w:val="22"/>
          <w:lang w:val="en-US"/>
        </w:rPr>
        <w:t>Meditec</w:t>
      </w:r>
      <w:proofErr w:type="spellEnd"/>
      <w:r w:rsidRPr="000D425D">
        <w:rPr>
          <w:sz w:val="22"/>
          <w:szCs w:val="22"/>
          <w:lang w:val="en-US"/>
        </w:rPr>
        <w:t xml:space="preserve"> AG) or Heidelberg Edge Perimeter (Software Version 2.2.1), both using a 30-2 test protocol.</w:t>
      </w:r>
    </w:p>
    <w:p w14:paraId="36EFF9D7" w14:textId="718C8826" w:rsidR="00AF253D" w:rsidRPr="000D425D" w:rsidRDefault="00AF253D" w:rsidP="000D425D">
      <w:pPr>
        <w:spacing w:line="360" w:lineRule="auto"/>
        <w:jc w:val="both"/>
        <w:rPr>
          <w:sz w:val="22"/>
          <w:szCs w:val="22"/>
          <w:lang w:val="en-US"/>
        </w:rPr>
      </w:pPr>
      <w:r w:rsidRPr="000D425D">
        <w:rPr>
          <w:sz w:val="22"/>
          <w:szCs w:val="22"/>
          <w:lang w:val="en-US"/>
        </w:rPr>
        <w:t>Retinal imaging was performed with a spectral domain optical coherence tomography (OCT) device (</w:t>
      </w:r>
      <w:proofErr w:type="spellStart"/>
      <w:r w:rsidRPr="000D425D">
        <w:rPr>
          <w:sz w:val="22"/>
          <w:szCs w:val="22"/>
          <w:lang w:val="en-US"/>
        </w:rPr>
        <w:t>Spect</w:t>
      </w:r>
      <w:r w:rsidR="00E62CEC" w:rsidRPr="000D425D">
        <w:rPr>
          <w:sz w:val="22"/>
          <w:szCs w:val="22"/>
          <w:lang w:val="en-US"/>
        </w:rPr>
        <w:t>r</w:t>
      </w:r>
      <w:r w:rsidRPr="000D425D">
        <w:rPr>
          <w:sz w:val="22"/>
          <w:szCs w:val="22"/>
          <w:lang w:val="en-US"/>
        </w:rPr>
        <w:t>alis</w:t>
      </w:r>
      <w:proofErr w:type="spellEnd"/>
      <w:r w:rsidRPr="000D425D">
        <w:rPr>
          <w:sz w:val="22"/>
          <w:szCs w:val="22"/>
          <w:lang w:val="en-US"/>
        </w:rPr>
        <w:t xml:space="preserve">, </w:t>
      </w:r>
      <w:r w:rsidRPr="000D425D">
        <w:rPr>
          <w:color w:val="000000"/>
          <w:sz w:val="22"/>
          <w:szCs w:val="22"/>
          <w:lang w:val="en-US"/>
        </w:rPr>
        <w:t xml:space="preserve">Eye Explorer 1.8.6.0 with viewing module 5.8.3.0, </w:t>
      </w:r>
      <w:r w:rsidRPr="000D425D">
        <w:rPr>
          <w:sz w:val="22"/>
          <w:szCs w:val="22"/>
          <w:lang w:val="en-US"/>
        </w:rPr>
        <w:t xml:space="preserve">Heidelberg Engineering, </w:t>
      </w:r>
      <w:proofErr w:type="gramStart"/>
      <w:r w:rsidRPr="000D425D">
        <w:rPr>
          <w:sz w:val="22"/>
          <w:szCs w:val="22"/>
          <w:lang w:val="en-US"/>
        </w:rPr>
        <w:t>Heidelberg</w:t>
      </w:r>
      <w:proofErr w:type="gramEnd"/>
      <w:r w:rsidRPr="000D425D">
        <w:rPr>
          <w:sz w:val="22"/>
          <w:szCs w:val="22"/>
          <w:lang w:val="en-US"/>
        </w:rPr>
        <w:t xml:space="preserve">, Germany). The </w:t>
      </w:r>
      <w:proofErr w:type="spellStart"/>
      <w:r w:rsidRPr="000D425D">
        <w:rPr>
          <w:sz w:val="22"/>
          <w:szCs w:val="22"/>
          <w:lang w:val="en-US"/>
        </w:rPr>
        <w:t>peripapillary</w:t>
      </w:r>
      <w:proofErr w:type="spellEnd"/>
      <w:r w:rsidRPr="000D425D">
        <w:rPr>
          <w:sz w:val="22"/>
          <w:szCs w:val="22"/>
          <w:lang w:val="en-US"/>
        </w:rPr>
        <w:t xml:space="preserve"> retinal nerve fiber layer (</w:t>
      </w:r>
      <w:proofErr w:type="spellStart"/>
      <w:r w:rsidRPr="000D425D">
        <w:rPr>
          <w:sz w:val="22"/>
          <w:szCs w:val="22"/>
          <w:lang w:val="en-US"/>
        </w:rPr>
        <w:t>pRNFL</w:t>
      </w:r>
      <w:proofErr w:type="spellEnd"/>
      <w:r w:rsidRPr="000D425D">
        <w:rPr>
          <w:sz w:val="22"/>
          <w:szCs w:val="22"/>
          <w:lang w:val="en-US"/>
        </w:rPr>
        <w:t>) was</w:t>
      </w:r>
      <w:r w:rsidR="00330C03" w:rsidRPr="000D425D">
        <w:rPr>
          <w:sz w:val="22"/>
          <w:szCs w:val="22"/>
          <w:lang w:val="en-US"/>
        </w:rPr>
        <w:t xml:space="preserve"> derived from a ring scan centere</w:t>
      </w:r>
      <w:r w:rsidRPr="000D425D">
        <w:rPr>
          <w:sz w:val="22"/>
          <w:szCs w:val="22"/>
          <w:lang w:val="en-US"/>
        </w:rPr>
        <w:t xml:space="preserve">d on the optic nerve head (12°, high resolution mode, </w:t>
      </w:r>
      <w:proofErr w:type="gramStart"/>
      <w:r w:rsidRPr="000D425D">
        <w:rPr>
          <w:sz w:val="22"/>
          <w:szCs w:val="22"/>
          <w:lang w:val="en-US"/>
        </w:rPr>
        <w:t>16</w:t>
      </w:r>
      <w:proofErr w:type="gramEnd"/>
      <w:r w:rsidRPr="000D425D">
        <w:rPr>
          <w:rFonts w:eastAsia="MS Gothic"/>
          <w:color w:val="000000"/>
          <w:sz w:val="22"/>
          <w:szCs w:val="22"/>
          <w:lang w:val="en-US"/>
        </w:rPr>
        <w:t>≤</w:t>
      </w:r>
      <w:r w:rsidRPr="000D425D">
        <w:rPr>
          <w:sz w:val="22"/>
          <w:szCs w:val="22"/>
          <w:lang w:val="en-US"/>
        </w:rPr>
        <w:t>ART</w:t>
      </w:r>
      <w:r w:rsidRPr="000D425D">
        <w:rPr>
          <w:rFonts w:eastAsia="MS Gothic"/>
          <w:color w:val="000000"/>
          <w:sz w:val="22"/>
          <w:szCs w:val="22"/>
          <w:lang w:val="en-US"/>
        </w:rPr>
        <w:t>≤100</w:t>
      </w:r>
      <w:r w:rsidRPr="000D425D">
        <w:rPr>
          <w:sz w:val="22"/>
          <w:szCs w:val="22"/>
          <w:lang w:val="en-US"/>
        </w:rPr>
        <w:t>). A macular volume scan cent</w:t>
      </w:r>
      <w:r w:rsidR="00330C03" w:rsidRPr="000D425D">
        <w:rPr>
          <w:sz w:val="22"/>
          <w:szCs w:val="22"/>
          <w:lang w:val="en-US"/>
        </w:rPr>
        <w:t>e</w:t>
      </w:r>
      <w:r w:rsidRPr="000D425D">
        <w:rPr>
          <w:sz w:val="22"/>
          <w:szCs w:val="22"/>
          <w:lang w:val="en-US"/>
        </w:rPr>
        <w:t>red on the fovea (61 vertical B-scans, 25°x 30°, high speed mode, ART=13) was acquired for total macular volume and intra</w:t>
      </w:r>
      <w:r w:rsidR="00E62CEC" w:rsidRPr="000D425D">
        <w:rPr>
          <w:sz w:val="22"/>
          <w:szCs w:val="22"/>
          <w:lang w:val="en-US"/>
        </w:rPr>
        <w:t>-</w:t>
      </w:r>
      <w:r w:rsidRPr="000D425D">
        <w:rPr>
          <w:sz w:val="22"/>
          <w:szCs w:val="22"/>
          <w:lang w:val="en-US"/>
        </w:rPr>
        <w:t>retinal volumes of the combined ganglion cell and inner plexiform layer and the inner nuclear layer. All scans were checked for sufficient quality and correct segmentation a</w:t>
      </w:r>
      <w:r w:rsidR="0087456D" w:rsidRPr="000D425D">
        <w:rPr>
          <w:sz w:val="22"/>
          <w:szCs w:val="22"/>
          <w:lang w:val="en-US"/>
        </w:rPr>
        <w:t>nd corrected if necessary by one</w:t>
      </w:r>
      <w:r w:rsidRPr="000D425D">
        <w:rPr>
          <w:sz w:val="22"/>
          <w:szCs w:val="22"/>
          <w:lang w:val="en-US"/>
        </w:rPr>
        <w:t xml:space="preserve"> experienced grader. </w:t>
      </w:r>
    </w:p>
    <w:p w14:paraId="705FC202" w14:textId="77777777" w:rsidR="002B54E4" w:rsidRPr="000D425D" w:rsidRDefault="002B54E4" w:rsidP="000D425D">
      <w:pPr>
        <w:pStyle w:val="berschrift2"/>
        <w:spacing w:line="360" w:lineRule="auto"/>
        <w:rPr>
          <w:rFonts w:ascii="Times New Roman" w:hAnsi="Times New Roman" w:cs="Times New Roman"/>
          <w:sz w:val="22"/>
          <w:szCs w:val="22"/>
          <w:lang w:val="en-US"/>
        </w:rPr>
      </w:pPr>
    </w:p>
    <w:p w14:paraId="0F105FC0" w14:textId="006EC8ED" w:rsidR="002B54E4" w:rsidRPr="000D425D" w:rsidRDefault="002B54E4" w:rsidP="000D425D">
      <w:pPr>
        <w:pStyle w:val="berschrift2"/>
        <w:spacing w:line="360" w:lineRule="auto"/>
        <w:rPr>
          <w:rFonts w:ascii="Times New Roman" w:hAnsi="Times New Roman" w:cs="Times New Roman"/>
          <w:b/>
          <w:color w:val="auto"/>
          <w:sz w:val="22"/>
          <w:szCs w:val="22"/>
        </w:rPr>
      </w:pPr>
      <w:r w:rsidRPr="000D425D">
        <w:rPr>
          <w:rFonts w:ascii="Times New Roman" w:hAnsi="Times New Roman" w:cs="Times New Roman"/>
          <w:b/>
          <w:color w:val="auto"/>
          <w:sz w:val="22"/>
          <w:szCs w:val="22"/>
        </w:rPr>
        <w:t>MRI protocol</w:t>
      </w:r>
    </w:p>
    <w:p w14:paraId="023614E2" w14:textId="4F77D758" w:rsidR="002B54E4" w:rsidRPr="000D425D" w:rsidRDefault="0087456D" w:rsidP="000D425D">
      <w:pPr>
        <w:spacing w:line="360" w:lineRule="auto"/>
        <w:jc w:val="both"/>
        <w:rPr>
          <w:sz w:val="22"/>
          <w:szCs w:val="22"/>
        </w:rPr>
      </w:pPr>
      <w:r w:rsidRPr="000D425D">
        <w:rPr>
          <w:sz w:val="22"/>
          <w:szCs w:val="22"/>
        </w:rPr>
        <w:t>Structural brain MRI were</w:t>
      </w:r>
      <w:r w:rsidR="002B54E4" w:rsidRPr="000D425D">
        <w:rPr>
          <w:sz w:val="22"/>
          <w:szCs w:val="22"/>
        </w:rPr>
        <w:t xml:space="preserve"> obtained at a 3 Tesla Scanner (MAGNETOM TIMTRIO, Siemens Healthcare</w:t>
      </w:r>
      <w:r w:rsidR="002B54E4" w:rsidRPr="000D425D">
        <w:rPr>
          <w:sz w:val="22"/>
          <w:szCs w:val="22"/>
          <w:shd w:val="clear" w:color="auto" w:fill="FFFFFF"/>
        </w:rPr>
        <w:t xml:space="preserve">, </w:t>
      </w:r>
      <w:r w:rsidRPr="000D425D">
        <w:rPr>
          <w:sz w:val="22"/>
          <w:szCs w:val="22"/>
          <w:shd w:val="clear" w:color="auto" w:fill="FFFFFF"/>
        </w:rPr>
        <w:t xml:space="preserve">Erlangen, Germany), </w:t>
      </w:r>
      <w:r w:rsidR="002B54E4" w:rsidRPr="000D425D">
        <w:rPr>
          <w:sz w:val="22"/>
          <w:szCs w:val="22"/>
          <w:shd w:val="clear" w:color="auto" w:fill="FFFFFF"/>
        </w:rPr>
        <w:t xml:space="preserve">T1-weighted 3D images using an MP-RAGE sequence with 176 slices (TR=200 </w:t>
      </w:r>
      <w:proofErr w:type="spellStart"/>
      <w:r w:rsidR="002B54E4" w:rsidRPr="000D425D">
        <w:rPr>
          <w:sz w:val="22"/>
          <w:szCs w:val="22"/>
          <w:shd w:val="clear" w:color="auto" w:fill="FFFFFF"/>
        </w:rPr>
        <w:t>ms</w:t>
      </w:r>
      <w:proofErr w:type="spellEnd"/>
      <w:r w:rsidR="002B54E4" w:rsidRPr="000D425D">
        <w:rPr>
          <w:sz w:val="22"/>
          <w:szCs w:val="22"/>
          <w:shd w:val="clear" w:color="auto" w:fill="FFFFFF"/>
        </w:rPr>
        <w:t xml:space="preserve">, TI=900 </w:t>
      </w:r>
      <w:proofErr w:type="spellStart"/>
      <w:r w:rsidR="002B54E4" w:rsidRPr="000D425D">
        <w:rPr>
          <w:sz w:val="22"/>
          <w:szCs w:val="22"/>
          <w:shd w:val="clear" w:color="auto" w:fill="FFFFFF"/>
        </w:rPr>
        <w:t>ms</w:t>
      </w:r>
      <w:proofErr w:type="spellEnd"/>
      <w:r w:rsidR="002B54E4" w:rsidRPr="000D425D">
        <w:rPr>
          <w:sz w:val="22"/>
          <w:szCs w:val="22"/>
          <w:shd w:val="clear" w:color="auto" w:fill="FFFFFF"/>
        </w:rPr>
        <w:t xml:space="preserve">, TE=3.03 </w:t>
      </w:r>
      <w:proofErr w:type="spellStart"/>
      <w:r w:rsidR="002B54E4" w:rsidRPr="000D425D">
        <w:rPr>
          <w:sz w:val="22"/>
          <w:szCs w:val="22"/>
          <w:shd w:val="clear" w:color="auto" w:fill="FFFFFF"/>
        </w:rPr>
        <w:t>ms</w:t>
      </w:r>
      <w:proofErr w:type="spellEnd"/>
      <w:r w:rsidR="002B54E4" w:rsidRPr="000D425D">
        <w:rPr>
          <w:sz w:val="22"/>
          <w:szCs w:val="22"/>
          <w:shd w:val="clear" w:color="auto" w:fill="FFFFFF"/>
        </w:rPr>
        <w:t xml:space="preserve">, resolution 1.0×1.0×1.0 mm, flip angle 9°, acquisition matrix 232x256) and T2-weighted 3D images with 1176 slices (RARE; TR=3200 </w:t>
      </w:r>
      <w:proofErr w:type="spellStart"/>
      <w:r w:rsidR="002B54E4" w:rsidRPr="000D425D">
        <w:rPr>
          <w:sz w:val="22"/>
          <w:szCs w:val="22"/>
          <w:shd w:val="clear" w:color="auto" w:fill="FFFFFF"/>
        </w:rPr>
        <w:t>ms</w:t>
      </w:r>
      <w:proofErr w:type="spellEnd"/>
      <w:r w:rsidR="002B54E4" w:rsidRPr="000D425D">
        <w:rPr>
          <w:sz w:val="22"/>
          <w:szCs w:val="22"/>
          <w:shd w:val="clear" w:color="auto" w:fill="FFFFFF"/>
        </w:rPr>
        <w:t xml:space="preserve">, TE=402 </w:t>
      </w:r>
      <w:proofErr w:type="spellStart"/>
      <w:r w:rsidR="002B54E4" w:rsidRPr="000D425D">
        <w:rPr>
          <w:sz w:val="22"/>
          <w:szCs w:val="22"/>
          <w:shd w:val="clear" w:color="auto" w:fill="FFFFFF"/>
        </w:rPr>
        <w:t>ms</w:t>
      </w:r>
      <w:proofErr w:type="spellEnd"/>
      <w:r w:rsidR="002B54E4" w:rsidRPr="000D425D">
        <w:rPr>
          <w:sz w:val="22"/>
          <w:szCs w:val="22"/>
          <w:shd w:val="clear" w:color="auto" w:fill="FFFFFF"/>
        </w:rPr>
        <w:t>, resolution 1.0×1.0×1.0 mm, flip angle 120°, acquisition matrix 256x256).</w:t>
      </w:r>
      <w:r w:rsidR="007B53C3">
        <w:rPr>
          <w:sz w:val="22"/>
          <w:szCs w:val="22"/>
          <w:shd w:val="clear" w:color="auto" w:fill="FFFFFF"/>
        </w:rPr>
        <w:t xml:space="preserve"> Results were compared to a group of healthy subjects acquired with the same scanner and protocol, matched for sex and age (</w:t>
      </w:r>
      <w:r w:rsidR="007B53C3" w:rsidRPr="00697ADF">
        <w:rPr>
          <w:sz w:val="22"/>
          <w:szCs w:val="22"/>
          <w:lang w:val="en-US"/>
        </w:rPr>
        <w:t>n=26, 11 males, age 50±11 years)</w:t>
      </w:r>
      <w:r w:rsidR="007B53C3">
        <w:rPr>
          <w:sz w:val="22"/>
          <w:szCs w:val="22"/>
          <w:lang w:val="en-US"/>
        </w:rPr>
        <w:t>.</w:t>
      </w:r>
    </w:p>
    <w:p w14:paraId="6FCBC431" w14:textId="77777777" w:rsidR="002B54E4" w:rsidRPr="000D425D" w:rsidRDefault="002B54E4" w:rsidP="000D425D">
      <w:pPr>
        <w:pStyle w:val="berschrift2"/>
        <w:spacing w:line="360" w:lineRule="auto"/>
        <w:rPr>
          <w:rFonts w:ascii="Times New Roman" w:hAnsi="Times New Roman" w:cs="Times New Roman"/>
          <w:sz w:val="22"/>
          <w:szCs w:val="22"/>
        </w:rPr>
      </w:pPr>
    </w:p>
    <w:p w14:paraId="196E1772" w14:textId="77777777" w:rsidR="005279C9" w:rsidRPr="000D425D" w:rsidRDefault="005279C9" w:rsidP="000D425D">
      <w:pPr>
        <w:pStyle w:val="berschrift2"/>
        <w:spacing w:line="360" w:lineRule="auto"/>
        <w:rPr>
          <w:rFonts w:ascii="Times New Roman" w:hAnsi="Times New Roman" w:cs="Times New Roman"/>
          <w:b/>
          <w:color w:val="auto"/>
          <w:sz w:val="22"/>
          <w:szCs w:val="22"/>
        </w:rPr>
      </w:pPr>
      <w:proofErr w:type="spellStart"/>
      <w:r w:rsidRPr="000D425D">
        <w:rPr>
          <w:rFonts w:ascii="Times New Roman" w:hAnsi="Times New Roman" w:cs="Times New Roman"/>
          <w:b/>
          <w:color w:val="auto"/>
          <w:sz w:val="22"/>
          <w:szCs w:val="22"/>
        </w:rPr>
        <w:t>Electroneurography</w:t>
      </w:r>
      <w:proofErr w:type="spellEnd"/>
      <w:r w:rsidRPr="000D425D">
        <w:rPr>
          <w:rFonts w:ascii="Times New Roman" w:hAnsi="Times New Roman" w:cs="Times New Roman"/>
          <w:b/>
          <w:color w:val="auto"/>
          <w:sz w:val="22"/>
          <w:szCs w:val="22"/>
        </w:rPr>
        <w:t xml:space="preserve"> protocol</w:t>
      </w:r>
    </w:p>
    <w:p w14:paraId="4B96CB69" w14:textId="77777777" w:rsidR="005279C9" w:rsidRPr="000D425D" w:rsidRDefault="005279C9" w:rsidP="000D425D">
      <w:pPr>
        <w:pStyle w:val="berschrift3"/>
        <w:spacing w:line="360" w:lineRule="auto"/>
        <w:rPr>
          <w:rFonts w:ascii="Times New Roman" w:hAnsi="Times New Roman" w:cs="Times New Roman"/>
          <w:b/>
          <w:color w:val="auto"/>
          <w:sz w:val="22"/>
          <w:szCs w:val="22"/>
          <w:shd w:val="clear" w:color="auto" w:fill="FFFFFF"/>
        </w:rPr>
      </w:pPr>
      <w:r w:rsidRPr="000D425D">
        <w:rPr>
          <w:rFonts w:ascii="Times New Roman" w:hAnsi="Times New Roman" w:cs="Times New Roman"/>
          <w:b/>
          <w:color w:val="auto"/>
          <w:sz w:val="22"/>
          <w:szCs w:val="22"/>
          <w:shd w:val="clear" w:color="auto" w:fill="FFFFFF"/>
        </w:rPr>
        <w:t xml:space="preserve">Study </w:t>
      </w:r>
      <w:proofErr w:type="spellStart"/>
      <w:r w:rsidRPr="000D425D">
        <w:rPr>
          <w:rFonts w:ascii="Times New Roman" w:hAnsi="Times New Roman" w:cs="Times New Roman"/>
          <w:b/>
          <w:color w:val="auto"/>
          <w:sz w:val="22"/>
          <w:szCs w:val="22"/>
          <w:shd w:val="clear" w:color="auto" w:fill="FFFFFF"/>
        </w:rPr>
        <w:t>center</w:t>
      </w:r>
      <w:proofErr w:type="spellEnd"/>
      <w:r w:rsidRPr="000D425D">
        <w:rPr>
          <w:rFonts w:ascii="Times New Roman" w:hAnsi="Times New Roman" w:cs="Times New Roman"/>
          <w:b/>
          <w:color w:val="auto"/>
          <w:sz w:val="22"/>
          <w:szCs w:val="22"/>
          <w:shd w:val="clear" w:color="auto" w:fill="FFFFFF"/>
        </w:rPr>
        <w:t xml:space="preserve"> Berlin:</w:t>
      </w:r>
    </w:p>
    <w:p w14:paraId="730648FE"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N. </w:t>
      </w:r>
      <w:proofErr w:type="spellStart"/>
      <w:r w:rsidRPr="000D425D">
        <w:rPr>
          <w:sz w:val="22"/>
          <w:szCs w:val="22"/>
          <w:shd w:val="clear" w:color="auto" w:fill="FFFFFF"/>
        </w:rPr>
        <w:t>medianus</w:t>
      </w:r>
      <w:proofErr w:type="spellEnd"/>
      <w:r w:rsidRPr="000D425D">
        <w:rPr>
          <w:sz w:val="22"/>
          <w:szCs w:val="22"/>
          <w:shd w:val="clear" w:color="auto" w:fill="FFFFFF"/>
        </w:rPr>
        <w:t xml:space="preserve"> and N. </w:t>
      </w:r>
      <w:proofErr w:type="spellStart"/>
      <w:r w:rsidRPr="000D425D">
        <w:rPr>
          <w:sz w:val="22"/>
          <w:szCs w:val="22"/>
          <w:shd w:val="clear" w:color="auto" w:fill="FFFFFF"/>
        </w:rPr>
        <w:t>ulnaris</w:t>
      </w:r>
      <w:proofErr w:type="spellEnd"/>
      <w:r w:rsidRPr="000D425D">
        <w:rPr>
          <w:sz w:val="22"/>
          <w:szCs w:val="22"/>
          <w:shd w:val="clear" w:color="auto" w:fill="FFFFFF"/>
        </w:rPr>
        <w:t xml:space="preserve"> (distal motor latency(</w:t>
      </w:r>
      <w:proofErr w:type="spellStart"/>
      <w:r w:rsidRPr="000D425D">
        <w:rPr>
          <w:sz w:val="22"/>
          <w:szCs w:val="22"/>
          <w:shd w:val="clear" w:color="auto" w:fill="FFFFFF"/>
        </w:rPr>
        <w:t>dmL</w:t>
      </w:r>
      <w:proofErr w:type="spellEnd"/>
      <w:r w:rsidRPr="000D425D">
        <w:rPr>
          <w:sz w:val="22"/>
          <w:szCs w:val="22"/>
          <w:shd w:val="clear" w:color="auto" w:fill="FFFFFF"/>
        </w:rPr>
        <w:t>), compound motor nerve action potential (MNAP), motor nerve conduction velocity (MCV), F-latency, compound sensory nerve action potential (SNAP), sensory nerve conduction velocity (SCV)) – left arm.</w:t>
      </w:r>
    </w:p>
    <w:p w14:paraId="532B2DE9"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N. tibialis and N. </w:t>
      </w:r>
      <w:proofErr w:type="spellStart"/>
      <w:r w:rsidRPr="000D425D">
        <w:rPr>
          <w:sz w:val="22"/>
          <w:szCs w:val="22"/>
          <w:shd w:val="clear" w:color="auto" w:fill="FFFFFF"/>
        </w:rPr>
        <w:t>peronaeus</w:t>
      </w:r>
      <w:proofErr w:type="spellEnd"/>
      <w:r w:rsidRPr="000D425D">
        <w:rPr>
          <w:sz w:val="22"/>
          <w:szCs w:val="22"/>
          <w:shd w:val="clear" w:color="auto" w:fill="FFFFFF"/>
        </w:rPr>
        <w:t xml:space="preserve"> (</w:t>
      </w:r>
      <w:proofErr w:type="spellStart"/>
      <w:r w:rsidRPr="000D425D">
        <w:rPr>
          <w:sz w:val="22"/>
          <w:szCs w:val="22"/>
          <w:shd w:val="clear" w:color="auto" w:fill="FFFFFF"/>
        </w:rPr>
        <w:t>dmL</w:t>
      </w:r>
      <w:proofErr w:type="spellEnd"/>
      <w:r w:rsidRPr="000D425D">
        <w:rPr>
          <w:sz w:val="22"/>
          <w:szCs w:val="22"/>
          <w:shd w:val="clear" w:color="auto" w:fill="FFFFFF"/>
        </w:rPr>
        <w:t xml:space="preserve">, MNAP, MCV, F-latency), N. </w:t>
      </w:r>
      <w:proofErr w:type="spellStart"/>
      <w:r w:rsidRPr="000D425D">
        <w:rPr>
          <w:sz w:val="22"/>
          <w:szCs w:val="22"/>
          <w:shd w:val="clear" w:color="auto" w:fill="FFFFFF"/>
        </w:rPr>
        <w:t>suralis</w:t>
      </w:r>
      <w:proofErr w:type="spellEnd"/>
      <w:r w:rsidRPr="000D425D">
        <w:rPr>
          <w:sz w:val="22"/>
          <w:szCs w:val="22"/>
          <w:shd w:val="clear" w:color="auto" w:fill="FFFFFF"/>
        </w:rPr>
        <w:t xml:space="preserve"> (SNAP, SCV) – right leg.</w:t>
      </w:r>
    </w:p>
    <w:p w14:paraId="3A8D2461"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Needle electromyography optional according to clinical and ENG findings.</w:t>
      </w:r>
    </w:p>
    <w:p w14:paraId="53B963D2"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Somatosensory evoked potentials for </w:t>
      </w:r>
      <w:proofErr w:type="spellStart"/>
      <w:r w:rsidRPr="000D425D">
        <w:rPr>
          <w:sz w:val="22"/>
          <w:szCs w:val="22"/>
          <w:shd w:val="clear" w:color="auto" w:fill="FFFFFF"/>
        </w:rPr>
        <w:t>N.medianus</w:t>
      </w:r>
      <w:proofErr w:type="spellEnd"/>
      <w:r w:rsidRPr="000D425D">
        <w:rPr>
          <w:sz w:val="22"/>
          <w:szCs w:val="22"/>
          <w:shd w:val="clear" w:color="auto" w:fill="FFFFFF"/>
        </w:rPr>
        <w:t xml:space="preserve"> and </w:t>
      </w:r>
      <w:proofErr w:type="spellStart"/>
      <w:r w:rsidRPr="000D425D">
        <w:rPr>
          <w:sz w:val="22"/>
          <w:szCs w:val="22"/>
          <w:shd w:val="clear" w:color="auto" w:fill="FFFFFF"/>
        </w:rPr>
        <w:t>N.tibialis</w:t>
      </w:r>
      <w:proofErr w:type="spellEnd"/>
      <w:r w:rsidRPr="000D425D">
        <w:rPr>
          <w:sz w:val="22"/>
          <w:szCs w:val="22"/>
          <w:shd w:val="clear" w:color="auto" w:fill="FFFFFF"/>
        </w:rPr>
        <w:t xml:space="preserve"> for spinal and cortical conduction time.</w:t>
      </w:r>
    </w:p>
    <w:p w14:paraId="0A374D2E"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Motor evoked potentials optional to both arms and legs (central motor conduction time - CMCT).</w:t>
      </w:r>
    </w:p>
    <w:p w14:paraId="326DA69A" w14:textId="77777777" w:rsidR="00230D12" w:rsidRPr="000D425D" w:rsidRDefault="00230D12" w:rsidP="000D425D">
      <w:pPr>
        <w:spacing w:line="360" w:lineRule="auto"/>
        <w:rPr>
          <w:sz w:val="22"/>
          <w:szCs w:val="22"/>
          <w:shd w:val="clear" w:color="auto" w:fill="FFFFFF"/>
        </w:rPr>
      </w:pPr>
    </w:p>
    <w:p w14:paraId="069881AE" w14:textId="77777777" w:rsidR="005279C9" w:rsidRPr="000D425D" w:rsidRDefault="005279C9" w:rsidP="000D425D">
      <w:pPr>
        <w:pStyle w:val="berschrift3"/>
        <w:spacing w:line="360" w:lineRule="auto"/>
        <w:rPr>
          <w:rFonts w:ascii="Times New Roman" w:hAnsi="Times New Roman" w:cs="Times New Roman"/>
          <w:b/>
          <w:color w:val="auto"/>
          <w:sz w:val="22"/>
          <w:szCs w:val="22"/>
          <w:shd w:val="clear" w:color="auto" w:fill="FFFFFF"/>
        </w:rPr>
      </w:pPr>
      <w:r w:rsidRPr="000D425D">
        <w:rPr>
          <w:rFonts w:ascii="Times New Roman" w:hAnsi="Times New Roman" w:cs="Times New Roman"/>
          <w:b/>
          <w:color w:val="auto"/>
          <w:sz w:val="22"/>
          <w:szCs w:val="22"/>
          <w:shd w:val="clear" w:color="auto" w:fill="FFFFFF"/>
        </w:rPr>
        <w:lastRenderedPageBreak/>
        <w:t xml:space="preserve">Study </w:t>
      </w:r>
      <w:proofErr w:type="spellStart"/>
      <w:r w:rsidRPr="000D425D">
        <w:rPr>
          <w:rFonts w:ascii="Times New Roman" w:hAnsi="Times New Roman" w:cs="Times New Roman"/>
          <w:b/>
          <w:color w:val="auto"/>
          <w:sz w:val="22"/>
          <w:szCs w:val="22"/>
          <w:shd w:val="clear" w:color="auto" w:fill="FFFFFF"/>
        </w:rPr>
        <w:t>center</w:t>
      </w:r>
      <w:proofErr w:type="spellEnd"/>
      <w:r w:rsidRPr="000D425D">
        <w:rPr>
          <w:rFonts w:ascii="Times New Roman" w:hAnsi="Times New Roman" w:cs="Times New Roman"/>
          <w:b/>
          <w:color w:val="auto"/>
          <w:sz w:val="22"/>
          <w:szCs w:val="22"/>
          <w:shd w:val="clear" w:color="auto" w:fill="FFFFFF"/>
        </w:rPr>
        <w:t xml:space="preserve"> Bonn/</w:t>
      </w:r>
      <w:proofErr w:type="spellStart"/>
      <w:r w:rsidRPr="000D425D">
        <w:rPr>
          <w:rFonts w:ascii="Times New Roman" w:hAnsi="Times New Roman" w:cs="Times New Roman"/>
          <w:b/>
          <w:color w:val="auto"/>
          <w:sz w:val="22"/>
          <w:szCs w:val="22"/>
          <w:shd w:val="clear" w:color="auto" w:fill="FFFFFF"/>
        </w:rPr>
        <w:t>Jülich</w:t>
      </w:r>
      <w:proofErr w:type="spellEnd"/>
      <w:r w:rsidRPr="000D425D">
        <w:rPr>
          <w:rFonts w:ascii="Times New Roman" w:hAnsi="Times New Roman" w:cs="Times New Roman"/>
          <w:b/>
          <w:color w:val="auto"/>
          <w:sz w:val="22"/>
          <w:szCs w:val="22"/>
          <w:shd w:val="clear" w:color="auto" w:fill="FFFFFF"/>
        </w:rPr>
        <w:t>:</w:t>
      </w:r>
    </w:p>
    <w:p w14:paraId="23B3AAE2"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N. </w:t>
      </w:r>
      <w:proofErr w:type="spellStart"/>
      <w:r w:rsidRPr="000D425D">
        <w:rPr>
          <w:sz w:val="22"/>
          <w:szCs w:val="22"/>
          <w:shd w:val="clear" w:color="auto" w:fill="FFFFFF"/>
        </w:rPr>
        <w:t>medianus</w:t>
      </w:r>
      <w:proofErr w:type="spellEnd"/>
      <w:r w:rsidRPr="000D425D">
        <w:rPr>
          <w:sz w:val="22"/>
          <w:szCs w:val="22"/>
          <w:shd w:val="clear" w:color="auto" w:fill="FFFFFF"/>
        </w:rPr>
        <w:t xml:space="preserve"> unilateral (</w:t>
      </w:r>
      <w:proofErr w:type="spellStart"/>
      <w:r w:rsidRPr="000D425D">
        <w:rPr>
          <w:sz w:val="22"/>
          <w:szCs w:val="22"/>
          <w:shd w:val="clear" w:color="auto" w:fill="FFFFFF"/>
        </w:rPr>
        <w:t>dmL</w:t>
      </w:r>
      <w:proofErr w:type="spellEnd"/>
      <w:r w:rsidRPr="000D425D">
        <w:rPr>
          <w:sz w:val="22"/>
          <w:szCs w:val="22"/>
          <w:shd w:val="clear" w:color="auto" w:fill="FFFFFF"/>
        </w:rPr>
        <w:t xml:space="preserve">, MNAP, MCV, F-latency, SNAP, SCV), </w:t>
      </w:r>
      <w:proofErr w:type="spellStart"/>
      <w:r w:rsidRPr="000D425D">
        <w:rPr>
          <w:sz w:val="22"/>
          <w:szCs w:val="22"/>
          <w:shd w:val="clear" w:color="auto" w:fill="FFFFFF"/>
        </w:rPr>
        <w:t>N.ulnaris</w:t>
      </w:r>
      <w:proofErr w:type="spellEnd"/>
      <w:r w:rsidRPr="000D425D">
        <w:rPr>
          <w:sz w:val="22"/>
          <w:szCs w:val="22"/>
          <w:shd w:val="clear" w:color="auto" w:fill="FFFFFF"/>
        </w:rPr>
        <w:t xml:space="preserve"> unilateral same side (F-latency, SNAP, SCV).</w:t>
      </w:r>
    </w:p>
    <w:p w14:paraId="3EAF5C32"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N. tibialis and N. </w:t>
      </w:r>
      <w:proofErr w:type="spellStart"/>
      <w:r w:rsidRPr="000D425D">
        <w:rPr>
          <w:sz w:val="22"/>
          <w:szCs w:val="22"/>
          <w:shd w:val="clear" w:color="auto" w:fill="FFFFFF"/>
        </w:rPr>
        <w:t>peronaeus</w:t>
      </w:r>
      <w:proofErr w:type="spellEnd"/>
      <w:r w:rsidRPr="000D425D">
        <w:rPr>
          <w:sz w:val="22"/>
          <w:szCs w:val="22"/>
          <w:shd w:val="clear" w:color="auto" w:fill="FFFFFF"/>
        </w:rPr>
        <w:t xml:space="preserve"> (</w:t>
      </w:r>
      <w:proofErr w:type="spellStart"/>
      <w:r w:rsidRPr="000D425D">
        <w:rPr>
          <w:sz w:val="22"/>
          <w:szCs w:val="22"/>
          <w:shd w:val="clear" w:color="auto" w:fill="FFFFFF"/>
        </w:rPr>
        <w:t>dmL</w:t>
      </w:r>
      <w:proofErr w:type="spellEnd"/>
      <w:r w:rsidRPr="000D425D">
        <w:rPr>
          <w:sz w:val="22"/>
          <w:szCs w:val="22"/>
          <w:shd w:val="clear" w:color="auto" w:fill="FFFFFF"/>
        </w:rPr>
        <w:t xml:space="preserve">, MSAP, MCV, F-latency), N. </w:t>
      </w:r>
      <w:proofErr w:type="spellStart"/>
      <w:r w:rsidRPr="000D425D">
        <w:rPr>
          <w:sz w:val="22"/>
          <w:szCs w:val="22"/>
          <w:shd w:val="clear" w:color="auto" w:fill="FFFFFF"/>
        </w:rPr>
        <w:t>suralis</w:t>
      </w:r>
      <w:proofErr w:type="spellEnd"/>
      <w:r w:rsidRPr="000D425D">
        <w:rPr>
          <w:sz w:val="22"/>
          <w:szCs w:val="22"/>
          <w:shd w:val="clear" w:color="auto" w:fill="FFFFFF"/>
        </w:rPr>
        <w:t xml:space="preserve"> (SNAP, SCV) unilateral per nerve including both legs. </w:t>
      </w:r>
    </w:p>
    <w:p w14:paraId="6870B790"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 xml:space="preserve">Somatosensory evoked potentials for N. </w:t>
      </w:r>
      <w:proofErr w:type="spellStart"/>
      <w:r w:rsidRPr="000D425D">
        <w:rPr>
          <w:sz w:val="22"/>
          <w:szCs w:val="22"/>
          <w:shd w:val="clear" w:color="auto" w:fill="FFFFFF"/>
        </w:rPr>
        <w:t>medianus</w:t>
      </w:r>
      <w:proofErr w:type="spellEnd"/>
      <w:r w:rsidRPr="000D425D">
        <w:rPr>
          <w:sz w:val="22"/>
          <w:szCs w:val="22"/>
          <w:shd w:val="clear" w:color="auto" w:fill="FFFFFF"/>
        </w:rPr>
        <w:t xml:space="preserve"> (spinal and cortical conduction time) and </w:t>
      </w:r>
      <w:proofErr w:type="spellStart"/>
      <w:r w:rsidRPr="000D425D">
        <w:rPr>
          <w:sz w:val="22"/>
          <w:szCs w:val="22"/>
          <w:shd w:val="clear" w:color="auto" w:fill="FFFFFF"/>
        </w:rPr>
        <w:t>N.tibialis</w:t>
      </w:r>
      <w:proofErr w:type="spellEnd"/>
      <w:r w:rsidRPr="000D425D">
        <w:rPr>
          <w:sz w:val="22"/>
          <w:szCs w:val="22"/>
          <w:shd w:val="clear" w:color="auto" w:fill="FFFFFF"/>
        </w:rPr>
        <w:t xml:space="preserve"> (cortical conduction time).</w:t>
      </w:r>
    </w:p>
    <w:p w14:paraId="473F0181" w14:textId="77777777" w:rsidR="005279C9" w:rsidRPr="000D425D" w:rsidRDefault="005279C9" w:rsidP="000D425D">
      <w:pPr>
        <w:spacing w:line="360" w:lineRule="auto"/>
        <w:jc w:val="both"/>
        <w:rPr>
          <w:sz w:val="22"/>
          <w:szCs w:val="22"/>
          <w:shd w:val="clear" w:color="auto" w:fill="FFFFFF"/>
        </w:rPr>
      </w:pPr>
      <w:r w:rsidRPr="000D425D">
        <w:rPr>
          <w:sz w:val="22"/>
          <w:szCs w:val="22"/>
          <w:shd w:val="clear" w:color="auto" w:fill="FFFFFF"/>
        </w:rPr>
        <w:t>Motor evoked potentials optional to both arms and legs (CMCT).</w:t>
      </w:r>
    </w:p>
    <w:p w14:paraId="572984CF" w14:textId="77777777" w:rsidR="005279C9" w:rsidRPr="000D425D" w:rsidRDefault="005279C9" w:rsidP="000D425D">
      <w:pPr>
        <w:spacing w:line="360" w:lineRule="auto"/>
        <w:jc w:val="both"/>
        <w:rPr>
          <w:sz w:val="22"/>
          <w:szCs w:val="22"/>
          <w:lang w:val="en-US"/>
        </w:rPr>
      </w:pPr>
    </w:p>
    <w:p w14:paraId="6ED8D5F5" w14:textId="77777777" w:rsidR="005279C9" w:rsidRPr="000D425D" w:rsidRDefault="005279C9" w:rsidP="000D425D">
      <w:pPr>
        <w:pStyle w:val="berschrift2"/>
        <w:spacing w:line="360" w:lineRule="auto"/>
        <w:jc w:val="both"/>
        <w:rPr>
          <w:rFonts w:ascii="Times New Roman" w:hAnsi="Times New Roman" w:cs="Times New Roman"/>
          <w:b/>
          <w:color w:val="auto"/>
          <w:sz w:val="22"/>
          <w:szCs w:val="22"/>
        </w:rPr>
      </w:pPr>
      <w:r w:rsidRPr="000D425D">
        <w:rPr>
          <w:rFonts w:ascii="Times New Roman" w:hAnsi="Times New Roman" w:cs="Times New Roman"/>
          <w:b/>
          <w:color w:val="auto"/>
          <w:sz w:val="22"/>
          <w:szCs w:val="22"/>
        </w:rPr>
        <w:t>Description of procedures for consensus in cases of difference between time-points and ratings</w:t>
      </w:r>
    </w:p>
    <w:p w14:paraId="0F951344" w14:textId="071FE5CF" w:rsidR="005279C9" w:rsidRPr="000D425D" w:rsidRDefault="00C85324" w:rsidP="000D425D">
      <w:pPr>
        <w:spacing w:line="360" w:lineRule="auto"/>
        <w:jc w:val="both"/>
        <w:rPr>
          <w:sz w:val="22"/>
          <w:szCs w:val="22"/>
          <w:shd w:val="clear" w:color="auto" w:fill="FFFFFF"/>
        </w:rPr>
      </w:pPr>
      <w:r w:rsidRPr="000D425D">
        <w:rPr>
          <w:sz w:val="22"/>
          <w:szCs w:val="22"/>
          <w:shd w:val="clear" w:color="auto" w:fill="FFFFFF"/>
        </w:rPr>
        <w:t>Most subjects we</w:t>
      </w:r>
      <w:r w:rsidR="00810272" w:rsidRPr="000D425D">
        <w:rPr>
          <w:sz w:val="22"/>
          <w:szCs w:val="22"/>
          <w:shd w:val="clear" w:color="auto" w:fill="FFFFFF"/>
        </w:rPr>
        <w:t xml:space="preserve">re investigated at both of the </w:t>
      </w:r>
      <w:r w:rsidRPr="000D425D">
        <w:rPr>
          <w:sz w:val="22"/>
          <w:szCs w:val="22"/>
          <w:shd w:val="clear" w:color="auto" w:fill="FFFFFF"/>
        </w:rPr>
        <w:t xml:space="preserve">coordinating and imaging centres (Berlin and </w:t>
      </w:r>
      <w:proofErr w:type="spellStart"/>
      <w:r w:rsidRPr="000D425D">
        <w:rPr>
          <w:sz w:val="22"/>
          <w:szCs w:val="22"/>
          <w:shd w:val="clear" w:color="auto" w:fill="FFFFFF"/>
        </w:rPr>
        <w:t>Jülich</w:t>
      </w:r>
      <w:proofErr w:type="spellEnd"/>
      <w:r w:rsidRPr="000D425D">
        <w:rPr>
          <w:sz w:val="22"/>
          <w:szCs w:val="22"/>
          <w:shd w:val="clear" w:color="auto" w:fill="FFFFFF"/>
        </w:rPr>
        <w:t>/Bonn)</w:t>
      </w:r>
      <w:r w:rsidR="00810272" w:rsidRPr="000D425D">
        <w:rPr>
          <w:sz w:val="22"/>
          <w:szCs w:val="22"/>
          <w:shd w:val="clear" w:color="auto" w:fill="FFFFFF"/>
        </w:rPr>
        <w:t xml:space="preserve"> with visits 194±113 days apart.</w:t>
      </w:r>
      <w:r w:rsidRPr="000D425D">
        <w:rPr>
          <w:sz w:val="22"/>
          <w:szCs w:val="22"/>
          <w:shd w:val="clear" w:color="auto" w:fill="FFFFFF"/>
        </w:rPr>
        <w:t xml:space="preserve"> </w:t>
      </w:r>
      <w:r w:rsidR="009249E8" w:rsidRPr="000D425D">
        <w:rPr>
          <w:sz w:val="22"/>
          <w:szCs w:val="22"/>
          <w:shd w:val="clear" w:color="auto" w:fill="FFFFFF"/>
        </w:rPr>
        <w:t xml:space="preserve">For </w:t>
      </w:r>
      <w:r w:rsidR="005279C9" w:rsidRPr="000D425D">
        <w:rPr>
          <w:sz w:val="22"/>
          <w:szCs w:val="22"/>
          <w:shd w:val="clear" w:color="auto" w:fill="FFFFFF"/>
        </w:rPr>
        <w:t xml:space="preserve">SARA and SCAFI ratings performed ≤ 3 months apart (12 to 75 days), means of both assessments were analysed while for ratings with larger time lag, only the assessments at the date of neuropsychological testing were included to account for possible clinical change between time-points. </w:t>
      </w:r>
      <w:proofErr w:type="spellStart"/>
      <w:r w:rsidR="005279C9" w:rsidRPr="000D425D">
        <w:rPr>
          <w:sz w:val="22"/>
          <w:szCs w:val="22"/>
          <w:shd w:val="clear" w:color="auto" w:fill="FFFFFF"/>
        </w:rPr>
        <w:t>Rater</w:t>
      </w:r>
      <w:proofErr w:type="spellEnd"/>
      <w:r w:rsidR="005279C9" w:rsidRPr="000D425D">
        <w:rPr>
          <w:sz w:val="22"/>
          <w:szCs w:val="22"/>
          <w:shd w:val="clear" w:color="auto" w:fill="FFFFFF"/>
        </w:rPr>
        <w:t xml:space="preserve"> differences for non-</w:t>
      </w:r>
      <w:r w:rsidR="009249E8" w:rsidRPr="000D425D">
        <w:rPr>
          <w:sz w:val="22"/>
          <w:szCs w:val="22"/>
          <w:shd w:val="clear" w:color="auto" w:fill="FFFFFF"/>
        </w:rPr>
        <w:t xml:space="preserve">ataxia </w:t>
      </w:r>
      <w:r w:rsidR="005279C9" w:rsidRPr="000D425D">
        <w:rPr>
          <w:sz w:val="22"/>
          <w:szCs w:val="22"/>
          <w:shd w:val="clear" w:color="auto" w:fill="FFFFFF"/>
        </w:rPr>
        <w:t>symptoms</w:t>
      </w:r>
      <w:r w:rsidR="009249E8" w:rsidRPr="000D425D">
        <w:rPr>
          <w:sz w:val="22"/>
          <w:szCs w:val="22"/>
          <w:shd w:val="clear" w:color="auto" w:fill="FFFFFF"/>
        </w:rPr>
        <w:t xml:space="preserve"> and patients’ history </w:t>
      </w:r>
      <w:r w:rsidR="005279C9" w:rsidRPr="000D425D">
        <w:rPr>
          <w:sz w:val="22"/>
          <w:szCs w:val="22"/>
          <w:shd w:val="clear" w:color="auto" w:fill="FFFFFF"/>
        </w:rPr>
        <w:t xml:space="preserve">were settled </w:t>
      </w:r>
      <w:r w:rsidR="009249E8" w:rsidRPr="000D425D">
        <w:rPr>
          <w:sz w:val="22"/>
          <w:szCs w:val="22"/>
          <w:shd w:val="clear" w:color="auto" w:fill="FFFFFF"/>
        </w:rPr>
        <w:t xml:space="preserve">between </w:t>
      </w:r>
      <w:proofErr w:type="spellStart"/>
      <w:r w:rsidR="009249E8" w:rsidRPr="000D425D">
        <w:rPr>
          <w:sz w:val="22"/>
          <w:szCs w:val="22"/>
          <w:shd w:val="clear" w:color="auto" w:fill="FFFFFF"/>
        </w:rPr>
        <w:t>raters</w:t>
      </w:r>
      <w:proofErr w:type="spellEnd"/>
      <w:r w:rsidR="009249E8" w:rsidRPr="000D425D">
        <w:rPr>
          <w:sz w:val="22"/>
          <w:szCs w:val="22"/>
          <w:shd w:val="clear" w:color="auto" w:fill="FFFFFF"/>
        </w:rPr>
        <w:t xml:space="preserve"> </w:t>
      </w:r>
      <w:r w:rsidR="005279C9" w:rsidRPr="000D425D">
        <w:rPr>
          <w:sz w:val="22"/>
          <w:szCs w:val="22"/>
          <w:shd w:val="clear" w:color="auto" w:fill="FFFFFF"/>
        </w:rPr>
        <w:t xml:space="preserve">considering all available evidence including video material. </w:t>
      </w:r>
    </w:p>
    <w:p w14:paraId="0B50D5BD" w14:textId="77777777" w:rsidR="0076328D" w:rsidRPr="000D425D" w:rsidRDefault="0076328D" w:rsidP="000D425D">
      <w:pPr>
        <w:spacing w:line="360" w:lineRule="auto"/>
        <w:jc w:val="both"/>
        <w:rPr>
          <w:sz w:val="22"/>
          <w:szCs w:val="22"/>
          <w:shd w:val="clear" w:color="auto" w:fill="FFFFFF"/>
        </w:rPr>
      </w:pPr>
    </w:p>
    <w:p w14:paraId="372477B2" w14:textId="6D8397BE" w:rsidR="0076328D" w:rsidRPr="000D425D" w:rsidRDefault="0023147C" w:rsidP="000D425D">
      <w:pPr>
        <w:spacing w:line="360" w:lineRule="auto"/>
        <w:jc w:val="both"/>
        <w:rPr>
          <w:rFonts w:eastAsiaTheme="majorEastAsia"/>
          <w:b/>
          <w:sz w:val="22"/>
          <w:szCs w:val="22"/>
        </w:rPr>
      </w:pPr>
      <w:r>
        <w:rPr>
          <w:rFonts w:eastAsiaTheme="majorEastAsia"/>
          <w:b/>
          <w:sz w:val="22"/>
          <w:szCs w:val="22"/>
        </w:rPr>
        <w:t>Processing of MR images</w:t>
      </w:r>
    </w:p>
    <w:p w14:paraId="7417D0D9" w14:textId="6BAFD50D" w:rsidR="0076328D" w:rsidRPr="000D425D" w:rsidRDefault="0076328D" w:rsidP="000D425D">
      <w:pPr>
        <w:spacing w:line="360" w:lineRule="auto"/>
        <w:jc w:val="both"/>
        <w:rPr>
          <w:sz w:val="22"/>
          <w:szCs w:val="22"/>
          <w:shd w:val="clear" w:color="auto" w:fill="FFFFFF"/>
        </w:rPr>
      </w:pPr>
      <w:r w:rsidRPr="000D425D">
        <w:rPr>
          <w:sz w:val="22"/>
          <w:szCs w:val="22"/>
          <w:shd w:val="clear" w:color="auto" w:fill="FFFFFF"/>
        </w:rPr>
        <w:t xml:space="preserve">For figure 3, IMPAX EE Client </w:t>
      </w:r>
      <w:r w:rsidR="00515418" w:rsidRPr="000D425D">
        <w:rPr>
          <w:sz w:val="22"/>
          <w:szCs w:val="22"/>
          <w:shd w:val="clear" w:color="auto" w:fill="FFFFFF"/>
        </w:rPr>
        <w:t xml:space="preserve">(Version R20, Agfa HealthCare) </w:t>
      </w:r>
      <w:r w:rsidRPr="000D425D">
        <w:rPr>
          <w:sz w:val="22"/>
          <w:szCs w:val="22"/>
          <w:shd w:val="clear" w:color="auto" w:fill="FFFFFF"/>
        </w:rPr>
        <w:t xml:space="preserve">was used for 3D reconstruction. Resulting MR images were further processed with GNU Image Manipulation Program (GIMP, version GIMP 2.8.22) to cut images, insert text and achieve comparable brightness and contrast between images from different scanners for longitudinal comparison. </w:t>
      </w:r>
    </w:p>
    <w:p w14:paraId="56271535" w14:textId="77777777" w:rsidR="00BF637A" w:rsidRPr="000D425D" w:rsidRDefault="00BF637A" w:rsidP="000D425D">
      <w:pPr>
        <w:spacing w:line="360" w:lineRule="auto"/>
        <w:jc w:val="both"/>
        <w:rPr>
          <w:sz w:val="22"/>
          <w:szCs w:val="22"/>
          <w:shd w:val="clear" w:color="auto" w:fill="FFFFFF"/>
        </w:rPr>
      </w:pPr>
    </w:p>
    <w:p w14:paraId="497DD10D" w14:textId="51FD3D95" w:rsidR="00725833" w:rsidRPr="000D425D" w:rsidRDefault="004332A0" w:rsidP="000D425D">
      <w:pPr>
        <w:spacing w:line="360" w:lineRule="auto"/>
        <w:rPr>
          <w:sz w:val="22"/>
          <w:szCs w:val="22"/>
        </w:rPr>
      </w:pPr>
      <w:r>
        <w:rPr>
          <w:b/>
          <w:sz w:val="22"/>
          <w:szCs w:val="22"/>
        </w:rPr>
        <w:t>Supplementary</w:t>
      </w:r>
      <w:r w:rsidR="00725833" w:rsidRPr="000D425D">
        <w:rPr>
          <w:b/>
          <w:sz w:val="22"/>
          <w:szCs w:val="22"/>
        </w:rPr>
        <w:t xml:space="preserve"> table 2</w:t>
      </w:r>
      <w:proofErr w:type="gramStart"/>
      <w:r w:rsidR="00515418" w:rsidRPr="000D425D">
        <w:rPr>
          <w:b/>
          <w:sz w:val="22"/>
          <w:szCs w:val="22"/>
        </w:rPr>
        <w:t>:</w:t>
      </w:r>
      <w:bookmarkStart w:id="0" w:name="_GoBack"/>
      <w:bookmarkEnd w:id="0"/>
      <w:proofErr w:type="gramEnd"/>
      <w:r w:rsidR="00515418" w:rsidRPr="000D425D">
        <w:rPr>
          <w:b/>
          <w:sz w:val="22"/>
          <w:szCs w:val="22"/>
        </w:rPr>
        <w:br/>
      </w:r>
      <w:r w:rsidR="00725833" w:rsidRPr="000D425D">
        <w:rPr>
          <w:sz w:val="22"/>
          <w:szCs w:val="22"/>
        </w:rPr>
        <w:t xml:space="preserve">Description and reference of neuropsychological tests and screening instruments applied in this study </w:t>
      </w:r>
    </w:p>
    <w:p w14:paraId="612D9D77" w14:textId="77777777" w:rsidR="00725833" w:rsidRPr="00725833" w:rsidRDefault="00725833" w:rsidP="00725833">
      <w:pPr>
        <w:rPr>
          <w:sz w:val="16"/>
          <w:szCs w:val="16"/>
        </w:rPr>
      </w:pPr>
    </w:p>
    <w:tbl>
      <w:tblPr>
        <w:tblW w:w="9498" w:type="dxa"/>
        <w:tblBorders>
          <w:top w:val="single" w:sz="8" w:space="0" w:color="000000"/>
          <w:bottom w:val="single" w:sz="8" w:space="0" w:color="000000"/>
          <w:insideH w:val="single" w:sz="8" w:space="0" w:color="000000"/>
        </w:tblBorders>
        <w:tblLayout w:type="fixed"/>
        <w:tblLook w:val="04A0" w:firstRow="1" w:lastRow="0" w:firstColumn="1" w:lastColumn="0" w:noHBand="0" w:noVBand="1"/>
      </w:tblPr>
      <w:tblGrid>
        <w:gridCol w:w="1068"/>
        <w:gridCol w:w="1342"/>
        <w:gridCol w:w="1559"/>
        <w:gridCol w:w="3969"/>
        <w:gridCol w:w="1560"/>
      </w:tblGrid>
      <w:tr w:rsidR="00725833" w:rsidRPr="00725833" w14:paraId="06D3D815" w14:textId="77777777" w:rsidTr="00BF637A">
        <w:trPr>
          <w:trHeight w:val="395"/>
        </w:trPr>
        <w:tc>
          <w:tcPr>
            <w:tcW w:w="1068" w:type="dxa"/>
            <w:tcBorders>
              <w:top w:val="single" w:sz="12" w:space="0" w:color="000000"/>
              <w:left w:val="nil"/>
              <w:bottom w:val="single" w:sz="12" w:space="0" w:color="auto"/>
            </w:tcBorders>
            <w:shd w:val="clear" w:color="auto" w:fill="FFFFFF"/>
            <w:vAlign w:val="center"/>
          </w:tcPr>
          <w:p w14:paraId="7DC7B654" w14:textId="77777777" w:rsidR="00725833" w:rsidRPr="00BF637A" w:rsidRDefault="00725833" w:rsidP="00BF637A">
            <w:pPr>
              <w:autoSpaceDE w:val="0"/>
              <w:rPr>
                <w:rFonts w:eastAsia="Calibri"/>
                <w:b/>
                <w:iCs/>
                <w:color w:val="000000"/>
                <w:sz w:val="16"/>
                <w:szCs w:val="16"/>
                <w:lang w:val="en-US"/>
              </w:rPr>
            </w:pPr>
            <w:r w:rsidRPr="00BF637A">
              <w:rPr>
                <w:rFonts w:eastAsia="Calibri"/>
                <w:b/>
                <w:bCs/>
                <w:iCs/>
                <w:color w:val="000000"/>
                <w:sz w:val="16"/>
                <w:szCs w:val="16"/>
                <w:lang w:val="en-US"/>
              </w:rPr>
              <w:t>Domain</w:t>
            </w:r>
          </w:p>
        </w:tc>
        <w:tc>
          <w:tcPr>
            <w:tcW w:w="1342" w:type="dxa"/>
            <w:tcBorders>
              <w:top w:val="single" w:sz="12" w:space="0" w:color="000000"/>
              <w:bottom w:val="single" w:sz="12" w:space="0" w:color="auto"/>
            </w:tcBorders>
            <w:shd w:val="clear" w:color="auto" w:fill="FFFFFF"/>
            <w:vAlign w:val="center"/>
          </w:tcPr>
          <w:p w14:paraId="71AAB6F7" w14:textId="77777777" w:rsidR="00725833" w:rsidRPr="00725833" w:rsidRDefault="00725833" w:rsidP="00BF637A">
            <w:pPr>
              <w:autoSpaceDE w:val="0"/>
              <w:rPr>
                <w:rFonts w:eastAsia="Calibri"/>
                <w:iCs/>
                <w:color w:val="000000"/>
                <w:sz w:val="16"/>
                <w:szCs w:val="16"/>
                <w:lang w:val="en-US"/>
              </w:rPr>
            </w:pPr>
            <w:r w:rsidRPr="00725833">
              <w:rPr>
                <w:rFonts w:eastAsia="Calibri"/>
                <w:b/>
                <w:iCs/>
                <w:color w:val="000000"/>
                <w:sz w:val="16"/>
                <w:szCs w:val="16"/>
                <w:lang w:val="en-US"/>
              </w:rPr>
              <w:t>Specific skill</w:t>
            </w:r>
          </w:p>
        </w:tc>
        <w:tc>
          <w:tcPr>
            <w:tcW w:w="1559" w:type="dxa"/>
            <w:tcBorders>
              <w:top w:val="single" w:sz="12" w:space="0" w:color="000000"/>
              <w:bottom w:val="single" w:sz="12" w:space="0" w:color="auto"/>
            </w:tcBorders>
            <w:shd w:val="clear" w:color="auto" w:fill="FFFFFF"/>
            <w:vAlign w:val="center"/>
          </w:tcPr>
          <w:p w14:paraId="3D3A04B6" w14:textId="77777777" w:rsidR="00725833" w:rsidRPr="00725833" w:rsidRDefault="00725833" w:rsidP="00BF637A">
            <w:pPr>
              <w:autoSpaceDE w:val="0"/>
              <w:rPr>
                <w:rFonts w:eastAsia="Calibri"/>
                <w:color w:val="000000"/>
                <w:sz w:val="16"/>
                <w:szCs w:val="16"/>
                <w:lang w:val="en-US"/>
              </w:rPr>
            </w:pPr>
            <w:r w:rsidRPr="00725833">
              <w:rPr>
                <w:rFonts w:eastAsia="Calibri"/>
                <w:b/>
                <w:color w:val="000000"/>
                <w:sz w:val="16"/>
                <w:szCs w:val="16"/>
                <w:lang w:val="en-US"/>
              </w:rPr>
              <w:t>Test</w:t>
            </w:r>
          </w:p>
        </w:tc>
        <w:tc>
          <w:tcPr>
            <w:tcW w:w="3969" w:type="dxa"/>
            <w:tcBorders>
              <w:top w:val="single" w:sz="12" w:space="0" w:color="000000"/>
              <w:bottom w:val="single" w:sz="12" w:space="0" w:color="auto"/>
            </w:tcBorders>
            <w:shd w:val="clear" w:color="auto" w:fill="FFFFFF"/>
            <w:vAlign w:val="center"/>
          </w:tcPr>
          <w:p w14:paraId="75D39201" w14:textId="77777777" w:rsidR="00725833" w:rsidRPr="00725833" w:rsidRDefault="00725833" w:rsidP="00BF637A">
            <w:pPr>
              <w:autoSpaceDE w:val="0"/>
              <w:rPr>
                <w:rFonts w:eastAsia="Calibri"/>
                <w:iCs/>
                <w:color w:val="000000"/>
                <w:sz w:val="16"/>
                <w:szCs w:val="16"/>
                <w:lang w:val="en-US"/>
              </w:rPr>
            </w:pPr>
            <w:r w:rsidRPr="00725833">
              <w:rPr>
                <w:rFonts w:eastAsia="Calibri"/>
                <w:b/>
                <w:iCs/>
                <w:color w:val="000000"/>
                <w:sz w:val="16"/>
                <w:szCs w:val="16"/>
                <w:lang w:val="en-US"/>
              </w:rPr>
              <w:t>Variable included</w:t>
            </w:r>
          </w:p>
        </w:tc>
        <w:tc>
          <w:tcPr>
            <w:tcW w:w="1560" w:type="dxa"/>
            <w:tcBorders>
              <w:top w:val="single" w:sz="12" w:space="0" w:color="000000"/>
              <w:bottom w:val="single" w:sz="12" w:space="0" w:color="auto"/>
              <w:right w:val="nil"/>
            </w:tcBorders>
            <w:shd w:val="clear" w:color="auto" w:fill="FFFFFF"/>
            <w:vAlign w:val="center"/>
          </w:tcPr>
          <w:p w14:paraId="5095330A" w14:textId="77777777" w:rsidR="00725833" w:rsidRPr="00725833" w:rsidRDefault="00725833" w:rsidP="00BF637A">
            <w:pPr>
              <w:autoSpaceDE w:val="0"/>
              <w:rPr>
                <w:rFonts w:eastAsia="Calibri"/>
                <w:iCs/>
                <w:color w:val="000000"/>
                <w:sz w:val="16"/>
                <w:szCs w:val="16"/>
                <w:lang w:val="en-US"/>
              </w:rPr>
            </w:pPr>
            <w:r w:rsidRPr="00725833">
              <w:rPr>
                <w:rFonts w:eastAsia="Calibri"/>
                <w:b/>
                <w:iCs/>
                <w:color w:val="000000"/>
                <w:sz w:val="16"/>
                <w:szCs w:val="16"/>
                <w:lang w:val="en-US"/>
              </w:rPr>
              <w:t>Reference</w:t>
            </w:r>
          </w:p>
        </w:tc>
      </w:tr>
      <w:tr w:rsidR="00725833" w:rsidRPr="0023147C" w14:paraId="2EAF32C4" w14:textId="77777777" w:rsidTr="003627F2">
        <w:trPr>
          <w:trHeight w:val="895"/>
        </w:trPr>
        <w:tc>
          <w:tcPr>
            <w:tcW w:w="1068" w:type="dxa"/>
            <w:vMerge w:val="restart"/>
            <w:tcBorders>
              <w:top w:val="single" w:sz="12" w:space="0" w:color="auto"/>
              <w:bottom w:val="single" w:sz="4" w:space="0" w:color="auto"/>
            </w:tcBorders>
            <w:shd w:val="clear" w:color="auto" w:fill="auto"/>
          </w:tcPr>
          <w:p w14:paraId="0815621E" w14:textId="77777777" w:rsidR="00725833" w:rsidRPr="00BF637A" w:rsidRDefault="00725833" w:rsidP="00725833">
            <w:pPr>
              <w:autoSpaceDE w:val="0"/>
              <w:jc w:val="both"/>
              <w:rPr>
                <w:rFonts w:eastAsia="Calibri"/>
                <w:b/>
                <w:iCs/>
                <w:sz w:val="16"/>
                <w:szCs w:val="16"/>
                <w:lang w:val="en-US"/>
              </w:rPr>
            </w:pPr>
            <w:r w:rsidRPr="00BF637A">
              <w:rPr>
                <w:rFonts w:eastAsia="Calibri"/>
                <w:b/>
                <w:bCs/>
                <w:iCs/>
                <w:sz w:val="16"/>
                <w:szCs w:val="16"/>
                <w:lang w:val="en-US"/>
              </w:rPr>
              <w:t>Attention</w:t>
            </w:r>
          </w:p>
        </w:tc>
        <w:tc>
          <w:tcPr>
            <w:tcW w:w="1342" w:type="dxa"/>
            <w:tcBorders>
              <w:top w:val="single" w:sz="12" w:space="0" w:color="auto"/>
              <w:bottom w:val="single" w:sz="4" w:space="0" w:color="auto"/>
            </w:tcBorders>
            <w:shd w:val="clear" w:color="auto" w:fill="auto"/>
          </w:tcPr>
          <w:p w14:paraId="3761CD20"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Selective attention</w:t>
            </w:r>
          </w:p>
        </w:tc>
        <w:tc>
          <w:tcPr>
            <w:tcW w:w="1559" w:type="dxa"/>
            <w:tcBorders>
              <w:top w:val="single" w:sz="12" w:space="0" w:color="auto"/>
              <w:bottom w:val="single" w:sz="4" w:space="0" w:color="auto"/>
            </w:tcBorders>
            <w:shd w:val="clear" w:color="auto" w:fill="auto"/>
          </w:tcPr>
          <w:p w14:paraId="3E070F41" w14:textId="77777777" w:rsidR="00725833" w:rsidRPr="00725833" w:rsidRDefault="00725833" w:rsidP="00725833">
            <w:pPr>
              <w:autoSpaceDE w:val="0"/>
              <w:rPr>
                <w:rFonts w:eastAsia="Calibri"/>
                <w:iCs/>
                <w:sz w:val="16"/>
                <w:szCs w:val="16"/>
                <w:lang w:val="de-DE"/>
              </w:rPr>
            </w:pPr>
            <w:r w:rsidRPr="00725833">
              <w:rPr>
                <w:rFonts w:eastAsia="Calibri"/>
                <w:iCs/>
                <w:sz w:val="16"/>
                <w:szCs w:val="16"/>
                <w:lang w:val="de-DE"/>
              </w:rPr>
              <w:t>Testbatterie zur Aufmerksamkeits-prüfung, Flexibilität (TAP-</w:t>
            </w:r>
            <w:proofErr w:type="spellStart"/>
            <w:r w:rsidRPr="00725833">
              <w:rPr>
                <w:rFonts w:eastAsia="Calibri"/>
                <w:iCs/>
                <w:sz w:val="16"/>
                <w:szCs w:val="16"/>
                <w:lang w:val="de-DE"/>
              </w:rPr>
              <w:t>Flexibility</w:t>
            </w:r>
            <w:proofErr w:type="spellEnd"/>
            <w:r w:rsidRPr="00725833">
              <w:rPr>
                <w:rFonts w:eastAsia="Calibri"/>
                <w:iCs/>
                <w:sz w:val="16"/>
                <w:szCs w:val="16"/>
                <w:lang w:val="de-DE"/>
              </w:rPr>
              <w:t>)</w:t>
            </w:r>
          </w:p>
        </w:tc>
        <w:tc>
          <w:tcPr>
            <w:tcW w:w="3969" w:type="dxa"/>
            <w:tcBorders>
              <w:top w:val="single" w:sz="12" w:space="0" w:color="auto"/>
              <w:bottom w:val="single" w:sz="4" w:space="0" w:color="auto"/>
            </w:tcBorders>
            <w:shd w:val="clear" w:color="auto" w:fill="auto"/>
          </w:tcPr>
          <w:p w14:paraId="2FE10728"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Reaction time in milliseconds responding to one of two varying stimuli presented laterally, consisting of a changing target number and/ or letter over 50 trials (TAP-flexibility (median reaction time))</w:t>
            </w:r>
          </w:p>
        </w:tc>
        <w:tc>
          <w:tcPr>
            <w:tcW w:w="1560" w:type="dxa"/>
            <w:tcBorders>
              <w:top w:val="single" w:sz="12" w:space="0" w:color="auto"/>
              <w:bottom w:val="single" w:sz="4" w:space="0" w:color="auto"/>
            </w:tcBorders>
            <w:shd w:val="clear" w:color="auto" w:fill="auto"/>
          </w:tcPr>
          <w:p w14:paraId="66DC5B80" w14:textId="77777777" w:rsidR="00725833" w:rsidRPr="00725833" w:rsidRDefault="00725833" w:rsidP="00725833">
            <w:pPr>
              <w:autoSpaceDE w:val="0"/>
              <w:rPr>
                <w:rFonts w:eastAsia="Calibri"/>
                <w:iCs/>
                <w:sz w:val="16"/>
                <w:szCs w:val="16"/>
                <w:lang w:val="de-DE"/>
              </w:rPr>
            </w:pPr>
            <w:r w:rsidRPr="00725833">
              <w:rPr>
                <w:rFonts w:eastAsia="Calibri"/>
                <w:iCs/>
                <w:sz w:val="16"/>
                <w:szCs w:val="16"/>
                <w:lang w:val="de-DE"/>
              </w:rPr>
              <w:t xml:space="preserve">Zimmermann, P. &amp; </w:t>
            </w:r>
            <w:proofErr w:type="spellStart"/>
            <w:r w:rsidRPr="00725833">
              <w:rPr>
                <w:rFonts w:eastAsia="Calibri"/>
                <w:iCs/>
                <w:sz w:val="16"/>
                <w:szCs w:val="16"/>
                <w:lang w:val="de-DE"/>
              </w:rPr>
              <w:t>Fimm</w:t>
            </w:r>
            <w:proofErr w:type="spellEnd"/>
            <w:r w:rsidRPr="00725833">
              <w:rPr>
                <w:rFonts w:eastAsia="Calibri"/>
                <w:iCs/>
                <w:sz w:val="16"/>
                <w:szCs w:val="16"/>
                <w:lang w:val="de-DE"/>
              </w:rPr>
              <w:t xml:space="preserve">, B. (2012). Herzogenrath: </w:t>
            </w:r>
            <w:proofErr w:type="spellStart"/>
            <w:r w:rsidRPr="00725833">
              <w:rPr>
                <w:rFonts w:eastAsia="Calibri"/>
                <w:iCs/>
                <w:sz w:val="16"/>
                <w:szCs w:val="16"/>
                <w:lang w:val="de-DE"/>
              </w:rPr>
              <w:t>Psytest</w:t>
            </w:r>
            <w:proofErr w:type="spellEnd"/>
            <w:r w:rsidRPr="00725833">
              <w:rPr>
                <w:rFonts w:eastAsia="Calibri"/>
                <w:iCs/>
                <w:sz w:val="16"/>
                <w:szCs w:val="16"/>
                <w:lang w:val="de-DE"/>
              </w:rPr>
              <w:t>.</w:t>
            </w:r>
          </w:p>
        </w:tc>
      </w:tr>
      <w:tr w:rsidR="00725833" w:rsidRPr="0023147C" w14:paraId="69C0B845" w14:textId="77777777" w:rsidTr="003627F2">
        <w:trPr>
          <w:trHeight w:val="844"/>
        </w:trPr>
        <w:tc>
          <w:tcPr>
            <w:tcW w:w="1068" w:type="dxa"/>
            <w:vMerge/>
            <w:tcBorders>
              <w:top w:val="single" w:sz="4" w:space="0" w:color="auto"/>
              <w:bottom w:val="single" w:sz="6" w:space="0" w:color="000000"/>
            </w:tcBorders>
            <w:shd w:val="clear" w:color="auto" w:fill="auto"/>
          </w:tcPr>
          <w:p w14:paraId="123B46F2" w14:textId="77777777" w:rsidR="00725833" w:rsidRPr="00BF637A" w:rsidRDefault="00725833" w:rsidP="00725833">
            <w:pPr>
              <w:autoSpaceDE w:val="0"/>
              <w:jc w:val="both"/>
              <w:rPr>
                <w:rFonts w:eastAsia="Calibri"/>
                <w:b/>
                <w:bCs/>
                <w:iCs/>
                <w:sz w:val="16"/>
                <w:szCs w:val="16"/>
                <w:lang w:val="de-DE"/>
              </w:rPr>
            </w:pPr>
          </w:p>
        </w:tc>
        <w:tc>
          <w:tcPr>
            <w:tcW w:w="1342" w:type="dxa"/>
            <w:tcBorders>
              <w:top w:val="single" w:sz="4" w:space="0" w:color="auto"/>
              <w:bottom w:val="single" w:sz="6" w:space="0" w:color="000000"/>
            </w:tcBorders>
            <w:shd w:val="clear" w:color="auto" w:fill="auto"/>
          </w:tcPr>
          <w:p w14:paraId="071D7F2B"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Inhibition</w:t>
            </w:r>
          </w:p>
        </w:tc>
        <w:tc>
          <w:tcPr>
            <w:tcW w:w="1559" w:type="dxa"/>
            <w:tcBorders>
              <w:top w:val="single" w:sz="4" w:space="0" w:color="auto"/>
              <w:bottom w:val="single" w:sz="6" w:space="0" w:color="000000"/>
            </w:tcBorders>
            <w:shd w:val="clear" w:color="auto" w:fill="auto"/>
          </w:tcPr>
          <w:p w14:paraId="11A45284" w14:textId="77777777" w:rsidR="00725833" w:rsidRPr="00725833" w:rsidRDefault="00725833" w:rsidP="00725833">
            <w:pPr>
              <w:autoSpaceDE w:val="0"/>
              <w:rPr>
                <w:rFonts w:eastAsia="Calibri"/>
                <w:iCs/>
                <w:sz w:val="16"/>
                <w:szCs w:val="16"/>
                <w:lang w:val="de-DE"/>
              </w:rPr>
            </w:pPr>
            <w:r w:rsidRPr="00725833">
              <w:rPr>
                <w:rFonts w:eastAsia="Calibri"/>
                <w:iCs/>
                <w:sz w:val="16"/>
                <w:szCs w:val="16"/>
                <w:lang w:val="de-DE"/>
              </w:rPr>
              <w:t>Testbatterie zur Aufmerksamkeits-prüfung, Go/</w:t>
            </w:r>
            <w:proofErr w:type="spellStart"/>
            <w:r w:rsidRPr="00725833">
              <w:rPr>
                <w:rFonts w:eastAsia="Calibri"/>
                <w:iCs/>
                <w:sz w:val="16"/>
                <w:szCs w:val="16"/>
                <w:lang w:val="de-DE"/>
              </w:rPr>
              <w:t>NoGo</w:t>
            </w:r>
            <w:proofErr w:type="spellEnd"/>
            <w:r w:rsidRPr="00725833">
              <w:rPr>
                <w:rFonts w:eastAsia="Calibri"/>
                <w:iCs/>
                <w:sz w:val="16"/>
                <w:szCs w:val="16"/>
                <w:lang w:val="de-DE"/>
              </w:rPr>
              <w:t xml:space="preserve"> (TAP-Go/</w:t>
            </w:r>
            <w:proofErr w:type="spellStart"/>
            <w:r w:rsidRPr="00725833">
              <w:rPr>
                <w:rFonts w:eastAsia="Calibri"/>
                <w:iCs/>
                <w:sz w:val="16"/>
                <w:szCs w:val="16"/>
                <w:lang w:val="de-DE"/>
              </w:rPr>
              <w:t>NoGo</w:t>
            </w:r>
            <w:proofErr w:type="spellEnd"/>
            <w:r w:rsidRPr="00725833">
              <w:rPr>
                <w:rFonts w:eastAsia="Calibri"/>
                <w:iCs/>
                <w:sz w:val="16"/>
                <w:szCs w:val="16"/>
                <w:lang w:val="de-DE"/>
              </w:rPr>
              <w:t>)</w:t>
            </w:r>
          </w:p>
        </w:tc>
        <w:tc>
          <w:tcPr>
            <w:tcW w:w="3969" w:type="dxa"/>
            <w:tcBorders>
              <w:top w:val="single" w:sz="4" w:space="0" w:color="auto"/>
              <w:bottom w:val="single" w:sz="6" w:space="0" w:color="000000"/>
            </w:tcBorders>
            <w:shd w:val="clear" w:color="auto" w:fill="auto"/>
          </w:tcPr>
          <w:p w14:paraId="67FE46C7"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Reaction time in milliseconds responding to two stimuli amongst three distractors presented over 12 trials (TAP-Go/</w:t>
            </w:r>
            <w:proofErr w:type="spellStart"/>
            <w:r w:rsidRPr="00725833">
              <w:rPr>
                <w:rFonts w:eastAsia="Calibri"/>
                <w:iCs/>
                <w:sz w:val="16"/>
                <w:szCs w:val="16"/>
                <w:lang w:val="en-US"/>
              </w:rPr>
              <w:t>NoGo</w:t>
            </w:r>
            <w:proofErr w:type="spellEnd"/>
            <w:r w:rsidRPr="00725833">
              <w:rPr>
                <w:rFonts w:eastAsia="Calibri"/>
                <w:iCs/>
                <w:sz w:val="16"/>
                <w:szCs w:val="16"/>
                <w:lang w:val="en-US"/>
              </w:rPr>
              <w:t xml:space="preserve"> (median reaction time))</w:t>
            </w:r>
          </w:p>
        </w:tc>
        <w:tc>
          <w:tcPr>
            <w:tcW w:w="1560" w:type="dxa"/>
            <w:tcBorders>
              <w:top w:val="single" w:sz="4" w:space="0" w:color="auto"/>
              <w:bottom w:val="single" w:sz="6" w:space="0" w:color="000000"/>
            </w:tcBorders>
            <w:shd w:val="clear" w:color="auto" w:fill="auto"/>
          </w:tcPr>
          <w:p w14:paraId="20EE1C4F" w14:textId="77777777" w:rsidR="00725833" w:rsidRPr="00725833" w:rsidRDefault="00725833" w:rsidP="00725833">
            <w:pPr>
              <w:autoSpaceDE w:val="0"/>
              <w:rPr>
                <w:rFonts w:eastAsia="Calibri"/>
                <w:i/>
                <w:iCs/>
                <w:sz w:val="16"/>
                <w:szCs w:val="16"/>
                <w:lang w:val="de-DE"/>
              </w:rPr>
            </w:pPr>
            <w:r w:rsidRPr="00725833">
              <w:rPr>
                <w:rFonts w:eastAsia="Calibri"/>
                <w:iCs/>
                <w:sz w:val="16"/>
                <w:szCs w:val="16"/>
                <w:lang w:val="de-DE"/>
              </w:rPr>
              <w:t xml:space="preserve">Zimmermann, P. &amp; </w:t>
            </w:r>
            <w:proofErr w:type="spellStart"/>
            <w:r w:rsidRPr="00725833">
              <w:rPr>
                <w:rFonts w:eastAsia="Calibri"/>
                <w:iCs/>
                <w:sz w:val="16"/>
                <w:szCs w:val="16"/>
                <w:lang w:val="de-DE"/>
              </w:rPr>
              <w:t>Fimm</w:t>
            </w:r>
            <w:proofErr w:type="spellEnd"/>
            <w:r w:rsidRPr="00725833">
              <w:rPr>
                <w:rFonts w:eastAsia="Calibri"/>
                <w:iCs/>
                <w:sz w:val="16"/>
                <w:szCs w:val="16"/>
                <w:lang w:val="de-DE"/>
              </w:rPr>
              <w:t>, B. (2012).</w:t>
            </w:r>
            <w:r w:rsidRPr="00725833">
              <w:rPr>
                <w:rFonts w:eastAsia="Calibri"/>
                <w:i/>
                <w:iCs/>
                <w:sz w:val="16"/>
                <w:szCs w:val="16"/>
                <w:lang w:val="de-DE"/>
              </w:rPr>
              <w:t xml:space="preserve"> </w:t>
            </w:r>
            <w:r w:rsidRPr="00725833">
              <w:rPr>
                <w:rFonts w:eastAsia="Calibri"/>
                <w:iCs/>
                <w:sz w:val="16"/>
                <w:szCs w:val="16"/>
                <w:lang w:val="de-DE"/>
              </w:rPr>
              <w:t xml:space="preserve">Herzogenrath: </w:t>
            </w:r>
            <w:proofErr w:type="spellStart"/>
            <w:r w:rsidRPr="00725833">
              <w:rPr>
                <w:rFonts w:eastAsia="Calibri"/>
                <w:iCs/>
                <w:sz w:val="16"/>
                <w:szCs w:val="16"/>
                <w:lang w:val="de-DE"/>
              </w:rPr>
              <w:t>Psytest</w:t>
            </w:r>
            <w:proofErr w:type="spellEnd"/>
            <w:r w:rsidRPr="00725833">
              <w:rPr>
                <w:rFonts w:eastAsia="Calibri"/>
                <w:iCs/>
                <w:sz w:val="16"/>
                <w:szCs w:val="16"/>
                <w:lang w:val="de-DE"/>
              </w:rPr>
              <w:t>.</w:t>
            </w:r>
          </w:p>
        </w:tc>
      </w:tr>
      <w:tr w:rsidR="00725833" w:rsidRPr="0023147C" w14:paraId="0D08A314" w14:textId="77777777" w:rsidTr="003627F2">
        <w:trPr>
          <w:trHeight w:val="836"/>
        </w:trPr>
        <w:tc>
          <w:tcPr>
            <w:tcW w:w="1068" w:type="dxa"/>
            <w:vMerge/>
            <w:tcBorders>
              <w:top w:val="single" w:sz="6" w:space="0" w:color="000000"/>
              <w:left w:val="nil"/>
              <w:bottom w:val="single" w:sz="6" w:space="0" w:color="000000"/>
            </w:tcBorders>
            <w:shd w:val="clear" w:color="auto" w:fill="auto"/>
          </w:tcPr>
          <w:p w14:paraId="216A2A67" w14:textId="77777777" w:rsidR="00725833" w:rsidRPr="00BF637A" w:rsidRDefault="00725833" w:rsidP="00725833">
            <w:pPr>
              <w:autoSpaceDE w:val="0"/>
              <w:jc w:val="both"/>
              <w:rPr>
                <w:rFonts w:eastAsia="Calibri"/>
                <w:b/>
                <w:iCs/>
                <w:sz w:val="16"/>
                <w:szCs w:val="16"/>
                <w:lang w:val="de-DE"/>
              </w:rPr>
            </w:pPr>
          </w:p>
        </w:tc>
        <w:tc>
          <w:tcPr>
            <w:tcW w:w="1342" w:type="dxa"/>
            <w:tcBorders>
              <w:top w:val="single" w:sz="6" w:space="0" w:color="000000"/>
              <w:bottom w:val="single" w:sz="6" w:space="0" w:color="000000"/>
            </w:tcBorders>
            <w:shd w:val="clear" w:color="auto" w:fill="auto"/>
          </w:tcPr>
          <w:p w14:paraId="00E96426"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Processing speed</w:t>
            </w:r>
          </w:p>
        </w:tc>
        <w:tc>
          <w:tcPr>
            <w:tcW w:w="1559" w:type="dxa"/>
            <w:tcBorders>
              <w:top w:val="single" w:sz="6" w:space="0" w:color="000000"/>
              <w:bottom w:val="single" w:sz="6" w:space="0" w:color="000000"/>
            </w:tcBorders>
            <w:shd w:val="clear" w:color="auto" w:fill="auto"/>
          </w:tcPr>
          <w:p w14:paraId="14B3B829" w14:textId="77777777" w:rsidR="00725833" w:rsidRPr="00725833" w:rsidRDefault="00725833" w:rsidP="00725833">
            <w:pPr>
              <w:autoSpaceDE w:val="0"/>
              <w:rPr>
                <w:rFonts w:eastAsia="Calibri"/>
                <w:sz w:val="16"/>
                <w:szCs w:val="16"/>
                <w:lang w:val="de-DE"/>
              </w:rPr>
            </w:pPr>
            <w:r w:rsidRPr="00725833">
              <w:rPr>
                <w:rFonts w:eastAsia="Calibri"/>
                <w:sz w:val="16"/>
                <w:szCs w:val="16"/>
                <w:lang w:val="de-DE"/>
              </w:rPr>
              <w:t xml:space="preserve">Testbatterie zur Aufmerksamkeits-prüfung, </w:t>
            </w:r>
            <w:proofErr w:type="spellStart"/>
            <w:r w:rsidRPr="00725833">
              <w:rPr>
                <w:rFonts w:eastAsia="Calibri"/>
                <w:sz w:val="16"/>
                <w:szCs w:val="16"/>
                <w:lang w:val="de-DE"/>
              </w:rPr>
              <w:t>Alertness</w:t>
            </w:r>
            <w:proofErr w:type="spellEnd"/>
            <w:r w:rsidRPr="00725833">
              <w:rPr>
                <w:rFonts w:eastAsia="Calibri"/>
                <w:sz w:val="16"/>
                <w:szCs w:val="16"/>
                <w:lang w:val="de-DE"/>
              </w:rPr>
              <w:t xml:space="preserve"> (TAP-</w:t>
            </w:r>
            <w:proofErr w:type="spellStart"/>
            <w:r w:rsidRPr="00725833">
              <w:rPr>
                <w:rFonts w:eastAsia="Calibri"/>
                <w:sz w:val="16"/>
                <w:szCs w:val="16"/>
                <w:lang w:val="de-DE"/>
              </w:rPr>
              <w:t>Alertness</w:t>
            </w:r>
            <w:proofErr w:type="spellEnd"/>
            <w:r w:rsidRPr="00725833">
              <w:rPr>
                <w:rFonts w:eastAsia="Calibri"/>
                <w:sz w:val="16"/>
                <w:szCs w:val="16"/>
                <w:lang w:val="de-DE"/>
              </w:rPr>
              <w:t>)</w:t>
            </w:r>
          </w:p>
        </w:tc>
        <w:tc>
          <w:tcPr>
            <w:tcW w:w="3969" w:type="dxa"/>
            <w:tcBorders>
              <w:top w:val="single" w:sz="6" w:space="0" w:color="000000"/>
              <w:bottom w:val="single" w:sz="6" w:space="0" w:color="000000"/>
            </w:tcBorders>
            <w:shd w:val="clear" w:color="auto" w:fill="auto"/>
          </w:tcPr>
          <w:p w14:paraId="4DACB2C5" w14:textId="77777777" w:rsidR="00725833" w:rsidRPr="00725833" w:rsidRDefault="00725833" w:rsidP="00725833">
            <w:pPr>
              <w:autoSpaceDE w:val="0"/>
              <w:jc w:val="both"/>
              <w:rPr>
                <w:rFonts w:eastAsia="Calibri"/>
                <w:sz w:val="16"/>
                <w:szCs w:val="16"/>
                <w:lang w:val="en-US"/>
              </w:rPr>
            </w:pPr>
            <w:r w:rsidRPr="00725833">
              <w:rPr>
                <w:rFonts w:eastAsia="Calibri"/>
                <w:sz w:val="16"/>
                <w:szCs w:val="16"/>
                <w:lang w:val="en-US"/>
              </w:rPr>
              <w:t>Reaction time in milliseconds responding to a stimulus presented with or without a warning sound over 40 trials each (TAP-Alertness (median reaction time))</w:t>
            </w:r>
          </w:p>
        </w:tc>
        <w:tc>
          <w:tcPr>
            <w:tcW w:w="1560" w:type="dxa"/>
            <w:tcBorders>
              <w:top w:val="single" w:sz="6" w:space="0" w:color="000000"/>
              <w:bottom w:val="single" w:sz="6" w:space="0" w:color="000000"/>
              <w:right w:val="nil"/>
            </w:tcBorders>
            <w:shd w:val="clear" w:color="auto" w:fill="auto"/>
          </w:tcPr>
          <w:p w14:paraId="7553058B" w14:textId="77777777" w:rsidR="00725833" w:rsidRPr="00725833" w:rsidRDefault="00725833" w:rsidP="00725833">
            <w:pPr>
              <w:autoSpaceDE w:val="0"/>
              <w:rPr>
                <w:rFonts w:eastAsia="Calibri"/>
                <w:i/>
                <w:iCs/>
                <w:sz w:val="16"/>
                <w:szCs w:val="16"/>
                <w:lang w:val="de-DE"/>
              </w:rPr>
            </w:pPr>
            <w:r w:rsidRPr="00725833">
              <w:rPr>
                <w:rFonts w:eastAsia="Calibri"/>
                <w:iCs/>
                <w:sz w:val="16"/>
                <w:szCs w:val="16"/>
                <w:lang w:val="de-DE"/>
              </w:rPr>
              <w:t xml:space="preserve">Zimmermann, P. &amp; </w:t>
            </w:r>
            <w:proofErr w:type="spellStart"/>
            <w:r w:rsidRPr="00725833">
              <w:rPr>
                <w:rFonts w:eastAsia="Calibri"/>
                <w:iCs/>
                <w:sz w:val="16"/>
                <w:szCs w:val="16"/>
                <w:lang w:val="de-DE"/>
              </w:rPr>
              <w:t>Fimm</w:t>
            </w:r>
            <w:proofErr w:type="spellEnd"/>
            <w:r w:rsidRPr="00725833">
              <w:rPr>
                <w:rFonts w:eastAsia="Calibri"/>
                <w:iCs/>
                <w:sz w:val="16"/>
                <w:szCs w:val="16"/>
                <w:lang w:val="de-DE"/>
              </w:rPr>
              <w:t>, B. (2012).</w:t>
            </w:r>
            <w:r w:rsidRPr="00725833">
              <w:rPr>
                <w:rFonts w:eastAsia="Calibri"/>
                <w:i/>
                <w:iCs/>
                <w:sz w:val="16"/>
                <w:szCs w:val="16"/>
                <w:lang w:val="de-DE"/>
              </w:rPr>
              <w:t xml:space="preserve"> </w:t>
            </w:r>
            <w:r w:rsidRPr="00725833">
              <w:rPr>
                <w:rFonts w:eastAsia="Calibri"/>
                <w:iCs/>
                <w:sz w:val="16"/>
                <w:szCs w:val="16"/>
                <w:lang w:val="de-DE"/>
              </w:rPr>
              <w:t xml:space="preserve">Herzogenrath: </w:t>
            </w:r>
            <w:proofErr w:type="spellStart"/>
            <w:r w:rsidRPr="00725833">
              <w:rPr>
                <w:rFonts w:eastAsia="Calibri"/>
                <w:iCs/>
                <w:sz w:val="16"/>
                <w:szCs w:val="16"/>
                <w:lang w:val="de-DE"/>
              </w:rPr>
              <w:t>Psytest</w:t>
            </w:r>
            <w:proofErr w:type="spellEnd"/>
            <w:r w:rsidRPr="00725833">
              <w:rPr>
                <w:rFonts w:eastAsia="Calibri"/>
                <w:iCs/>
                <w:sz w:val="16"/>
                <w:szCs w:val="16"/>
                <w:lang w:val="de-DE"/>
              </w:rPr>
              <w:t>.</w:t>
            </w:r>
          </w:p>
        </w:tc>
      </w:tr>
      <w:tr w:rsidR="00725833" w:rsidRPr="005D4F8C" w14:paraId="5B6FAE0F" w14:textId="77777777" w:rsidTr="003627F2">
        <w:trPr>
          <w:trHeight w:val="618"/>
        </w:trPr>
        <w:tc>
          <w:tcPr>
            <w:tcW w:w="1068" w:type="dxa"/>
            <w:vMerge w:val="restart"/>
            <w:tcBorders>
              <w:top w:val="single" w:sz="6" w:space="0" w:color="000000"/>
              <w:bottom w:val="single" w:sz="4" w:space="0" w:color="auto"/>
            </w:tcBorders>
            <w:shd w:val="clear" w:color="auto" w:fill="auto"/>
          </w:tcPr>
          <w:p w14:paraId="1F64FA3A" w14:textId="77777777" w:rsidR="00725833" w:rsidRPr="00BF637A" w:rsidRDefault="00725833" w:rsidP="00725833">
            <w:pPr>
              <w:autoSpaceDE w:val="0"/>
              <w:jc w:val="both"/>
              <w:rPr>
                <w:rFonts w:eastAsia="Calibri"/>
                <w:b/>
                <w:iCs/>
                <w:sz w:val="16"/>
                <w:szCs w:val="16"/>
                <w:lang w:val="en-US"/>
              </w:rPr>
            </w:pPr>
            <w:r w:rsidRPr="00BF637A">
              <w:rPr>
                <w:rFonts w:eastAsia="Calibri"/>
                <w:b/>
                <w:bCs/>
                <w:iCs/>
                <w:sz w:val="16"/>
                <w:szCs w:val="16"/>
                <w:lang w:val="en-US"/>
              </w:rPr>
              <w:t>Executive functioning</w:t>
            </w:r>
          </w:p>
        </w:tc>
        <w:tc>
          <w:tcPr>
            <w:tcW w:w="1342" w:type="dxa"/>
            <w:tcBorders>
              <w:top w:val="single" w:sz="6" w:space="0" w:color="000000"/>
              <w:bottom w:val="single" w:sz="6" w:space="0" w:color="000000"/>
            </w:tcBorders>
            <w:shd w:val="clear" w:color="auto" w:fill="auto"/>
          </w:tcPr>
          <w:p w14:paraId="7FE0533D" w14:textId="77777777" w:rsidR="00725833" w:rsidRPr="00725833" w:rsidRDefault="00725833" w:rsidP="00725833">
            <w:pPr>
              <w:autoSpaceDE w:val="0"/>
              <w:rPr>
                <w:rFonts w:eastAsia="Calibri"/>
                <w:iCs/>
                <w:sz w:val="16"/>
                <w:szCs w:val="16"/>
                <w:lang w:val="en-US"/>
              </w:rPr>
            </w:pPr>
            <w:r w:rsidRPr="00725833">
              <w:rPr>
                <w:rFonts w:eastAsia="Calibri"/>
                <w:iCs/>
                <w:sz w:val="16"/>
                <w:szCs w:val="16"/>
                <w:lang w:val="en-US"/>
              </w:rPr>
              <w:t>Affinity of interference</w:t>
            </w:r>
            <w:r w:rsidRPr="00725833" w:rsidDel="009B3CED">
              <w:rPr>
                <w:rFonts w:eastAsia="Calibri"/>
                <w:iCs/>
                <w:sz w:val="16"/>
                <w:szCs w:val="16"/>
                <w:lang w:val="en-US"/>
              </w:rPr>
              <w:t xml:space="preserve"> </w:t>
            </w:r>
          </w:p>
          <w:p w14:paraId="5BE658FF" w14:textId="77777777" w:rsidR="00725833" w:rsidRPr="00725833" w:rsidRDefault="00725833" w:rsidP="00725833">
            <w:pPr>
              <w:autoSpaceDE w:val="0"/>
              <w:rPr>
                <w:rFonts w:eastAsia="Calibri"/>
                <w:iCs/>
                <w:sz w:val="16"/>
                <w:szCs w:val="16"/>
                <w:lang w:val="en-US"/>
              </w:rPr>
            </w:pPr>
          </w:p>
        </w:tc>
        <w:tc>
          <w:tcPr>
            <w:tcW w:w="1559" w:type="dxa"/>
            <w:tcBorders>
              <w:top w:val="single" w:sz="6" w:space="0" w:color="000000"/>
              <w:bottom w:val="single" w:sz="6" w:space="0" w:color="000000"/>
            </w:tcBorders>
            <w:shd w:val="clear" w:color="auto" w:fill="auto"/>
          </w:tcPr>
          <w:p w14:paraId="2EF128FF" w14:textId="77777777" w:rsidR="00725833" w:rsidRPr="00725833" w:rsidRDefault="00725833" w:rsidP="00725833">
            <w:pPr>
              <w:autoSpaceDE w:val="0"/>
              <w:rPr>
                <w:rFonts w:eastAsia="Calibri"/>
                <w:sz w:val="16"/>
                <w:szCs w:val="16"/>
                <w:lang w:val="en-US"/>
              </w:rPr>
            </w:pPr>
            <w:proofErr w:type="spellStart"/>
            <w:r w:rsidRPr="00725833">
              <w:rPr>
                <w:rFonts w:eastAsia="Calibri"/>
                <w:sz w:val="16"/>
                <w:szCs w:val="16"/>
                <w:lang w:val="en-US"/>
              </w:rPr>
              <w:t>Farbe</w:t>
            </w:r>
            <w:proofErr w:type="spellEnd"/>
            <w:r w:rsidRPr="00725833">
              <w:rPr>
                <w:rFonts w:eastAsia="Calibri"/>
                <w:sz w:val="16"/>
                <w:szCs w:val="16"/>
                <w:lang w:val="en-US"/>
              </w:rPr>
              <w:t xml:space="preserve">-Wort </w:t>
            </w:r>
            <w:proofErr w:type="spellStart"/>
            <w:r w:rsidRPr="00725833">
              <w:rPr>
                <w:rFonts w:eastAsia="Calibri"/>
                <w:sz w:val="16"/>
                <w:szCs w:val="16"/>
                <w:lang w:val="en-US"/>
              </w:rPr>
              <w:t>Interferenztest</w:t>
            </w:r>
            <w:proofErr w:type="spellEnd"/>
            <w:r w:rsidRPr="00725833">
              <w:rPr>
                <w:rFonts w:eastAsia="Calibri"/>
                <w:sz w:val="16"/>
                <w:szCs w:val="16"/>
                <w:lang w:val="en-US"/>
              </w:rPr>
              <w:t xml:space="preserve"> (FWIT)</w:t>
            </w:r>
          </w:p>
        </w:tc>
        <w:tc>
          <w:tcPr>
            <w:tcW w:w="3969" w:type="dxa"/>
            <w:tcBorders>
              <w:top w:val="single" w:sz="6" w:space="0" w:color="000000"/>
              <w:bottom w:val="single" w:sz="6" w:space="0" w:color="000000"/>
            </w:tcBorders>
            <w:shd w:val="clear" w:color="auto" w:fill="auto"/>
          </w:tcPr>
          <w:p w14:paraId="74BE89DD"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Time lag between performance in naming the ink of colored bars and naming the ink that color-words were printed in (FWIT 3-2) in sec</w:t>
            </w:r>
          </w:p>
        </w:tc>
        <w:tc>
          <w:tcPr>
            <w:tcW w:w="1560" w:type="dxa"/>
            <w:tcBorders>
              <w:top w:val="single" w:sz="6" w:space="0" w:color="000000"/>
              <w:bottom w:val="single" w:sz="6" w:space="0" w:color="000000"/>
            </w:tcBorders>
            <w:shd w:val="clear" w:color="auto" w:fill="auto"/>
          </w:tcPr>
          <w:p w14:paraId="4CBBCB36" w14:textId="77777777" w:rsidR="00725833" w:rsidRPr="00725833" w:rsidRDefault="00725833" w:rsidP="00725833">
            <w:pPr>
              <w:autoSpaceDE w:val="0"/>
              <w:rPr>
                <w:rFonts w:eastAsia="Calibri"/>
                <w:i/>
                <w:iCs/>
                <w:sz w:val="16"/>
                <w:szCs w:val="16"/>
                <w:lang w:val="en-US"/>
              </w:rPr>
            </w:pPr>
            <w:proofErr w:type="spellStart"/>
            <w:r w:rsidRPr="00725833">
              <w:rPr>
                <w:rFonts w:eastAsia="Calibri"/>
                <w:iCs/>
                <w:sz w:val="16"/>
                <w:szCs w:val="16"/>
                <w:lang w:val="en-US"/>
              </w:rPr>
              <w:t>Bäumler</w:t>
            </w:r>
            <w:proofErr w:type="spellEnd"/>
            <w:r w:rsidRPr="00725833">
              <w:rPr>
                <w:rFonts w:eastAsia="Calibri"/>
                <w:iCs/>
                <w:sz w:val="16"/>
                <w:szCs w:val="16"/>
                <w:lang w:val="en-US"/>
              </w:rPr>
              <w:t>, G. (1985).</w:t>
            </w:r>
            <w:r w:rsidRPr="00725833">
              <w:rPr>
                <w:rFonts w:eastAsia="Calibri"/>
                <w:i/>
                <w:iCs/>
                <w:sz w:val="16"/>
                <w:szCs w:val="16"/>
                <w:lang w:val="en-US"/>
              </w:rPr>
              <w:t xml:space="preserve"> </w:t>
            </w:r>
            <w:proofErr w:type="spellStart"/>
            <w:r w:rsidRPr="00725833">
              <w:rPr>
                <w:rFonts w:eastAsia="Calibri"/>
                <w:iCs/>
                <w:sz w:val="16"/>
                <w:szCs w:val="16"/>
                <w:lang w:val="en-US"/>
              </w:rPr>
              <w:t>Göttingen</w:t>
            </w:r>
            <w:proofErr w:type="spellEnd"/>
            <w:r w:rsidRPr="00725833">
              <w:rPr>
                <w:rFonts w:eastAsia="Calibri"/>
                <w:iCs/>
                <w:sz w:val="16"/>
                <w:szCs w:val="16"/>
                <w:lang w:val="en-US"/>
              </w:rPr>
              <w:t xml:space="preserve">: </w:t>
            </w:r>
            <w:proofErr w:type="spellStart"/>
            <w:r w:rsidRPr="00725833">
              <w:rPr>
                <w:rFonts w:eastAsia="Calibri"/>
                <w:iCs/>
                <w:sz w:val="16"/>
                <w:szCs w:val="16"/>
                <w:lang w:val="en-US"/>
              </w:rPr>
              <w:t>Hogrefe</w:t>
            </w:r>
            <w:proofErr w:type="spellEnd"/>
            <w:r w:rsidRPr="00725833">
              <w:rPr>
                <w:rFonts w:eastAsia="Calibri"/>
                <w:iCs/>
                <w:sz w:val="16"/>
                <w:szCs w:val="16"/>
                <w:lang w:val="en-US"/>
              </w:rPr>
              <w:t>.</w:t>
            </w:r>
          </w:p>
        </w:tc>
      </w:tr>
      <w:tr w:rsidR="00725833" w:rsidRPr="0023147C" w14:paraId="67182476" w14:textId="77777777" w:rsidTr="003627F2">
        <w:trPr>
          <w:trHeight w:val="835"/>
        </w:trPr>
        <w:tc>
          <w:tcPr>
            <w:tcW w:w="1068" w:type="dxa"/>
            <w:vMerge/>
            <w:tcBorders>
              <w:top w:val="single" w:sz="8" w:space="0" w:color="000000"/>
              <w:bottom w:val="single" w:sz="4" w:space="0" w:color="auto"/>
            </w:tcBorders>
            <w:shd w:val="clear" w:color="auto" w:fill="auto"/>
          </w:tcPr>
          <w:p w14:paraId="66754E50" w14:textId="77777777" w:rsidR="00725833" w:rsidRPr="00BF637A" w:rsidRDefault="00725833" w:rsidP="00725833">
            <w:pPr>
              <w:autoSpaceDE w:val="0"/>
              <w:jc w:val="both"/>
              <w:rPr>
                <w:rFonts w:eastAsia="Calibri"/>
                <w:b/>
                <w:bCs/>
                <w:iCs/>
                <w:sz w:val="16"/>
                <w:szCs w:val="16"/>
                <w:lang w:val="en-US"/>
              </w:rPr>
            </w:pPr>
          </w:p>
        </w:tc>
        <w:tc>
          <w:tcPr>
            <w:tcW w:w="1342" w:type="dxa"/>
            <w:tcBorders>
              <w:top w:val="single" w:sz="6" w:space="0" w:color="000000"/>
              <w:bottom w:val="single" w:sz="6" w:space="0" w:color="000000"/>
            </w:tcBorders>
            <w:shd w:val="clear" w:color="auto" w:fill="auto"/>
          </w:tcPr>
          <w:p w14:paraId="3D4A3D3D" w14:textId="77777777" w:rsidR="00725833" w:rsidRPr="00725833" w:rsidRDefault="00725833" w:rsidP="00725833">
            <w:pPr>
              <w:autoSpaceDE w:val="0"/>
              <w:rPr>
                <w:rFonts w:eastAsia="Calibri"/>
                <w:iCs/>
                <w:sz w:val="16"/>
                <w:szCs w:val="16"/>
                <w:lang w:val="en-US"/>
              </w:rPr>
            </w:pPr>
            <w:r w:rsidRPr="00725833">
              <w:rPr>
                <w:rFonts w:eastAsia="Calibri"/>
                <w:iCs/>
                <w:sz w:val="16"/>
                <w:szCs w:val="16"/>
                <w:lang w:val="en-US"/>
              </w:rPr>
              <w:t>Visuospatial mental rotation</w:t>
            </w:r>
          </w:p>
        </w:tc>
        <w:tc>
          <w:tcPr>
            <w:tcW w:w="1559" w:type="dxa"/>
            <w:tcBorders>
              <w:top w:val="single" w:sz="6" w:space="0" w:color="000000"/>
              <w:bottom w:val="single" w:sz="6" w:space="0" w:color="000000"/>
            </w:tcBorders>
            <w:shd w:val="clear" w:color="auto" w:fill="auto"/>
          </w:tcPr>
          <w:p w14:paraId="641C0F65" w14:textId="77777777" w:rsidR="00725833" w:rsidRPr="00725833" w:rsidRDefault="00725833" w:rsidP="00725833">
            <w:pPr>
              <w:autoSpaceDE w:val="0"/>
              <w:rPr>
                <w:rFonts w:eastAsia="Calibri"/>
                <w:sz w:val="16"/>
                <w:szCs w:val="16"/>
                <w:lang w:val="en-US"/>
              </w:rPr>
            </w:pPr>
            <w:proofErr w:type="spellStart"/>
            <w:r w:rsidRPr="00725833">
              <w:rPr>
                <w:rFonts w:eastAsia="Calibri"/>
                <w:sz w:val="16"/>
                <w:szCs w:val="16"/>
                <w:lang w:val="en-US"/>
              </w:rPr>
              <w:t>Leistungsprüfsystem</w:t>
            </w:r>
            <w:proofErr w:type="spellEnd"/>
            <w:r w:rsidRPr="00725833">
              <w:rPr>
                <w:rFonts w:eastAsia="Calibri"/>
                <w:sz w:val="16"/>
                <w:szCs w:val="16"/>
                <w:lang w:val="en-US"/>
              </w:rPr>
              <w:t xml:space="preserve"> 50+ (LPS 50+, </w:t>
            </w:r>
          </w:p>
          <w:p w14:paraId="23878569" w14:textId="77777777" w:rsidR="00725833" w:rsidRPr="00725833" w:rsidRDefault="00725833" w:rsidP="00725833">
            <w:pPr>
              <w:autoSpaceDE w:val="0"/>
              <w:rPr>
                <w:rFonts w:eastAsia="Calibri"/>
                <w:sz w:val="16"/>
                <w:szCs w:val="16"/>
                <w:lang w:val="en-US"/>
              </w:rPr>
            </w:pPr>
            <w:r w:rsidRPr="00725833">
              <w:rPr>
                <w:rFonts w:eastAsia="Calibri"/>
                <w:sz w:val="16"/>
                <w:szCs w:val="16"/>
                <w:lang w:val="en-US"/>
              </w:rPr>
              <w:t>subtest 7)</w:t>
            </w:r>
          </w:p>
        </w:tc>
        <w:tc>
          <w:tcPr>
            <w:tcW w:w="3969" w:type="dxa"/>
            <w:tcBorders>
              <w:top w:val="single" w:sz="6" w:space="0" w:color="000000"/>
              <w:bottom w:val="single" w:sz="6" w:space="0" w:color="000000"/>
            </w:tcBorders>
            <w:shd w:val="clear" w:color="auto" w:fill="auto"/>
          </w:tcPr>
          <w:p w14:paraId="2115E051"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 xml:space="preserve">Number of correctly identified </w:t>
            </w:r>
            <w:hyperlink r:id="rId12" w:history="1">
              <w:r w:rsidRPr="00725833">
                <w:rPr>
                  <w:rFonts w:eastAsia="Calibri"/>
                  <w:iCs/>
                  <w:sz w:val="16"/>
                  <w:szCs w:val="16"/>
                  <w:lang w:val="en-US"/>
                </w:rPr>
                <w:t>mirror-inverted</w:t>
              </w:r>
            </w:hyperlink>
            <w:r w:rsidRPr="00725833">
              <w:rPr>
                <w:rFonts w:eastAsia="Calibri"/>
                <w:iCs/>
                <w:sz w:val="16"/>
                <w:szCs w:val="16"/>
                <w:lang w:val="en-US"/>
              </w:rPr>
              <w:t xml:space="preserve"> signs in rows of rotated numbers or letters (LPS(total)) within 2 minutes</w:t>
            </w:r>
          </w:p>
        </w:tc>
        <w:tc>
          <w:tcPr>
            <w:tcW w:w="1560" w:type="dxa"/>
            <w:tcBorders>
              <w:top w:val="single" w:sz="6" w:space="0" w:color="000000"/>
              <w:bottom w:val="single" w:sz="6" w:space="0" w:color="000000"/>
            </w:tcBorders>
            <w:shd w:val="clear" w:color="auto" w:fill="auto"/>
          </w:tcPr>
          <w:p w14:paraId="5F4B4EBA" w14:textId="77777777" w:rsidR="00725833" w:rsidRPr="00725833" w:rsidRDefault="00725833" w:rsidP="00725833">
            <w:pPr>
              <w:autoSpaceDE w:val="0"/>
              <w:rPr>
                <w:rFonts w:eastAsia="Calibri"/>
                <w:iCs/>
                <w:sz w:val="16"/>
                <w:szCs w:val="16"/>
                <w:lang w:val="de-DE"/>
              </w:rPr>
            </w:pPr>
            <w:r w:rsidRPr="00725833">
              <w:rPr>
                <w:rFonts w:eastAsia="Calibri"/>
                <w:iCs/>
                <w:sz w:val="16"/>
                <w:szCs w:val="16"/>
                <w:lang w:val="de-DE"/>
              </w:rPr>
              <w:t xml:space="preserve">Sturm, W., Willmes, K., &amp; Horn, W. (1993). Göttingen: </w:t>
            </w:r>
            <w:proofErr w:type="spellStart"/>
            <w:r w:rsidRPr="00725833">
              <w:rPr>
                <w:rFonts w:eastAsia="Calibri"/>
                <w:iCs/>
                <w:sz w:val="16"/>
                <w:szCs w:val="16"/>
                <w:lang w:val="de-DE"/>
              </w:rPr>
              <w:t>Hogrefe</w:t>
            </w:r>
            <w:proofErr w:type="spellEnd"/>
            <w:r w:rsidRPr="00725833">
              <w:rPr>
                <w:rFonts w:eastAsia="Calibri"/>
                <w:iCs/>
                <w:sz w:val="16"/>
                <w:szCs w:val="16"/>
                <w:lang w:val="de-DE"/>
              </w:rPr>
              <w:t>.</w:t>
            </w:r>
          </w:p>
        </w:tc>
      </w:tr>
      <w:tr w:rsidR="00725833" w:rsidRPr="005D4F8C" w14:paraId="1105C4E8" w14:textId="77777777" w:rsidTr="004112DF">
        <w:trPr>
          <w:trHeight w:val="406"/>
        </w:trPr>
        <w:tc>
          <w:tcPr>
            <w:tcW w:w="1068" w:type="dxa"/>
            <w:vMerge/>
            <w:tcBorders>
              <w:bottom w:val="single" w:sz="4" w:space="0" w:color="auto"/>
            </w:tcBorders>
            <w:shd w:val="clear" w:color="auto" w:fill="auto"/>
          </w:tcPr>
          <w:p w14:paraId="243BBC7A" w14:textId="77777777" w:rsidR="00725833" w:rsidRPr="00BF637A" w:rsidRDefault="00725833" w:rsidP="00725833">
            <w:pPr>
              <w:autoSpaceDE w:val="0"/>
              <w:jc w:val="both"/>
              <w:rPr>
                <w:rFonts w:eastAsia="Calibri"/>
                <w:b/>
                <w:iCs/>
                <w:sz w:val="16"/>
                <w:szCs w:val="16"/>
                <w:lang w:val="de-DE"/>
              </w:rPr>
            </w:pPr>
          </w:p>
        </w:tc>
        <w:tc>
          <w:tcPr>
            <w:tcW w:w="1342" w:type="dxa"/>
            <w:tcBorders>
              <w:top w:val="single" w:sz="6" w:space="0" w:color="000000"/>
              <w:bottom w:val="single" w:sz="6" w:space="0" w:color="000000"/>
            </w:tcBorders>
            <w:shd w:val="clear" w:color="auto" w:fill="auto"/>
          </w:tcPr>
          <w:p w14:paraId="22BA6698" w14:textId="77777777" w:rsidR="00725833" w:rsidRPr="00725833" w:rsidRDefault="00725833" w:rsidP="00725833">
            <w:pPr>
              <w:autoSpaceDE w:val="0"/>
              <w:jc w:val="both"/>
              <w:rPr>
                <w:rFonts w:eastAsia="Calibri"/>
                <w:iCs/>
                <w:sz w:val="16"/>
                <w:szCs w:val="16"/>
                <w:lang w:val="en-US"/>
              </w:rPr>
            </w:pPr>
            <w:proofErr w:type="spellStart"/>
            <w:r w:rsidRPr="00725833">
              <w:rPr>
                <w:rFonts w:eastAsia="Calibri"/>
                <w:iCs/>
                <w:sz w:val="16"/>
                <w:szCs w:val="16"/>
                <w:lang w:val="en-US"/>
              </w:rPr>
              <w:t>Interhemis-pheric</w:t>
            </w:r>
            <w:proofErr w:type="spellEnd"/>
            <w:r w:rsidRPr="00725833">
              <w:rPr>
                <w:rFonts w:eastAsia="Calibri"/>
                <w:iCs/>
                <w:sz w:val="16"/>
                <w:szCs w:val="16"/>
                <w:lang w:val="en-US"/>
              </w:rPr>
              <w:br/>
              <w:t>motor inhibition</w:t>
            </w:r>
          </w:p>
        </w:tc>
        <w:tc>
          <w:tcPr>
            <w:tcW w:w="1559" w:type="dxa"/>
            <w:tcBorders>
              <w:top w:val="single" w:sz="6" w:space="0" w:color="000000"/>
              <w:bottom w:val="single" w:sz="6" w:space="0" w:color="000000"/>
            </w:tcBorders>
            <w:shd w:val="clear" w:color="auto" w:fill="auto"/>
          </w:tcPr>
          <w:p w14:paraId="63FE99A0" w14:textId="77777777" w:rsidR="00725833" w:rsidRPr="00725833" w:rsidRDefault="00725833" w:rsidP="00725833">
            <w:pPr>
              <w:autoSpaceDE w:val="0"/>
              <w:rPr>
                <w:rFonts w:eastAsia="Calibri"/>
                <w:i/>
                <w:iCs/>
                <w:sz w:val="16"/>
                <w:szCs w:val="16"/>
                <w:lang w:val="en-US"/>
              </w:rPr>
            </w:pPr>
            <w:r w:rsidRPr="00725833">
              <w:rPr>
                <w:rFonts w:eastAsia="Calibri"/>
                <w:sz w:val="16"/>
                <w:szCs w:val="16"/>
                <w:lang w:val="en-US"/>
              </w:rPr>
              <w:t>Contralateral Co-Movement Test (COMO)</w:t>
            </w:r>
          </w:p>
        </w:tc>
        <w:tc>
          <w:tcPr>
            <w:tcW w:w="3969" w:type="dxa"/>
            <w:tcBorders>
              <w:top w:val="single" w:sz="6" w:space="0" w:color="000000"/>
              <w:bottom w:val="single" w:sz="6" w:space="0" w:color="000000"/>
            </w:tcBorders>
            <w:shd w:val="clear" w:color="auto" w:fill="auto"/>
          </w:tcPr>
          <w:p w14:paraId="3958891C"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Total score for unilateral execution of different movements previously demonstrated by instructor without moving the opposite (rated) extremity (COMO (total))</w:t>
            </w:r>
          </w:p>
        </w:tc>
        <w:tc>
          <w:tcPr>
            <w:tcW w:w="1560" w:type="dxa"/>
            <w:tcBorders>
              <w:top w:val="single" w:sz="6" w:space="0" w:color="000000"/>
              <w:bottom w:val="single" w:sz="6" w:space="0" w:color="000000"/>
              <w:right w:val="nil"/>
            </w:tcBorders>
            <w:shd w:val="clear" w:color="auto" w:fill="auto"/>
          </w:tcPr>
          <w:p w14:paraId="1490C5ED" w14:textId="77777777" w:rsidR="00725833" w:rsidRPr="00725833" w:rsidRDefault="00725833" w:rsidP="00725833">
            <w:pPr>
              <w:autoSpaceDE w:val="0"/>
              <w:rPr>
                <w:rFonts w:eastAsia="Calibri"/>
                <w:i/>
                <w:iCs/>
                <w:sz w:val="16"/>
                <w:szCs w:val="16"/>
                <w:lang w:val="en-US"/>
              </w:rPr>
            </w:pPr>
            <w:r w:rsidRPr="00725833">
              <w:rPr>
                <w:rFonts w:eastAsia="Calibri"/>
                <w:iCs/>
                <w:sz w:val="16"/>
                <w:szCs w:val="16"/>
                <w:lang w:val="en-US"/>
              </w:rPr>
              <w:t xml:space="preserve">According to Bartels et al. (2008). </w:t>
            </w:r>
            <w:r w:rsidRPr="00725833">
              <w:rPr>
                <w:rFonts w:eastAsia="Calibri"/>
                <w:i/>
                <w:iCs/>
                <w:sz w:val="16"/>
                <w:szCs w:val="16"/>
                <w:lang w:val="en-US"/>
              </w:rPr>
              <w:t xml:space="preserve">Neuromuscular </w:t>
            </w:r>
            <w:r w:rsidRPr="00725833">
              <w:rPr>
                <w:rFonts w:eastAsia="Calibri"/>
                <w:iCs/>
                <w:sz w:val="16"/>
                <w:szCs w:val="16"/>
                <w:lang w:val="en-US"/>
              </w:rPr>
              <w:t xml:space="preserve">Disorders, </w:t>
            </w:r>
            <w:r w:rsidRPr="00725833">
              <w:rPr>
                <w:rFonts w:eastAsia="Calibri"/>
                <w:i/>
                <w:iCs/>
                <w:sz w:val="16"/>
                <w:szCs w:val="16"/>
                <w:lang w:val="en-US"/>
              </w:rPr>
              <w:t>18(5)</w:t>
            </w:r>
            <w:r w:rsidRPr="00725833">
              <w:rPr>
                <w:rFonts w:eastAsia="Calibri"/>
                <w:iCs/>
                <w:sz w:val="16"/>
                <w:szCs w:val="16"/>
                <w:lang w:val="en-US"/>
              </w:rPr>
              <w:t>, 398-407.</w:t>
            </w:r>
          </w:p>
        </w:tc>
      </w:tr>
      <w:tr w:rsidR="00725833" w:rsidRPr="005D4F8C" w14:paraId="51C14708" w14:textId="77777777" w:rsidTr="004112DF">
        <w:trPr>
          <w:trHeight w:val="837"/>
        </w:trPr>
        <w:tc>
          <w:tcPr>
            <w:tcW w:w="1068" w:type="dxa"/>
            <w:vMerge w:val="restart"/>
            <w:tcBorders>
              <w:top w:val="single" w:sz="4" w:space="0" w:color="auto"/>
              <w:bottom w:val="single" w:sz="4" w:space="0" w:color="auto"/>
            </w:tcBorders>
            <w:shd w:val="clear" w:color="auto" w:fill="auto"/>
          </w:tcPr>
          <w:p w14:paraId="255FA76A" w14:textId="77777777" w:rsidR="00725833" w:rsidRPr="00BF637A" w:rsidRDefault="00725833" w:rsidP="00725833">
            <w:pPr>
              <w:autoSpaceDE w:val="0"/>
              <w:jc w:val="both"/>
              <w:rPr>
                <w:rFonts w:eastAsia="Calibri"/>
                <w:b/>
                <w:iCs/>
                <w:sz w:val="16"/>
                <w:szCs w:val="16"/>
                <w:lang w:val="en-US"/>
              </w:rPr>
            </w:pPr>
            <w:r w:rsidRPr="00BF637A">
              <w:rPr>
                <w:rFonts w:eastAsia="Calibri"/>
                <w:b/>
                <w:bCs/>
                <w:iCs/>
                <w:sz w:val="16"/>
                <w:szCs w:val="16"/>
                <w:lang w:val="en-US"/>
              </w:rPr>
              <w:t>Language</w:t>
            </w:r>
          </w:p>
        </w:tc>
        <w:tc>
          <w:tcPr>
            <w:tcW w:w="1342" w:type="dxa"/>
            <w:tcBorders>
              <w:top w:val="single" w:sz="6" w:space="0" w:color="000000"/>
              <w:bottom w:val="single" w:sz="6" w:space="0" w:color="000000"/>
            </w:tcBorders>
            <w:shd w:val="clear" w:color="auto" w:fill="auto"/>
          </w:tcPr>
          <w:p w14:paraId="61A64AA6"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Vocabulary</w:t>
            </w:r>
          </w:p>
        </w:tc>
        <w:tc>
          <w:tcPr>
            <w:tcW w:w="1559" w:type="dxa"/>
            <w:tcBorders>
              <w:top w:val="single" w:sz="6" w:space="0" w:color="000000"/>
              <w:bottom w:val="single" w:sz="6" w:space="0" w:color="000000"/>
            </w:tcBorders>
            <w:shd w:val="clear" w:color="auto" w:fill="auto"/>
          </w:tcPr>
          <w:p w14:paraId="438AA489" w14:textId="77777777" w:rsidR="00725833" w:rsidRPr="00725833" w:rsidRDefault="00725833" w:rsidP="00725833">
            <w:pPr>
              <w:autoSpaceDE w:val="0"/>
              <w:rPr>
                <w:rFonts w:eastAsia="Calibri"/>
                <w:iCs/>
                <w:sz w:val="16"/>
                <w:szCs w:val="16"/>
                <w:lang w:val="de-DE"/>
              </w:rPr>
            </w:pPr>
            <w:r w:rsidRPr="00725833">
              <w:rPr>
                <w:rFonts w:eastAsia="Calibri"/>
                <w:iCs/>
                <w:sz w:val="16"/>
                <w:szCs w:val="16"/>
                <w:lang w:val="de-DE"/>
              </w:rPr>
              <w:t>Mehrfachwahl-Wortschatz-Intelligenztest (MWT-B)</w:t>
            </w:r>
          </w:p>
        </w:tc>
        <w:tc>
          <w:tcPr>
            <w:tcW w:w="3969" w:type="dxa"/>
            <w:tcBorders>
              <w:top w:val="single" w:sz="6" w:space="0" w:color="000000"/>
              <w:bottom w:val="single" w:sz="6" w:space="0" w:color="000000"/>
            </w:tcBorders>
            <w:shd w:val="clear" w:color="auto" w:fill="auto"/>
          </w:tcPr>
          <w:p w14:paraId="38D6FAA1" w14:textId="77777777" w:rsidR="00725833" w:rsidRPr="00725833" w:rsidRDefault="00725833" w:rsidP="00725833">
            <w:pPr>
              <w:autoSpaceDE w:val="0"/>
              <w:jc w:val="both"/>
              <w:rPr>
                <w:rFonts w:eastAsia="Calibri"/>
                <w:sz w:val="16"/>
                <w:szCs w:val="16"/>
                <w:lang w:val="en-US"/>
              </w:rPr>
            </w:pPr>
            <w:r w:rsidRPr="00725833">
              <w:rPr>
                <w:rFonts w:eastAsia="Calibri"/>
                <w:iCs/>
                <w:sz w:val="16"/>
                <w:szCs w:val="16"/>
                <w:lang w:val="en-US"/>
              </w:rPr>
              <w:t>Number of correctly identified real words amongst distracting pseudo-words</w:t>
            </w:r>
            <w:r w:rsidRPr="00725833">
              <w:rPr>
                <w:rFonts w:eastAsia="Calibri"/>
                <w:sz w:val="16"/>
                <w:szCs w:val="16"/>
                <w:lang w:val="en-US"/>
              </w:rPr>
              <w:t xml:space="preserve"> (MWT-B(total)) of in total 37 real words</w:t>
            </w:r>
          </w:p>
        </w:tc>
        <w:tc>
          <w:tcPr>
            <w:tcW w:w="1560" w:type="dxa"/>
            <w:tcBorders>
              <w:top w:val="single" w:sz="6" w:space="0" w:color="000000"/>
              <w:bottom w:val="single" w:sz="6" w:space="0" w:color="000000"/>
            </w:tcBorders>
            <w:shd w:val="clear" w:color="auto" w:fill="auto"/>
          </w:tcPr>
          <w:p w14:paraId="2A59CAAE" w14:textId="77777777" w:rsidR="00725833" w:rsidRPr="00725833" w:rsidRDefault="00725833" w:rsidP="00725833">
            <w:pPr>
              <w:autoSpaceDE w:val="0"/>
              <w:rPr>
                <w:rFonts w:eastAsia="Calibri"/>
                <w:i/>
                <w:iCs/>
                <w:sz w:val="16"/>
                <w:szCs w:val="16"/>
                <w:lang w:val="en-US"/>
              </w:rPr>
            </w:pPr>
            <w:proofErr w:type="spellStart"/>
            <w:r w:rsidRPr="00725833">
              <w:rPr>
                <w:rFonts w:eastAsia="Calibri"/>
                <w:iCs/>
                <w:sz w:val="16"/>
                <w:szCs w:val="16"/>
                <w:lang w:val="en-US"/>
              </w:rPr>
              <w:t>Lehrl</w:t>
            </w:r>
            <w:proofErr w:type="spellEnd"/>
            <w:r w:rsidRPr="00725833">
              <w:rPr>
                <w:rFonts w:eastAsia="Calibri"/>
                <w:iCs/>
                <w:sz w:val="16"/>
                <w:szCs w:val="16"/>
                <w:lang w:val="en-US"/>
              </w:rPr>
              <w:t>, S. (2005).</w:t>
            </w:r>
            <w:r w:rsidRPr="00725833">
              <w:rPr>
                <w:rFonts w:eastAsia="Calibri"/>
                <w:i/>
                <w:iCs/>
                <w:sz w:val="16"/>
                <w:szCs w:val="16"/>
                <w:lang w:val="en-US"/>
              </w:rPr>
              <w:t xml:space="preserve"> </w:t>
            </w:r>
            <w:proofErr w:type="spellStart"/>
            <w:r w:rsidRPr="00725833">
              <w:rPr>
                <w:rFonts w:eastAsia="Calibri"/>
                <w:iCs/>
                <w:sz w:val="16"/>
                <w:szCs w:val="16"/>
                <w:lang w:val="en-US"/>
              </w:rPr>
              <w:t>Balingen</w:t>
            </w:r>
            <w:proofErr w:type="spellEnd"/>
            <w:r w:rsidRPr="00725833">
              <w:rPr>
                <w:rFonts w:eastAsia="Calibri"/>
                <w:iCs/>
                <w:sz w:val="16"/>
                <w:szCs w:val="16"/>
                <w:lang w:val="en-US"/>
              </w:rPr>
              <w:t xml:space="preserve">: </w:t>
            </w:r>
            <w:proofErr w:type="spellStart"/>
            <w:r w:rsidRPr="00725833">
              <w:rPr>
                <w:rFonts w:eastAsia="Calibri"/>
                <w:iCs/>
                <w:sz w:val="16"/>
                <w:szCs w:val="16"/>
                <w:lang w:val="en-US"/>
              </w:rPr>
              <w:t>Spitta</w:t>
            </w:r>
            <w:proofErr w:type="spellEnd"/>
            <w:r w:rsidRPr="00725833">
              <w:rPr>
                <w:rFonts w:eastAsia="Calibri"/>
                <w:iCs/>
                <w:sz w:val="16"/>
                <w:szCs w:val="16"/>
                <w:lang w:val="en-US"/>
              </w:rPr>
              <w:t>.</w:t>
            </w:r>
          </w:p>
        </w:tc>
      </w:tr>
      <w:tr w:rsidR="00725833" w:rsidRPr="005D4F8C" w14:paraId="312494E7" w14:textId="77777777" w:rsidTr="00BF637A">
        <w:trPr>
          <w:trHeight w:val="976"/>
        </w:trPr>
        <w:tc>
          <w:tcPr>
            <w:tcW w:w="1068" w:type="dxa"/>
            <w:vMerge/>
            <w:tcBorders>
              <w:top w:val="single" w:sz="6" w:space="0" w:color="000000"/>
              <w:left w:val="nil"/>
              <w:bottom w:val="single" w:sz="4" w:space="0" w:color="auto"/>
            </w:tcBorders>
            <w:shd w:val="clear" w:color="auto" w:fill="auto"/>
          </w:tcPr>
          <w:p w14:paraId="7ECEE53B" w14:textId="77777777" w:rsidR="00725833" w:rsidRPr="00BF637A" w:rsidRDefault="00725833" w:rsidP="00725833">
            <w:pPr>
              <w:autoSpaceDE w:val="0"/>
              <w:jc w:val="both"/>
              <w:rPr>
                <w:rFonts w:eastAsia="Calibri"/>
                <w:b/>
                <w:iCs/>
                <w:sz w:val="16"/>
                <w:szCs w:val="16"/>
                <w:lang w:val="en-US"/>
              </w:rPr>
            </w:pPr>
          </w:p>
        </w:tc>
        <w:tc>
          <w:tcPr>
            <w:tcW w:w="1342" w:type="dxa"/>
            <w:tcBorders>
              <w:top w:val="single" w:sz="6" w:space="0" w:color="000000"/>
              <w:bottom w:val="single" w:sz="4" w:space="0" w:color="auto"/>
            </w:tcBorders>
            <w:shd w:val="clear" w:color="auto" w:fill="auto"/>
          </w:tcPr>
          <w:p w14:paraId="623CF4C7"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Verbal fluency</w:t>
            </w:r>
          </w:p>
          <w:p w14:paraId="5787694F" w14:textId="77777777" w:rsidR="00725833" w:rsidRPr="00725833" w:rsidRDefault="00725833" w:rsidP="00725833">
            <w:pPr>
              <w:rPr>
                <w:rFonts w:eastAsia="Calibri"/>
                <w:sz w:val="16"/>
                <w:szCs w:val="16"/>
                <w:lang w:val="en-US"/>
              </w:rPr>
            </w:pPr>
          </w:p>
          <w:p w14:paraId="00DFCE93" w14:textId="77777777" w:rsidR="00725833" w:rsidRPr="00725833" w:rsidRDefault="00725833" w:rsidP="00725833">
            <w:pPr>
              <w:rPr>
                <w:rFonts w:eastAsia="Calibri"/>
                <w:sz w:val="16"/>
                <w:szCs w:val="16"/>
                <w:lang w:val="en-US"/>
              </w:rPr>
            </w:pPr>
          </w:p>
          <w:p w14:paraId="25048CD5" w14:textId="77777777" w:rsidR="00725833" w:rsidRPr="00725833" w:rsidRDefault="00725833" w:rsidP="00725833">
            <w:pPr>
              <w:rPr>
                <w:rFonts w:eastAsia="Calibri"/>
                <w:sz w:val="16"/>
                <w:szCs w:val="16"/>
                <w:lang w:val="en-US"/>
              </w:rPr>
            </w:pPr>
          </w:p>
          <w:p w14:paraId="7F651FF0" w14:textId="77777777" w:rsidR="00725833" w:rsidRPr="00725833" w:rsidRDefault="00725833" w:rsidP="00BF637A">
            <w:pPr>
              <w:rPr>
                <w:rFonts w:eastAsia="Calibri"/>
                <w:sz w:val="16"/>
                <w:szCs w:val="16"/>
                <w:lang w:val="en-US"/>
              </w:rPr>
            </w:pPr>
          </w:p>
        </w:tc>
        <w:tc>
          <w:tcPr>
            <w:tcW w:w="1559" w:type="dxa"/>
            <w:tcBorders>
              <w:top w:val="single" w:sz="6" w:space="0" w:color="000000"/>
              <w:bottom w:val="single" w:sz="4" w:space="0" w:color="auto"/>
            </w:tcBorders>
            <w:shd w:val="clear" w:color="auto" w:fill="auto"/>
          </w:tcPr>
          <w:p w14:paraId="6587293B" w14:textId="77777777" w:rsidR="00725833" w:rsidRPr="00725833" w:rsidRDefault="00725833" w:rsidP="00725833">
            <w:pPr>
              <w:autoSpaceDE w:val="0"/>
              <w:rPr>
                <w:rFonts w:eastAsia="Calibri"/>
                <w:i/>
                <w:iCs/>
                <w:sz w:val="16"/>
                <w:szCs w:val="16"/>
                <w:lang w:val="en-US"/>
              </w:rPr>
            </w:pPr>
            <w:proofErr w:type="spellStart"/>
            <w:r w:rsidRPr="00725833">
              <w:rPr>
                <w:rFonts w:eastAsia="Calibri"/>
                <w:sz w:val="16"/>
                <w:szCs w:val="16"/>
                <w:lang w:val="en-US"/>
              </w:rPr>
              <w:t>Regensburger</w:t>
            </w:r>
            <w:proofErr w:type="spellEnd"/>
            <w:r w:rsidRPr="00725833">
              <w:rPr>
                <w:rFonts w:eastAsia="Calibri"/>
                <w:sz w:val="16"/>
                <w:szCs w:val="16"/>
                <w:lang w:val="en-US"/>
              </w:rPr>
              <w:t xml:space="preserve"> </w:t>
            </w:r>
            <w:proofErr w:type="spellStart"/>
            <w:r w:rsidRPr="00725833">
              <w:rPr>
                <w:rFonts w:eastAsia="Calibri"/>
                <w:sz w:val="16"/>
                <w:szCs w:val="16"/>
                <w:lang w:val="en-US"/>
              </w:rPr>
              <w:t>Wortflüssigkeits</w:t>
            </w:r>
            <w:proofErr w:type="spellEnd"/>
            <w:r w:rsidRPr="00725833">
              <w:rPr>
                <w:rFonts w:eastAsia="Calibri"/>
                <w:sz w:val="16"/>
                <w:szCs w:val="16"/>
                <w:lang w:val="en-US"/>
              </w:rPr>
              <w:t xml:space="preserve">-Test (RWT </w:t>
            </w:r>
            <w:proofErr w:type="spellStart"/>
            <w:r w:rsidRPr="00725833">
              <w:rPr>
                <w:rFonts w:eastAsia="Calibri"/>
                <w:sz w:val="16"/>
                <w:szCs w:val="16"/>
                <w:lang w:val="en-US"/>
              </w:rPr>
              <w:t>phonematic</w:t>
            </w:r>
            <w:proofErr w:type="spellEnd"/>
            <w:r w:rsidRPr="00725833">
              <w:rPr>
                <w:rFonts w:eastAsia="Calibri"/>
                <w:sz w:val="16"/>
                <w:szCs w:val="16"/>
                <w:lang w:val="en-US"/>
              </w:rPr>
              <w:t xml:space="preserve"> and RWT semantic)</w:t>
            </w:r>
          </w:p>
        </w:tc>
        <w:tc>
          <w:tcPr>
            <w:tcW w:w="3969" w:type="dxa"/>
            <w:tcBorders>
              <w:top w:val="single" w:sz="6" w:space="0" w:color="000000"/>
              <w:bottom w:val="single" w:sz="4" w:space="0" w:color="auto"/>
            </w:tcBorders>
            <w:shd w:val="clear" w:color="auto" w:fill="auto"/>
          </w:tcPr>
          <w:p w14:paraId="0D459DC5" w14:textId="77777777" w:rsidR="00725833" w:rsidRPr="00725833" w:rsidRDefault="00725833" w:rsidP="00725833">
            <w:pPr>
              <w:autoSpaceDE w:val="0"/>
              <w:jc w:val="both"/>
              <w:rPr>
                <w:rFonts w:eastAsia="Calibri"/>
                <w:iCs/>
                <w:sz w:val="16"/>
                <w:szCs w:val="16"/>
                <w:lang w:val="en-US"/>
              </w:rPr>
            </w:pPr>
            <w:r w:rsidRPr="00725833">
              <w:rPr>
                <w:rFonts w:eastAsia="Calibri"/>
                <w:sz w:val="16"/>
                <w:szCs w:val="16"/>
                <w:lang w:val="en-US"/>
              </w:rPr>
              <w:t xml:space="preserve">Total number of correct words produced beginning with the letter “b” within 2 minutes; total number of correct words belonging to the category “jobs” (RWT </w:t>
            </w:r>
            <w:proofErr w:type="spellStart"/>
            <w:r w:rsidRPr="00725833">
              <w:rPr>
                <w:rFonts w:eastAsia="Calibri"/>
                <w:sz w:val="16"/>
                <w:szCs w:val="16"/>
                <w:lang w:val="en-US"/>
              </w:rPr>
              <w:t>phon</w:t>
            </w:r>
            <w:proofErr w:type="spellEnd"/>
            <w:r w:rsidRPr="00725833">
              <w:rPr>
                <w:rFonts w:eastAsia="Calibri"/>
                <w:sz w:val="16"/>
                <w:szCs w:val="16"/>
                <w:lang w:val="en-US"/>
              </w:rPr>
              <w:t xml:space="preserve">/RWT </w:t>
            </w:r>
            <w:proofErr w:type="spellStart"/>
            <w:r w:rsidRPr="00725833">
              <w:rPr>
                <w:rFonts w:eastAsia="Calibri"/>
                <w:sz w:val="16"/>
                <w:szCs w:val="16"/>
                <w:lang w:val="en-US"/>
              </w:rPr>
              <w:t>sem</w:t>
            </w:r>
            <w:proofErr w:type="spellEnd"/>
            <w:r w:rsidRPr="00725833">
              <w:rPr>
                <w:rFonts w:eastAsia="Calibri"/>
                <w:sz w:val="16"/>
                <w:szCs w:val="16"/>
                <w:lang w:val="en-US"/>
              </w:rPr>
              <w:t>)</w:t>
            </w:r>
          </w:p>
        </w:tc>
        <w:tc>
          <w:tcPr>
            <w:tcW w:w="1560" w:type="dxa"/>
            <w:tcBorders>
              <w:top w:val="single" w:sz="6" w:space="0" w:color="000000"/>
              <w:bottom w:val="single" w:sz="6" w:space="0" w:color="000000"/>
              <w:right w:val="nil"/>
            </w:tcBorders>
            <w:shd w:val="clear" w:color="auto" w:fill="auto"/>
          </w:tcPr>
          <w:p w14:paraId="42C2402B" w14:textId="77777777" w:rsidR="00725833" w:rsidRPr="00725833" w:rsidRDefault="00725833" w:rsidP="00725833">
            <w:pPr>
              <w:autoSpaceDE w:val="0"/>
              <w:rPr>
                <w:rFonts w:eastAsia="Calibri"/>
                <w:i/>
                <w:iCs/>
                <w:sz w:val="16"/>
                <w:szCs w:val="16"/>
                <w:lang w:val="en-US"/>
              </w:rPr>
            </w:pPr>
            <w:r w:rsidRPr="00725833">
              <w:rPr>
                <w:rFonts w:eastAsia="Calibri"/>
                <w:sz w:val="16"/>
                <w:szCs w:val="16"/>
                <w:lang w:val="de-DE"/>
              </w:rPr>
              <w:t xml:space="preserve">Aschenbrenner, S. </w:t>
            </w:r>
            <w:proofErr w:type="spellStart"/>
            <w:r w:rsidRPr="00725833">
              <w:rPr>
                <w:rFonts w:eastAsia="Calibri"/>
                <w:sz w:val="16"/>
                <w:szCs w:val="16"/>
                <w:lang w:val="de-DE"/>
              </w:rPr>
              <w:t>Tucha</w:t>
            </w:r>
            <w:proofErr w:type="spellEnd"/>
            <w:r w:rsidRPr="00725833">
              <w:rPr>
                <w:rFonts w:eastAsia="Calibri"/>
                <w:sz w:val="16"/>
                <w:szCs w:val="16"/>
                <w:lang w:val="de-DE"/>
              </w:rPr>
              <w:t>, O. &amp; Lange, K. W. (2001).</w:t>
            </w:r>
            <w:r w:rsidRPr="00725833">
              <w:rPr>
                <w:rFonts w:eastAsia="Calibri"/>
                <w:i/>
                <w:sz w:val="16"/>
                <w:szCs w:val="16"/>
                <w:lang w:val="de-DE"/>
              </w:rPr>
              <w:t xml:space="preserve"> </w:t>
            </w:r>
            <w:proofErr w:type="spellStart"/>
            <w:r w:rsidRPr="00725833">
              <w:rPr>
                <w:rFonts w:eastAsia="Calibri"/>
                <w:sz w:val="16"/>
                <w:szCs w:val="16"/>
                <w:lang w:val="en-US"/>
              </w:rPr>
              <w:t>Göttingen</w:t>
            </w:r>
            <w:proofErr w:type="spellEnd"/>
            <w:r w:rsidRPr="00725833">
              <w:rPr>
                <w:rFonts w:eastAsia="Calibri"/>
                <w:sz w:val="16"/>
                <w:szCs w:val="16"/>
                <w:lang w:val="en-US"/>
              </w:rPr>
              <w:t xml:space="preserve">: </w:t>
            </w:r>
            <w:proofErr w:type="spellStart"/>
            <w:r w:rsidRPr="00725833">
              <w:rPr>
                <w:rFonts w:eastAsia="Calibri"/>
                <w:sz w:val="16"/>
                <w:szCs w:val="16"/>
                <w:lang w:val="en-US"/>
              </w:rPr>
              <w:t>Hogrefe</w:t>
            </w:r>
            <w:proofErr w:type="spellEnd"/>
            <w:r w:rsidRPr="00725833">
              <w:rPr>
                <w:rFonts w:eastAsia="Calibri"/>
                <w:sz w:val="16"/>
                <w:szCs w:val="16"/>
                <w:lang w:val="en-US"/>
              </w:rPr>
              <w:t>.</w:t>
            </w:r>
          </w:p>
        </w:tc>
      </w:tr>
      <w:tr w:rsidR="00725833" w:rsidRPr="005D4F8C" w14:paraId="3FFA78F5" w14:textId="77777777" w:rsidTr="003627F2">
        <w:tc>
          <w:tcPr>
            <w:tcW w:w="1068" w:type="dxa"/>
            <w:vMerge w:val="restart"/>
            <w:tcBorders>
              <w:top w:val="single" w:sz="4" w:space="0" w:color="auto"/>
              <w:left w:val="nil"/>
              <w:bottom w:val="nil"/>
            </w:tcBorders>
            <w:shd w:val="clear" w:color="auto" w:fill="auto"/>
          </w:tcPr>
          <w:p w14:paraId="63712F3E" w14:textId="77777777" w:rsidR="00725833" w:rsidRPr="00BF637A" w:rsidRDefault="00725833" w:rsidP="00725833">
            <w:pPr>
              <w:autoSpaceDE w:val="0"/>
              <w:jc w:val="both"/>
              <w:rPr>
                <w:rFonts w:eastAsia="Calibri"/>
                <w:b/>
                <w:iCs/>
                <w:sz w:val="16"/>
                <w:szCs w:val="16"/>
                <w:lang w:val="en-US"/>
              </w:rPr>
            </w:pPr>
            <w:r w:rsidRPr="00BF637A">
              <w:rPr>
                <w:rFonts w:eastAsia="Calibri"/>
                <w:b/>
                <w:bCs/>
                <w:iCs/>
                <w:sz w:val="16"/>
                <w:szCs w:val="16"/>
                <w:lang w:val="en-US"/>
              </w:rPr>
              <w:t>Memory</w:t>
            </w:r>
          </w:p>
          <w:p w14:paraId="082E48C0" w14:textId="77777777" w:rsidR="00725833" w:rsidRPr="00BF637A" w:rsidRDefault="00725833" w:rsidP="00725833">
            <w:pPr>
              <w:rPr>
                <w:rFonts w:eastAsia="Calibri"/>
                <w:b/>
                <w:sz w:val="16"/>
                <w:szCs w:val="16"/>
                <w:lang w:val="en-US"/>
              </w:rPr>
            </w:pPr>
          </w:p>
          <w:p w14:paraId="72A99E73" w14:textId="77777777" w:rsidR="00725833" w:rsidRPr="00BF637A" w:rsidRDefault="00725833" w:rsidP="00725833">
            <w:pPr>
              <w:rPr>
                <w:rFonts w:eastAsia="Calibri"/>
                <w:b/>
                <w:sz w:val="16"/>
                <w:szCs w:val="16"/>
                <w:lang w:val="en-US"/>
              </w:rPr>
            </w:pPr>
          </w:p>
          <w:p w14:paraId="7030A486" w14:textId="77777777" w:rsidR="00725833" w:rsidRPr="00BF637A" w:rsidRDefault="00725833" w:rsidP="00725833">
            <w:pPr>
              <w:rPr>
                <w:rFonts w:eastAsia="Calibri"/>
                <w:b/>
                <w:sz w:val="16"/>
                <w:szCs w:val="16"/>
                <w:lang w:val="en-US"/>
              </w:rPr>
            </w:pPr>
          </w:p>
          <w:p w14:paraId="1524A789" w14:textId="77777777" w:rsidR="00725833" w:rsidRPr="00BF637A" w:rsidRDefault="00725833" w:rsidP="00725833">
            <w:pPr>
              <w:rPr>
                <w:rFonts w:eastAsia="Calibri"/>
                <w:b/>
                <w:sz w:val="16"/>
                <w:szCs w:val="16"/>
                <w:lang w:val="en-US"/>
              </w:rPr>
            </w:pPr>
          </w:p>
          <w:p w14:paraId="3A3BFA2D" w14:textId="77777777" w:rsidR="00725833" w:rsidRPr="00BF637A" w:rsidRDefault="00725833" w:rsidP="00725833">
            <w:pPr>
              <w:rPr>
                <w:rFonts w:eastAsia="Calibri"/>
                <w:b/>
                <w:sz w:val="16"/>
                <w:szCs w:val="16"/>
                <w:lang w:val="en-US"/>
              </w:rPr>
            </w:pPr>
          </w:p>
          <w:p w14:paraId="29F96E29" w14:textId="77777777" w:rsidR="00725833" w:rsidRPr="00BF637A" w:rsidRDefault="00725833" w:rsidP="00725833">
            <w:pPr>
              <w:tabs>
                <w:tab w:val="left" w:pos="533"/>
              </w:tabs>
              <w:rPr>
                <w:rFonts w:eastAsia="Calibri"/>
                <w:b/>
                <w:sz w:val="16"/>
                <w:szCs w:val="16"/>
                <w:lang w:val="en-US"/>
              </w:rPr>
            </w:pPr>
            <w:r w:rsidRPr="00BF637A">
              <w:rPr>
                <w:rFonts w:eastAsia="Calibri"/>
                <w:b/>
                <w:sz w:val="16"/>
                <w:szCs w:val="16"/>
                <w:lang w:val="en-US"/>
              </w:rPr>
              <w:tab/>
            </w:r>
          </w:p>
        </w:tc>
        <w:tc>
          <w:tcPr>
            <w:tcW w:w="1342" w:type="dxa"/>
            <w:tcBorders>
              <w:top w:val="single" w:sz="4" w:space="0" w:color="auto"/>
              <w:bottom w:val="single" w:sz="4" w:space="0" w:color="auto"/>
            </w:tcBorders>
            <w:shd w:val="clear" w:color="auto" w:fill="auto"/>
          </w:tcPr>
          <w:p w14:paraId="6103DE41"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Figural memory</w:t>
            </w:r>
          </w:p>
        </w:tc>
        <w:tc>
          <w:tcPr>
            <w:tcW w:w="1559" w:type="dxa"/>
            <w:tcBorders>
              <w:top w:val="single" w:sz="4" w:space="0" w:color="auto"/>
              <w:bottom w:val="single" w:sz="4" w:space="0" w:color="auto"/>
            </w:tcBorders>
            <w:shd w:val="clear" w:color="auto" w:fill="auto"/>
          </w:tcPr>
          <w:p w14:paraId="6C7248C4" w14:textId="77777777" w:rsidR="00725833" w:rsidRPr="00725833" w:rsidRDefault="00725833" w:rsidP="00725833">
            <w:pPr>
              <w:autoSpaceDE w:val="0"/>
              <w:rPr>
                <w:rFonts w:eastAsia="Calibri"/>
                <w:sz w:val="16"/>
                <w:szCs w:val="16"/>
                <w:lang w:val="en-US"/>
              </w:rPr>
            </w:pPr>
            <w:r w:rsidRPr="00725833">
              <w:rPr>
                <w:rFonts w:eastAsia="Calibri"/>
                <w:sz w:val="16"/>
                <w:szCs w:val="16"/>
                <w:lang w:val="en-US"/>
              </w:rPr>
              <w:t>Rey-</w:t>
            </w:r>
            <w:proofErr w:type="spellStart"/>
            <w:r w:rsidRPr="00725833">
              <w:rPr>
                <w:rFonts w:eastAsia="Calibri"/>
                <w:sz w:val="16"/>
                <w:szCs w:val="16"/>
                <w:lang w:val="en-US"/>
              </w:rPr>
              <w:t>Osterrieth</w:t>
            </w:r>
            <w:proofErr w:type="spellEnd"/>
            <w:r w:rsidRPr="00725833">
              <w:rPr>
                <w:rFonts w:eastAsia="Calibri"/>
                <w:sz w:val="16"/>
                <w:szCs w:val="16"/>
                <w:lang w:val="en-US"/>
              </w:rPr>
              <w:t xml:space="preserve"> Complex Figure Test (ROCFT)</w:t>
            </w:r>
          </w:p>
        </w:tc>
        <w:tc>
          <w:tcPr>
            <w:tcW w:w="3969" w:type="dxa"/>
            <w:tcBorders>
              <w:top w:val="single" w:sz="4" w:space="0" w:color="auto"/>
              <w:bottom w:val="single" w:sz="4" w:space="0" w:color="auto"/>
            </w:tcBorders>
            <w:shd w:val="clear" w:color="auto" w:fill="auto"/>
          </w:tcPr>
          <w:p w14:paraId="775E6948" w14:textId="77777777" w:rsidR="00725833" w:rsidRPr="00725833" w:rsidRDefault="00725833" w:rsidP="00725833">
            <w:pPr>
              <w:autoSpaceDE w:val="0"/>
              <w:jc w:val="both"/>
              <w:rPr>
                <w:rFonts w:eastAsia="Calibri"/>
                <w:sz w:val="16"/>
                <w:szCs w:val="16"/>
                <w:lang w:val="en-US"/>
              </w:rPr>
            </w:pPr>
            <w:r w:rsidRPr="00725833">
              <w:rPr>
                <w:rFonts w:eastAsia="Calibri"/>
                <w:sz w:val="16"/>
                <w:szCs w:val="16"/>
                <w:lang w:val="en-US"/>
              </w:rPr>
              <w:t>score for immediate recall (CFT (score immediate recall)); score for 30 minute delayed recall (CFT (score delayed recall)) of a complex 2-D figure</w:t>
            </w:r>
          </w:p>
        </w:tc>
        <w:tc>
          <w:tcPr>
            <w:tcW w:w="1560" w:type="dxa"/>
            <w:tcBorders>
              <w:top w:val="single" w:sz="6" w:space="0" w:color="000000"/>
              <w:bottom w:val="single" w:sz="6" w:space="0" w:color="000000"/>
            </w:tcBorders>
            <w:shd w:val="clear" w:color="auto" w:fill="auto"/>
          </w:tcPr>
          <w:p w14:paraId="7BF9E684" w14:textId="77777777" w:rsidR="00725833" w:rsidRPr="00725833" w:rsidRDefault="00725833" w:rsidP="00725833">
            <w:pPr>
              <w:autoSpaceDE w:val="0"/>
              <w:rPr>
                <w:rFonts w:eastAsia="Calibri"/>
                <w:i/>
                <w:iCs/>
                <w:sz w:val="16"/>
                <w:szCs w:val="16"/>
              </w:rPr>
            </w:pPr>
            <w:r w:rsidRPr="00725833">
              <w:rPr>
                <w:rFonts w:eastAsia="Calibri"/>
                <w:iCs/>
                <w:sz w:val="16"/>
                <w:szCs w:val="16"/>
              </w:rPr>
              <w:t xml:space="preserve">Rey, A. (1941). </w:t>
            </w:r>
            <w:r w:rsidRPr="00725833">
              <w:rPr>
                <w:rFonts w:eastAsia="Calibri"/>
                <w:i/>
                <w:iCs/>
                <w:sz w:val="16"/>
                <w:szCs w:val="16"/>
              </w:rPr>
              <w:t xml:space="preserve">Archives of Psychology, 28, </w:t>
            </w:r>
            <w:r w:rsidRPr="00725833">
              <w:rPr>
                <w:rFonts w:eastAsia="Calibri"/>
                <w:iCs/>
                <w:sz w:val="16"/>
                <w:szCs w:val="16"/>
              </w:rPr>
              <w:t>286–340.</w:t>
            </w:r>
          </w:p>
          <w:p w14:paraId="3D0D3D6E" w14:textId="77777777" w:rsidR="00725833" w:rsidRPr="00725833" w:rsidRDefault="00725833" w:rsidP="00725833">
            <w:pPr>
              <w:autoSpaceDE w:val="0"/>
              <w:rPr>
                <w:rFonts w:eastAsia="Calibri"/>
                <w:iCs/>
                <w:sz w:val="16"/>
                <w:szCs w:val="16"/>
              </w:rPr>
            </w:pPr>
            <w:proofErr w:type="spellStart"/>
            <w:r w:rsidRPr="00725833">
              <w:rPr>
                <w:rFonts w:eastAsia="Calibri"/>
                <w:i/>
                <w:iCs/>
                <w:sz w:val="16"/>
                <w:szCs w:val="16"/>
              </w:rPr>
              <w:t>Osterrieth</w:t>
            </w:r>
            <w:proofErr w:type="spellEnd"/>
            <w:r w:rsidRPr="00725833">
              <w:rPr>
                <w:rFonts w:eastAsia="Calibri"/>
                <w:i/>
                <w:iCs/>
                <w:sz w:val="16"/>
                <w:szCs w:val="16"/>
              </w:rPr>
              <w:t xml:space="preserve">, P. A. (1944).   Archives of Psychology, 30, </w:t>
            </w:r>
            <w:r w:rsidRPr="00725833">
              <w:rPr>
                <w:rFonts w:eastAsia="Calibri"/>
                <w:iCs/>
                <w:sz w:val="16"/>
                <w:szCs w:val="16"/>
              </w:rPr>
              <w:t>206–356.</w:t>
            </w:r>
          </w:p>
        </w:tc>
      </w:tr>
      <w:tr w:rsidR="00725833" w:rsidRPr="005D4F8C" w14:paraId="2E7E6E38" w14:textId="77777777" w:rsidTr="00BF637A">
        <w:trPr>
          <w:trHeight w:val="615"/>
        </w:trPr>
        <w:tc>
          <w:tcPr>
            <w:tcW w:w="1068" w:type="dxa"/>
            <w:vMerge/>
            <w:tcBorders>
              <w:top w:val="nil"/>
              <w:left w:val="nil"/>
              <w:bottom w:val="nil"/>
            </w:tcBorders>
            <w:shd w:val="clear" w:color="auto" w:fill="auto"/>
          </w:tcPr>
          <w:p w14:paraId="06FF1A3C" w14:textId="77777777" w:rsidR="00725833" w:rsidRPr="00BF637A" w:rsidRDefault="00725833" w:rsidP="00725833">
            <w:pPr>
              <w:autoSpaceDE w:val="0"/>
              <w:jc w:val="both"/>
              <w:rPr>
                <w:rFonts w:eastAsia="Calibri"/>
                <w:b/>
                <w:iCs/>
                <w:sz w:val="16"/>
                <w:szCs w:val="16"/>
              </w:rPr>
            </w:pPr>
          </w:p>
        </w:tc>
        <w:tc>
          <w:tcPr>
            <w:tcW w:w="1342" w:type="dxa"/>
            <w:tcBorders>
              <w:top w:val="single" w:sz="4" w:space="0" w:color="auto"/>
              <w:bottom w:val="single" w:sz="4" w:space="0" w:color="auto"/>
            </w:tcBorders>
            <w:shd w:val="clear" w:color="auto" w:fill="auto"/>
          </w:tcPr>
          <w:p w14:paraId="039E315D"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Visuospatial working  memory</w:t>
            </w:r>
          </w:p>
        </w:tc>
        <w:tc>
          <w:tcPr>
            <w:tcW w:w="1559" w:type="dxa"/>
            <w:tcBorders>
              <w:top w:val="single" w:sz="4" w:space="0" w:color="auto"/>
              <w:bottom w:val="single" w:sz="6" w:space="0" w:color="000000"/>
            </w:tcBorders>
            <w:shd w:val="clear" w:color="auto" w:fill="auto"/>
          </w:tcPr>
          <w:p w14:paraId="66D86DC9" w14:textId="77777777" w:rsidR="00725833" w:rsidRPr="00725833" w:rsidRDefault="00725833" w:rsidP="00725833">
            <w:pPr>
              <w:autoSpaceDE w:val="0"/>
              <w:rPr>
                <w:rFonts w:eastAsia="Calibri"/>
                <w:i/>
                <w:iCs/>
                <w:sz w:val="16"/>
                <w:szCs w:val="16"/>
                <w:lang w:val="en-US"/>
              </w:rPr>
            </w:pPr>
            <w:proofErr w:type="spellStart"/>
            <w:r w:rsidRPr="00725833">
              <w:rPr>
                <w:rFonts w:eastAsia="Calibri"/>
                <w:sz w:val="16"/>
                <w:szCs w:val="16"/>
                <w:lang w:val="en-US"/>
              </w:rPr>
              <w:t>Corsi</w:t>
            </w:r>
            <w:proofErr w:type="spellEnd"/>
            <w:r w:rsidRPr="00725833">
              <w:rPr>
                <w:rFonts w:eastAsia="Calibri"/>
                <w:sz w:val="16"/>
                <w:szCs w:val="16"/>
                <w:lang w:val="en-US"/>
              </w:rPr>
              <w:t xml:space="preserve"> Block Tapping Test (CBT) </w:t>
            </w:r>
          </w:p>
        </w:tc>
        <w:tc>
          <w:tcPr>
            <w:tcW w:w="3969" w:type="dxa"/>
            <w:tcBorders>
              <w:top w:val="single" w:sz="4" w:space="0" w:color="auto"/>
              <w:bottom w:val="single" w:sz="6" w:space="0" w:color="000000"/>
            </w:tcBorders>
            <w:shd w:val="clear" w:color="auto" w:fill="auto"/>
          </w:tcPr>
          <w:p w14:paraId="17F8B048"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Sum-score indicating performance in correctly (forward and backward) tapped blocks (previously demonstrated by the instructor) (CBT (score sum))</w:t>
            </w:r>
          </w:p>
        </w:tc>
        <w:tc>
          <w:tcPr>
            <w:tcW w:w="1560" w:type="dxa"/>
            <w:tcBorders>
              <w:top w:val="single" w:sz="6" w:space="0" w:color="000000"/>
              <w:bottom w:val="single" w:sz="6" w:space="0" w:color="000000"/>
              <w:right w:val="nil"/>
            </w:tcBorders>
            <w:shd w:val="clear" w:color="auto" w:fill="auto"/>
          </w:tcPr>
          <w:p w14:paraId="3A8F8217" w14:textId="77777777" w:rsidR="00725833" w:rsidRPr="00725833" w:rsidRDefault="00725833" w:rsidP="00725833">
            <w:pPr>
              <w:autoSpaceDE w:val="0"/>
              <w:rPr>
                <w:rFonts w:eastAsia="Calibri"/>
                <w:i/>
                <w:iCs/>
                <w:sz w:val="16"/>
                <w:szCs w:val="16"/>
                <w:lang w:val="en-US"/>
              </w:rPr>
            </w:pPr>
            <w:r w:rsidRPr="00725833">
              <w:rPr>
                <w:rFonts w:eastAsia="Calibri"/>
                <w:i/>
                <w:iCs/>
                <w:sz w:val="16"/>
                <w:szCs w:val="16"/>
                <w:lang w:val="en-US"/>
              </w:rPr>
              <w:t xml:space="preserve">Schelling D. (1997). </w:t>
            </w:r>
            <w:r w:rsidRPr="00725833">
              <w:rPr>
                <w:rFonts w:eastAsia="Calibri"/>
                <w:iCs/>
                <w:sz w:val="16"/>
                <w:szCs w:val="16"/>
                <w:lang w:val="en-US"/>
              </w:rPr>
              <w:t xml:space="preserve">Frankfurt: </w:t>
            </w:r>
            <w:proofErr w:type="spellStart"/>
            <w:r w:rsidRPr="00725833">
              <w:rPr>
                <w:rFonts w:eastAsia="Calibri"/>
                <w:iCs/>
                <w:sz w:val="16"/>
                <w:szCs w:val="16"/>
                <w:lang w:val="en-US"/>
              </w:rPr>
              <w:t>Swets</w:t>
            </w:r>
            <w:proofErr w:type="spellEnd"/>
            <w:r w:rsidRPr="00725833">
              <w:rPr>
                <w:rFonts w:eastAsia="Calibri"/>
                <w:iCs/>
                <w:sz w:val="16"/>
                <w:szCs w:val="16"/>
                <w:lang w:val="en-US"/>
              </w:rPr>
              <w:t xml:space="preserve"> Test.</w:t>
            </w:r>
          </w:p>
        </w:tc>
      </w:tr>
      <w:tr w:rsidR="00725833" w:rsidRPr="005D4F8C" w14:paraId="3AFE1DA8" w14:textId="77777777" w:rsidTr="00BF637A">
        <w:trPr>
          <w:trHeight w:val="850"/>
        </w:trPr>
        <w:tc>
          <w:tcPr>
            <w:tcW w:w="1068" w:type="dxa"/>
            <w:vMerge/>
            <w:tcBorders>
              <w:top w:val="nil"/>
              <w:left w:val="nil"/>
              <w:bottom w:val="nil"/>
            </w:tcBorders>
            <w:shd w:val="clear" w:color="auto" w:fill="auto"/>
          </w:tcPr>
          <w:p w14:paraId="43572738" w14:textId="77777777" w:rsidR="00725833" w:rsidRPr="00BF637A" w:rsidRDefault="00725833" w:rsidP="00725833">
            <w:pPr>
              <w:autoSpaceDE w:val="0"/>
              <w:jc w:val="both"/>
              <w:rPr>
                <w:rFonts w:eastAsia="Calibri"/>
                <w:b/>
                <w:iCs/>
                <w:sz w:val="16"/>
                <w:szCs w:val="16"/>
                <w:lang w:val="en-US"/>
              </w:rPr>
            </w:pPr>
          </w:p>
        </w:tc>
        <w:tc>
          <w:tcPr>
            <w:tcW w:w="1342" w:type="dxa"/>
            <w:tcBorders>
              <w:top w:val="single" w:sz="4" w:space="0" w:color="auto"/>
              <w:bottom w:val="single" w:sz="4" w:space="0" w:color="auto"/>
            </w:tcBorders>
            <w:shd w:val="clear" w:color="auto" w:fill="auto"/>
          </w:tcPr>
          <w:p w14:paraId="01887720" w14:textId="77777777" w:rsidR="00725833" w:rsidRPr="00725833" w:rsidRDefault="00725833" w:rsidP="00725833">
            <w:pPr>
              <w:autoSpaceDE w:val="0"/>
              <w:rPr>
                <w:rFonts w:eastAsia="Calibri"/>
                <w:iCs/>
                <w:sz w:val="16"/>
                <w:szCs w:val="16"/>
                <w:lang w:val="en-US"/>
              </w:rPr>
            </w:pPr>
            <w:r w:rsidRPr="00725833">
              <w:rPr>
                <w:rFonts w:eastAsia="Calibri"/>
                <w:iCs/>
                <w:sz w:val="16"/>
                <w:szCs w:val="16"/>
                <w:lang w:val="en-US"/>
              </w:rPr>
              <w:t>Verbal episodic memory</w:t>
            </w:r>
          </w:p>
        </w:tc>
        <w:tc>
          <w:tcPr>
            <w:tcW w:w="1559" w:type="dxa"/>
            <w:tcBorders>
              <w:top w:val="single" w:sz="6" w:space="0" w:color="000000"/>
              <w:bottom w:val="single" w:sz="4" w:space="0" w:color="auto"/>
            </w:tcBorders>
            <w:shd w:val="clear" w:color="auto" w:fill="auto"/>
          </w:tcPr>
          <w:p w14:paraId="6B4EA9B0" w14:textId="77777777" w:rsidR="00725833" w:rsidRPr="00725833" w:rsidRDefault="00725833" w:rsidP="00725833">
            <w:pPr>
              <w:autoSpaceDE w:val="0"/>
              <w:rPr>
                <w:rFonts w:eastAsia="Calibri"/>
                <w:i/>
                <w:iCs/>
                <w:sz w:val="16"/>
                <w:szCs w:val="16"/>
                <w:lang w:val="de-DE"/>
              </w:rPr>
            </w:pPr>
            <w:r w:rsidRPr="00725833">
              <w:rPr>
                <w:rFonts w:eastAsia="Calibri"/>
                <w:sz w:val="16"/>
                <w:szCs w:val="16"/>
                <w:lang w:val="de-DE"/>
              </w:rPr>
              <w:t>Verbaler Lern- und Merkfähigkeitstest (VLMT)</w:t>
            </w:r>
          </w:p>
        </w:tc>
        <w:tc>
          <w:tcPr>
            <w:tcW w:w="3969" w:type="dxa"/>
            <w:tcBorders>
              <w:top w:val="single" w:sz="6" w:space="0" w:color="000000"/>
              <w:bottom w:val="single" w:sz="4" w:space="0" w:color="auto"/>
            </w:tcBorders>
            <w:shd w:val="clear" w:color="auto" w:fill="auto"/>
          </w:tcPr>
          <w:p w14:paraId="43D0C571" w14:textId="77777777" w:rsidR="00725833" w:rsidRPr="00725833" w:rsidRDefault="00725833" w:rsidP="00725833">
            <w:pPr>
              <w:autoSpaceDE w:val="0"/>
              <w:jc w:val="both"/>
              <w:rPr>
                <w:rFonts w:eastAsia="Calibri"/>
                <w:sz w:val="16"/>
                <w:szCs w:val="16"/>
                <w:lang w:val="en-US"/>
              </w:rPr>
            </w:pPr>
            <w:r w:rsidRPr="00725833">
              <w:rPr>
                <w:rFonts w:eastAsia="Calibri"/>
                <w:sz w:val="16"/>
                <w:szCs w:val="16"/>
                <w:lang w:val="en-US"/>
              </w:rPr>
              <w:t>Sum of recalled items within 5 trials of a list containing 15 words (orally presented to the subject prior to each free recall) (VLMT (learning score sum)); Sum of recognized words after 30 minutes (VLMT (sum recognition))</w:t>
            </w:r>
          </w:p>
        </w:tc>
        <w:tc>
          <w:tcPr>
            <w:tcW w:w="1560" w:type="dxa"/>
            <w:tcBorders>
              <w:top w:val="single" w:sz="6" w:space="0" w:color="000000"/>
              <w:bottom w:val="single" w:sz="4" w:space="0" w:color="auto"/>
              <w:right w:val="nil"/>
            </w:tcBorders>
            <w:shd w:val="clear" w:color="auto" w:fill="auto"/>
          </w:tcPr>
          <w:p w14:paraId="3B3352D9" w14:textId="77777777" w:rsidR="00725833" w:rsidRPr="00725833" w:rsidRDefault="00725833" w:rsidP="00725833">
            <w:pPr>
              <w:autoSpaceDE w:val="0"/>
              <w:rPr>
                <w:rFonts w:eastAsia="Calibri"/>
                <w:i/>
                <w:iCs/>
                <w:sz w:val="16"/>
                <w:szCs w:val="16"/>
                <w:lang w:val="en-US"/>
              </w:rPr>
            </w:pPr>
            <w:proofErr w:type="spellStart"/>
            <w:r w:rsidRPr="00725833">
              <w:rPr>
                <w:rFonts w:eastAsia="Calibri"/>
                <w:i/>
                <w:sz w:val="16"/>
                <w:szCs w:val="16"/>
                <w:lang w:val="de-DE"/>
              </w:rPr>
              <w:t>Helmstaedter</w:t>
            </w:r>
            <w:proofErr w:type="spellEnd"/>
            <w:r w:rsidRPr="00725833">
              <w:rPr>
                <w:rFonts w:eastAsia="Calibri"/>
                <w:i/>
                <w:sz w:val="16"/>
                <w:szCs w:val="16"/>
                <w:lang w:val="de-DE"/>
              </w:rPr>
              <w:t xml:space="preserve">, C. </w:t>
            </w:r>
            <w:proofErr w:type="spellStart"/>
            <w:r w:rsidRPr="00725833">
              <w:rPr>
                <w:rFonts w:eastAsia="Calibri"/>
                <w:i/>
                <w:sz w:val="16"/>
                <w:szCs w:val="16"/>
                <w:lang w:val="de-DE"/>
              </w:rPr>
              <w:t>Lendt</w:t>
            </w:r>
            <w:proofErr w:type="spellEnd"/>
            <w:r w:rsidRPr="00725833">
              <w:rPr>
                <w:rFonts w:eastAsia="Calibri"/>
                <w:i/>
                <w:sz w:val="16"/>
                <w:szCs w:val="16"/>
                <w:lang w:val="de-DE"/>
              </w:rPr>
              <w:t xml:space="preserve">, M. &amp; Lux, S. (2001). </w:t>
            </w:r>
            <w:proofErr w:type="spellStart"/>
            <w:r w:rsidRPr="00725833">
              <w:rPr>
                <w:rFonts w:eastAsia="Calibri"/>
                <w:sz w:val="16"/>
                <w:szCs w:val="16"/>
                <w:lang w:val="en-US"/>
              </w:rPr>
              <w:t>Göttingen</w:t>
            </w:r>
            <w:proofErr w:type="spellEnd"/>
            <w:r w:rsidRPr="00725833">
              <w:rPr>
                <w:rFonts w:eastAsia="Calibri"/>
                <w:sz w:val="16"/>
                <w:szCs w:val="16"/>
                <w:lang w:val="en-US"/>
              </w:rPr>
              <w:t xml:space="preserve">: </w:t>
            </w:r>
            <w:proofErr w:type="spellStart"/>
            <w:r w:rsidRPr="00725833">
              <w:rPr>
                <w:rFonts w:eastAsia="Calibri"/>
                <w:sz w:val="16"/>
                <w:szCs w:val="16"/>
                <w:lang w:val="en-US"/>
              </w:rPr>
              <w:t>Hogrefe</w:t>
            </w:r>
            <w:proofErr w:type="spellEnd"/>
            <w:r w:rsidRPr="00725833">
              <w:rPr>
                <w:rFonts w:eastAsia="Calibri"/>
                <w:sz w:val="16"/>
                <w:szCs w:val="16"/>
                <w:lang w:val="en-US"/>
              </w:rPr>
              <w:t>.</w:t>
            </w:r>
          </w:p>
        </w:tc>
      </w:tr>
      <w:tr w:rsidR="00725833" w:rsidRPr="005D4F8C" w14:paraId="74226A56" w14:textId="77777777" w:rsidTr="00BF637A">
        <w:trPr>
          <w:trHeight w:val="820"/>
        </w:trPr>
        <w:tc>
          <w:tcPr>
            <w:tcW w:w="1068" w:type="dxa"/>
            <w:tcBorders>
              <w:top w:val="nil"/>
              <w:left w:val="nil"/>
              <w:bottom w:val="single" w:sz="4" w:space="0" w:color="auto"/>
              <w:right w:val="nil"/>
            </w:tcBorders>
            <w:shd w:val="clear" w:color="auto" w:fill="auto"/>
          </w:tcPr>
          <w:p w14:paraId="41C4932B" w14:textId="77777777" w:rsidR="00725833" w:rsidRPr="00BF637A" w:rsidRDefault="00725833" w:rsidP="00725833">
            <w:pPr>
              <w:autoSpaceDE w:val="0"/>
              <w:jc w:val="both"/>
              <w:rPr>
                <w:rFonts w:eastAsia="Calibri"/>
                <w:b/>
                <w:iCs/>
                <w:sz w:val="16"/>
                <w:szCs w:val="16"/>
                <w:lang w:val="en-US"/>
              </w:rPr>
            </w:pPr>
          </w:p>
        </w:tc>
        <w:tc>
          <w:tcPr>
            <w:tcW w:w="1342" w:type="dxa"/>
            <w:tcBorders>
              <w:top w:val="single" w:sz="6" w:space="0" w:color="000000"/>
              <w:left w:val="nil"/>
              <w:bottom w:val="single" w:sz="6" w:space="0" w:color="000000"/>
            </w:tcBorders>
            <w:shd w:val="clear" w:color="auto" w:fill="auto"/>
          </w:tcPr>
          <w:p w14:paraId="2D4EA9FF"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Verbal working memory</w:t>
            </w:r>
          </w:p>
        </w:tc>
        <w:tc>
          <w:tcPr>
            <w:tcW w:w="1559" w:type="dxa"/>
            <w:tcBorders>
              <w:top w:val="single" w:sz="6" w:space="0" w:color="000000"/>
              <w:bottom w:val="single" w:sz="6" w:space="0" w:color="000000"/>
            </w:tcBorders>
            <w:shd w:val="clear" w:color="auto" w:fill="auto"/>
          </w:tcPr>
          <w:p w14:paraId="3DDC5927" w14:textId="77777777" w:rsidR="00725833" w:rsidRPr="00725833" w:rsidRDefault="00725833" w:rsidP="00725833">
            <w:pPr>
              <w:autoSpaceDE w:val="0"/>
              <w:rPr>
                <w:rFonts w:eastAsia="Calibri"/>
                <w:sz w:val="16"/>
                <w:szCs w:val="16"/>
                <w:lang w:val="de-DE"/>
              </w:rPr>
            </w:pPr>
            <w:r w:rsidRPr="00725833">
              <w:rPr>
                <w:rFonts w:eastAsia="Calibri"/>
                <w:sz w:val="16"/>
                <w:szCs w:val="16"/>
                <w:lang w:val="de-DE"/>
              </w:rPr>
              <w:t xml:space="preserve">Das Nürnberger-Alters-Inventar (NAI, </w:t>
            </w:r>
            <w:proofErr w:type="spellStart"/>
            <w:r w:rsidRPr="00725833">
              <w:rPr>
                <w:rFonts w:eastAsia="Calibri"/>
                <w:sz w:val="16"/>
                <w:szCs w:val="16"/>
                <w:lang w:val="de-DE"/>
              </w:rPr>
              <w:t>subtest</w:t>
            </w:r>
            <w:proofErr w:type="spellEnd"/>
            <w:r w:rsidRPr="00725833">
              <w:rPr>
                <w:rFonts w:eastAsia="Calibri"/>
                <w:sz w:val="16"/>
                <w:szCs w:val="16"/>
                <w:lang w:val="de-DE"/>
              </w:rPr>
              <w:t xml:space="preserve"> Digit-span </w:t>
            </w:r>
            <w:proofErr w:type="spellStart"/>
            <w:r w:rsidRPr="00725833">
              <w:rPr>
                <w:rFonts w:eastAsia="Calibri"/>
                <w:sz w:val="16"/>
                <w:szCs w:val="16"/>
                <w:lang w:val="de-DE"/>
              </w:rPr>
              <w:t>test</w:t>
            </w:r>
            <w:proofErr w:type="spellEnd"/>
            <w:r w:rsidRPr="00725833">
              <w:rPr>
                <w:rFonts w:eastAsia="Calibri"/>
                <w:sz w:val="16"/>
                <w:szCs w:val="16"/>
                <w:lang w:val="de-DE"/>
              </w:rPr>
              <w:t>)</w:t>
            </w:r>
          </w:p>
        </w:tc>
        <w:tc>
          <w:tcPr>
            <w:tcW w:w="3969" w:type="dxa"/>
            <w:tcBorders>
              <w:top w:val="single" w:sz="6" w:space="0" w:color="000000"/>
              <w:bottom w:val="single" w:sz="6" w:space="0" w:color="000000"/>
            </w:tcBorders>
            <w:shd w:val="clear" w:color="auto" w:fill="auto"/>
          </w:tcPr>
          <w:p w14:paraId="49550BE1" w14:textId="77777777" w:rsidR="00725833" w:rsidRPr="00725833" w:rsidRDefault="00725833" w:rsidP="00725833">
            <w:pPr>
              <w:autoSpaceDE w:val="0"/>
              <w:jc w:val="both"/>
              <w:rPr>
                <w:rFonts w:eastAsia="Calibri"/>
                <w:sz w:val="16"/>
                <w:szCs w:val="16"/>
                <w:lang w:val="en-US"/>
              </w:rPr>
            </w:pPr>
            <w:r w:rsidRPr="00725833">
              <w:rPr>
                <w:rFonts w:eastAsia="Calibri"/>
                <w:sz w:val="16"/>
                <w:szCs w:val="16"/>
                <w:lang w:val="en-US"/>
              </w:rPr>
              <w:t>Sum-score indicating performance in the correct (forward and backward) recall of a numerical series (Digit-Span (score sum)).</w:t>
            </w:r>
          </w:p>
        </w:tc>
        <w:tc>
          <w:tcPr>
            <w:tcW w:w="1560" w:type="dxa"/>
            <w:tcBorders>
              <w:top w:val="single" w:sz="6" w:space="0" w:color="000000"/>
              <w:bottom w:val="single" w:sz="6" w:space="0" w:color="000000"/>
            </w:tcBorders>
            <w:shd w:val="clear" w:color="auto" w:fill="auto"/>
          </w:tcPr>
          <w:p w14:paraId="5EB580FE" w14:textId="77777777" w:rsidR="00725833" w:rsidRPr="00725833" w:rsidRDefault="00725833" w:rsidP="00725833">
            <w:pPr>
              <w:autoSpaceDE w:val="0"/>
              <w:rPr>
                <w:rFonts w:eastAsia="Calibri"/>
                <w:sz w:val="16"/>
                <w:szCs w:val="16"/>
              </w:rPr>
            </w:pPr>
            <w:r w:rsidRPr="00725833">
              <w:rPr>
                <w:rFonts w:eastAsia="Calibri"/>
                <w:sz w:val="16"/>
                <w:szCs w:val="16"/>
                <w:lang w:val="de-DE"/>
              </w:rPr>
              <w:t>Oswald, W. D. &amp; Fleischmann, U. M. (1997).</w:t>
            </w:r>
            <w:r w:rsidRPr="00725833">
              <w:rPr>
                <w:rFonts w:eastAsia="Calibri"/>
                <w:i/>
                <w:sz w:val="16"/>
                <w:szCs w:val="16"/>
                <w:lang w:val="de-DE"/>
              </w:rPr>
              <w:t xml:space="preserve"> </w:t>
            </w:r>
            <w:proofErr w:type="spellStart"/>
            <w:r w:rsidRPr="00725833">
              <w:rPr>
                <w:rFonts w:eastAsia="Calibri"/>
                <w:sz w:val="16"/>
                <w:szCs w:val="16"/>
              </w:rPr>
              <w:t>Göttingen</w:t>
            </w:r>
            <w:proofErr w:type="spellEnd"/>
            <w:r w:rsidRPr="00725833">
              <w:rPr>
                <w:rFonts w:eastAsia="Calibri"/>
                <w:sz w:val="16"/>
                <w:szCs w:val="16"/>
              </w:rPr>
              <w:t xml:space="preserve">: </w:t>
            </w:r>
            <w:proofErr w:type="spellStart"/>
            <w:r w:rsidRPr="00725833">
              <w:rPr>
                <w:rFonts w:eastAsia="Calibri"/>
                <w:sz w:val="16"/>
                <w:szCs w:val="16"/>
              </w:rPr>
              <w:t>Hogrefe</w:t>
            </w:r>
            <w:proofErr w:type="spellEnd"/>
            <w:r w:rsidRPr="00725833">
              <w:rPr>
                <w:rFonts w:eastAsia="Calibri"/>
                <w:sz w:val="16"/>
                <w:szCs w:val="16"/>
              </w:rPr>
              <w:t>.</w:t>
            </w:r>
          </w:p>
        </w:tc>
      </w:tr>
      <w:tr w:rsidR="00725833" w:rsidRPr="0023147C" w14:paraId="2E570CE9" w14:textId="77777777" w:rsidTr="00BF637A">
        <w:trPr>
          <w:trHeight w:val="1130"/>
        </w:trPr>
        <w:tc>
          <w:tcPr>
            <w:tcW w:w="1068" w:type="dxa"/>
            <w:tcBorders>
              <w:top w:val="single" w:sz="4" w:space="0" w:color="auto"/>
              <w:left w:val="nil"/>
              <w:bottom w:val="single" w:sz="4" w:space="0" w:color="auto"/>
              <w:right w:val="nil"/>
            </w:tcBorders>
            <w:shd w:val="clear" w:color="auto" w:fill="auto"/>
          </w:tcPr>
          <w:p w14:paraId="67564BD1" w14:textId="77777777" w:rsidR="00725833" w:rsidRPr="00BF637A" w:rsidRDefault="00725833" w:rsidP="00725833">
            <w:pPr>
              <w:autoSpaceDE w:val="0"/>
              <w:jc w:val="both"/>
              <w:rPr>
                <w:rFonts w:eastAsia="Calibri"/>
                <w:b/>
                <w:iCs/>
                <w:sz w:val="16"/>
                <w:szCs w:val="16"/>
                <w:lang w:val="en-US"/>
              </w:rPr>
            </w:pPr>
            <w:r w:rsidRPr="00BF637A">
              <w:rPr>
                <w:rFonts w:eastAsia="Calibri"/>
                <w:b/>
                <w:iCs/>
                <w:sz w:val="16"/>
                <w:szCs w:val="16"/>
                <w:lang w:val="en-US"/>
              </w:rPr>
              <w:t>Perception</w:t>
            </w:r>
          </w:p>
        </w:tc>
        <w:tc>
          <w:tcPr>
            <w:tcW w:w="1342" w:type="dxa"/>
            <w:tcBorders>
              <w:top w:val="single" w:sz="6" w:space="0" w:color="000000"/>
              <w:left w:val="nil"/>
              <w:bottom w:val="single" w:sz="4" w:space="0" w:color="auto"/>
            </w:tcBorders>
            <w:shd w:val="clear" w:color="auto" w:fill="auto"/>
          </w:tcPr>
          <w:p w14:paraId="74A78463"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Emotional perception</w:t>
            </w:r>
          </w:p>
        </w:tc>
        <w:tc>
          <w:tcPr>
            <w:tcW w:w="1559" w:type="dxa"/>
            <w:tcBorders>
              <w:top w:val="single" w:sz="6" w:space="0" w:color="000000"/>
              <w:bottom w:val="single" w:sz="4" w:space="0" w:color="auto"/>
            </w:tcBorders>
            <w:shd w:val="clear" w:color="auto" w:fill="auto"/>
          </w:tcPr>
          <w:p w14:paraId="598EC6A5" w14:textId="77777777" w:rsidR="00725833" w:rsidRPr="00725833" w:rsidRDefault="00725833" w:rsidP="00725833">
            <w:pPr>
              <w:autoSpaceDE w:val="0"/>
              <w:rPr>
                <w:rFonts w:eastAsia="Calibri"/>
                <w:sz w:val="16"/>
                <w:szCs w:val="16"/>
                <w:lang w:val="de-DE"/>
              </w:rPr>
            </w:pPr>
            <w:r w:rsidRPr="00725833">
              <w:rPr>
                <w:rFonts w:eastAsia="Calibri"/>
                <w:iCs/>
                <w:sz w:val="16"/>
                <w:szCs w:val="16"/>
                <w:lang w:val="de-DE"/>
              </w:rPr>
              <w:t>Frankfurter Test und Training des fazialen Affekts (FEFA)</w:t>
            </w:r>
          </w:p>
        </w:tc>
        <w:tc>
          <w:tcPr>
            <w:tcW w:w="3969" w:type="dxa"/>
            <w:tcBorders>
              <w:top w:val="single" w:sz="6" w:space="0" w:color="000000"/>
              <w:bottom w:val="single" w:sz="4" w:space="0" w:color="auto"/>
            </w:tcBorders>
            <w:shd w:val="clear" w:color="auto" w:fill="auto"/>
          </w:tcPr>
          <w:p w14:paraId="55678B5F"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Total number of correctly identified emotions of 50 faces, via a multiple choice computer program selecting one affect for the faces shown amongst six emotions (happy, sad, scared, angry, surprised, and disgusted) and a neutral choice (FEFA (score max. 50 points))</w:t>
            </w:r>
          </w:p>
        </w:tc>
        <w:tc>
          <w:tcPr>
            <w:tcW w:w="1560" w:type="dxa"/>
            <w:tcBorders>
              <w:top w:val="single" w:sz="6" w:space="0" w:color="000000"/>
              <w:bottom w:val="single" w:sz="4" w:space="0" w:color="auto"/>
            </w:tcBorders>
            <w:shd w:val="clear" w:color="auto" w:fill="auto"/>
          </w:tcPr>
          <w:p w14:paraId="005A96C7" w14:textId="77777777" w:rsidR="00725833" w:rsidRPr="00725833" w:rsidRDefault="00725833" w:rsidP="00725833">
            <w:pPr>
              <w:autoSpaceDE w:val="0"/>
              <w:rPr>
                <w:rFonts w:eastAsia="Calibri"/>
                <w:i/>
                <w:iCs/>
                <w:sz w:val="16"/>
                <w:szCs w:val="16"/>
                <w:lang w:val="de-DE"/>
              </w:rPr>
            </w:pPr>
            <w:r w:rsidRPr="00725833">
              <w:rPr>
                <w:rFonts w:eastAsia="Calibri"/>
                <w:iCs/>
                <w:sz w:val="16"/>
                <w:szCs w:val="16"/>
                <w:lang w:val="de-DE"/>
              </w:rPr>
              <w:t xml:space="preserve">Bölte, S., Feineis-Matthews, S., </w:t>
            </w:r>
            <w:proofErr w:type="spellStart"/>
            <w:r w:rsidRPr="00725833">
              <w:rPr>
                <w:rFonts w:eastAsia="Calibri"/>
                <w:iCs/>
                <w:sz w:val="16"/>
                <w:szCs w:val="16"/>
                <w:lang w:val="de-DE"/>
              </w:rPr>
              <w:t>Poustka</w:t>
            </w:r>
            <w:proofErr w:type="spellEnd"/>
            <w:r w:rsidRPr="00725833">
              <w:rPr>
                <w:rFonts w:eastAsia="Calibri"/>
                <w:iCs/>
                <w:sz w:val="16"/>
                <w:szCs w:val="16"/>
                <w:lang w:val="de-DE"/>
              </w:rPr>
              <w:t>, F.  (2003).</w:t>
            </w:r>
            <w:r w:rsidRPr="00725833">
              <w:rPr>
                <w:rFonts w:eastAsia="Calibri"/>
                <w:i/>
                <w:iCs/>
                <w:sz w:val="16"/>
                <w:szCs w:val="16"/>
                <w:lang w:val="de-DE"/>
              </w:rPr>
              <w:t xml:space="preserve"> </w:t>
            </w:r>
            <w:r w:rsidRPr="00725833">
              <w:rPr>
                <w:rFonts w:eastAsia="Calibri"/>
                <w:iCs/>
                <w:sz w:val="16"/>
                <w:szCs w:val="16"/>
                <w:lang w:val="de-DE"/>
              </w:rPr>
              <w:t>Frankfurt am Main: J.W.-Goethe-Universität.</w:t>
            </w:r>
          </w:p>
        </w:tc>
      </w:tr>
      <w:tr w:rsidR="00725833" w:rsidRPr="005D4F8C" w14:paraId="7740902C" w14:textId="77777777" w:rsidTr="00BF637A">
        <w:trPr>
          <w:trHeight w:val="1265"/>
        </w:trPr>
        <w:tc>
          <w:tcPr>
            <w:tcW w:w="1068" w:type="dxa"/>
            <w:tcBorders>
              <w:top w:val="single" w:sz="4" w:space="0" w:color="auto"/>
              <w:left w:val="nil"/>
              <w:bottom w:val="nil"/>
              <w:right w:val="nil"/>
            </w:tcBorders>
            <w:shd w:val="clear" w:color="auto" w:fill="auto"/>
          </w:tcPr>
          <w:p w14:paraId="5C971E76" w14:textId="77777777" w:rsidR="00725833" w:rsidRPr="00BF637A" w:rsidRDefault="00725833" w:rsidP="00725833">
            <w:pPr>
              <w:autoSpaceDE w:val="0"/>
              <w:jc w:val="both"/>
              <w:rPr>
                <w:rFonts w:eastAsia="Calibri"/>
                <w:b/>
                <w:iCs/>
                <w:sz w:val="16"/>
                <w:szCs w:val="16"/>
                <w:lang w:val="en-US"/>
              </w:rPr>
            </w:pPr>
            <w:r w:rsidRPr="00BF637A">
              <w:rPr>
                <w:rFonts w:eastAsia="Calibri"/>
                <w:b/>
                <w:iCs/>
                <w:sz w:val="16"/>
                <w:szCs w:val="16"/>
                <w:lang w:val="en-US"/>
              </w:rPr>
              <w:t>Screening</w:t>
            </w:r>
          </w:p>
        </w:tc>
        <w:tc>
          <w:tcPr>
            <w:tcW w:w="1342" w:type="dxa"/>
            <w:tcBorders>
              <w:top w:val="single" w:sz="4" w:space="0" w:color="auto"/>
              <w:left w:val="nil"/>
              <w:bottom w:val="single" w:sz="4" w:space="0" w:color="auto"/>
            </w:tcBorders>
            <w:shd w:val="clear" w:color="auto" w:fill="auto"/>
          </w:tcPr>
          <w:p w14:paraId="2C787899"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Dementia</w:t>
            </w:r>
          </w:p>
        </w:tc>
        <w:tc>
          <w:tcPr>
            <w:tcW w:w="1559" w:type="dxa"/>
            <w:tcBorders>
              <w:top w:val="single" w:sz="4" w:space="0" w:color="auto"/>
              <w:bottom w:val="single" w:sz="4" w:space="0" w:color="auto"/>
            </w:tcBorders>
            <w:shd w:val="clear" w:color="auto" w:fill="auto"/>
          </w:tcPr>
          <w:p w14:paraId="24B7565B" w14:textId="77777777" w:rsidR="00725833" w:rsidRPr="00725833" w:rsidRDefault="00725833" w:rsidP="00725833">
            <w:pPr>
              <w:autoSpaceDE w:val="0"/>
              <w:rPr>
                <w:rFonts w:eastAsia="Calibri"/>
                <w:sz w:val="16"/>
                <w:szCs w:val="16"/>
                <w:lang w:val="en-US"/>
              </w:rPr>
            </w:pPr>
            <w:proofErr w:type="spellStart"/>
            <w:r w:rsidRPr="00725833">
              <w:rPr>
                <w:rFonts w:eastAsia="Calibri"/>
                <w:sz w:val="16"/>
                <w:szCs w:val="16"/>
                <w:lang w:val="en-US"/>
              </w:rPr>
              <w:t>DemTect</w:t>
            </w:r>
            <w:proofErr w:type="spellEnd"/>
          </w:p>
        </w:tc>
        <w:tc>
          <w:tcPr>
            <w:tcW w:w="3969" w:type="dxa"/>
            <w:tcBorders>
              <w:top w:val="single" w:sz="4" w:space="0" w:color="auto"/>
              <w:bottom w:val="single" w:sz="4" w:space="0" w:color="auto"/>
            </w:tcBorders>
            <w:shd w:val="clear" w:color="auto" w:fill="auto"/>
          </w:tcPr>
          <w:p w14:paraId="2878B38E"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Dementia screening containing learning and recalling a list of ten easy words; transcoding numbers into words and vice versa; a semantic task reproducing words belonging to the category “supermarket”, a digit-span-test backwards; and delayed recall of the wordlist (</w:t>
            </w:r>
            <w:proofErr w:type="spellStart"/>
            <w:r w:rsidRPr="00725833">
              <w:rPr>
                <w:rFonts w:eastAsia="Calibri"/>
                <w:iCs/>
                <w:sz w:val="16"/>
                <w:szCs w:val="16"/>
                <w:lang w:val="en-US"/>
              </w:rPr>
              <w:t>DemTect</w:t>
            </w:r>
            <w:proofErr w:type="spellEnd"/>
            <w:r w:rsidRPr="00725833">
              <w:rPr>
                <w:rFonts w:eastAsia="Calibri"/>
                <w:iCs/>
                <w:sz w:val="16"/>
                <w:szCs w:val="16"/>
                <w:lang w:val="en-US"/>
              </w:rPr>
              <w:t xml:space="preserve"> (sum score, 18 points maximal scoring))</w:t>
            </w:r>
          </w:p>
        </w:tc>
        <w:tc>
          <w:tcPr>
            <w:tcW w:w="1560" w:type="dxa"/>
            <w:tcBorders>
              <w:top w:val="single" w:sz="4" w:space="0" w:color="auto"/>
              <w:bottom w:val="single" w:sz="4" w:space="0" w:color="auto"/>
            </w:tcBorders>
            <w:shd w:val="clear" w:color="auto" w:fill="auto"/>
          </w:tcPr>
          <w:p w14:paraId="398D27E7" w14:textId="77777777" w:rsidR="00725833" w:rsidRPr="00725833" w:rsidRDefault="00725833" w:rsidP="00725833">
            <w:pPr>
              <w:autoSpaceDE w:val="0"/>
              <w:rPr>
                <w:rFonts w:eastAsia="Calibri"/>
                <w:iCs/>
                <w:sz w:val="16"/>
                <w:szCs w:val="16"/>
                <w:lang w:val="en-US"/>
              </w:rPr>
            </w:pPr>
            <w:r w:rsidRPr="00725833">
              <w:rPr>
                <w:rFonts w:eastAsia="Calibri"/>
                <w:iCs/>
                <w:sz w:val="16"/>
                <w:szCs w:val="16"/>
                <w:lang w:val="en-US"/>
              </w:rPr>
              <w:t xml:space="preserve">Kalbe et al., (2004). </w:t>
            </w:r>
            <w:r w:rsidRPr="00725833">
              <w:rPr>
                <w:rFonts w:eastAsia="Calibri"/>
                <w:i/>
                <w:iCs/>
                <w:sz w:val="16"/>
                <w:szCs w:val="16"/>
                <w:lang w:val="en-US"/>
              </w:rPr>
              <w:t>International Journal of Geriatric Psychiatry</w:t>
            </w:r>
            <w:r w:rsidRPr="00725833">
              <w:rPr>
                <w:rFonts w:eastAsia="Calibri"/>
                <w:iCs/>
                <w:sz w:val="16"/>
                <w:szCs w:val="16"/>
                <w:lang w:val="en-US"/>
              </w:rPr>
              <w:t xml:space="preserve">, </w:t>
            </w:r>
            <w:r w:rsidRPr="00725833">
              <w:rPr>
                <w:rFonts w:eastAsia="Calibri"/>
                <w:i/>
                <w:iCs/>
                <w:sz w:val="16"/>
                <w:szCs w:val="16"/>
                <w:lang w:val="en-US"/>
              </w:rPr>
              <w:t>19 (2)</w:t>
            </w:r>
            <w:r w:rsidRPr="00725833">
              <w:rPr>
                <w:rFonts w:eastAsia="Calibri"/>
                <w:iCs/>
                <w:sz w:val="16"/>
                <w:szCs w:val="16"/>
                <w:lang w:val="en-US"/>
              </w:rPr>
              <w:t>, 136-143.</w:t>
            </w:r>
          </w:p>
        </w:tc>
      </w:tr>
      <w:tr w:rsidR="00725833" w:rsidRPr="00685B3F" w14:paraId="0BC31210" w14:textId="77777777" w:rsidTr="00BF637A">
        <w:trPr>
          <w:trHeight w:val="971"/>
        </w:trPr>
        <w:tc>
          <w:tcPr>
            <w:tcW w:w="1068" w:type="dxa"/>
            <w:tcBorders>
              <w:top w:val="nil"/>
              <w:left w:val="nil"/>
              <w:bottom w:val="single" w:sz="4" w:space="0" w:color="auto"/>
              <w:right w:val="nil"/>
            </w:tcBorders>
            <w:shd w:val="clear" w:color="auto" w:fill="auto"/>
          </w:tcPr>
          <w:p w14:paraId="02E7DE3A" w14:textId="77777777" w:rsidR="00725833" w:rsidRPr="00BF637A" w:rsidRDefault="00725833" w:rsidP="00725833">
            <w:pPr>
              <w:autoSpaceDE w:val="0"/>
              <w:jc w:val="both"/>
              <w:rPr>
                <w:rFonts w:eastAsia="Calibri"/>
                <w:b/>
                <w:iCs/>
                <w:sz w:val="16"/>
                <w:szCs w:val="16"/>
                <w:lang w:val="en-US"/>
              </w:rPr>
            </w:pPr>
          </w:p>
        </w:tc>
        <w:tc>
          <w:tcPr>
            <w:tcW w:w="1342" w:type="dxa"/>
            <w:tcBorders>
              <w:top w:val="single" w:sz="4" w:space="0" w:color="auto"/>
              <w:left w:val="nil"/>
              <w:bottom w:val="single" w:sz="4" w:space="0" w:color="auto"/>
            </w:tcBorders>
            <w:shd w:val="clear" w:color="auto" w:fill="auto"/>
          </w:tcPr>
          <w:p w14:paraId="1444FC76" w14:textId="77777777" w:rsidR="00725833" w:rsidRPr="00725833" w:rsidRDefault="00725833" w:rsidP="00725833">
            <w:pPr>
              <w:autoSpaceDE w:val="0"/>
              <w:jc w:val="both"/>
              <w:rPr>
                <w:rFonts w:eastAsia="Calibri"/>
                <w:iCs/>
                <w:sz w:val="16"/>
                <w:szCs w:val="16"/>
                <w:lang w:val="en-US"/>
              </w:rPr>
            </w:pPr>
            <w:r w:rsidRPr="00725833">
              <w:rPr>
                <w:rFonts w:eastAsia="Calibri"/>
                <w:iCs/>
                <w:sz w:val="16"/>
                <w:szCs w:val="16"/>
                <w:lang w:val="en-US"/>
              </w:rPr>
              <w:t>Depression/ Anxiety</w:t>
            </w:r>
          </w:p>
        </w:tc>
        <w:tc>
          <w:tcPr>
            <w:tcW w:w="1559" w:type="dxa"/>
            <w:tcBorders>
              <w:top w:val="single" w:sz="4" w:space="0" w:color="auto"/>
              <w:bottom w:val="single" w:sz="4" w:space="0" w:color="auto"/>
            </w:tcBorders>
            <w:shd w:val="clear" w:color="auto" w:fill="auto"/>
          </w:tcPr>
          <w:p w14:paraId="359606D9" w14:textId="0982DA21" w:rsidR="00725833" w:rsidRPr="00D04A4F" w:rsidRDefault="00725833" w:rsidP="00725833">
            <w:pPr>
              <w:autoSpaceDE w:val="0"/>
              <w:rPr>
                <w:rFonts w:eastAsia="Calibri"/>
                <w:sz w:val="16"/>
                <w:szCs w:val="16"/>
                <w:lang w:val="en-US"/>
              </w:rPr>
            </w:pPr>
            <w:r w:rsidRPr="00D04A4F">
              <w:rPr>
                <w:rFonts w:eastAsia="Calibri"/>
                <w:iCs/>
                <w:sz w:val="16"/>
                <w:szCs w:val="16"/>
                <w:lang w:val="en-US"/>
              </w:rPr>
              <w:t>Hospital Anxiety and Depression Scale (HADS-D</w:t>
            </w:r>
            <w:r w:rsidR="0087456D" w:rsidRPr="00D04A4F">
              <w:rPr>
                <w:rFonts w:eastAsia="Calibri"/>
                <w:iCs/>
                <w:sz w:val="16"/>
                <w:szCs w:val="16"/>
                <w:lang w:val="en-US"/>
              </w:rPr>
              <w:t xml:space="preserve"> and HADS-A</w:t>
            </w:r>
            <w:r w:rsidRPr="00D04A4F">
              <w:rPr>
                <w:rFonts w:eastAsia="Calibri"/>
                <w:iCs/>
                <w:sz w:val="16"/>
                <w:szCs w:val="16"/>
                <w:lang w:val="en-US"/>
              </w:rPr>
              <w:t>)</w:t>
            </w:r>
          </w:p>
        </w:tc>
        <w:tc>
          <w:tcPr>
            <w:tcW w:w="3969" w:type="dxa"/>
            <w:tcBorders>
              <w:top w:val="single" w:sz="4" w:space="0" w:color="auto"/>
              <w:bottom w:val="single" w:sz="4" w:space="0" w:color="auto"/>
            </w:tcBorders>
            <w:shd w:val="clear" w:color="auto" w:fill="auto"/>
          </w:tcPr>
          <w:p w14:paraId="5791845A" w14:textId="73CE17D8" w:rsidR="00725833" w:rsidRPr="00725833" w:rsidRDefault="00725833" w:rsidP="000D425D">
            <w:pPr>
              <w:autoSpaceDE w:val="0"/>
              <w:jc w:val="both"/>
              <w:rPr>
                <w:rFonts w:eastAsia="Calibri"/>
                <w:iCs/>
                <w:sz w:val="16"/>
                <w:szCs w:val="16"/>
                <w:lang w:val="en-US"/>
              </w:rPr>
            </w:pPr>
            <w:r w:rsidRPr="00725833">
              <w:rPr>
                <w:rFonts w:eastAsia="Calibri"/>
                <w:sz w:val="16"/>
                <w:szCs w:val="16"/>
                <w:lang w:val="en-US"/>
              </w:rPr>
              <w:t>Scale assessing current symptoms of depression and anxiety and their severity</w:t>
            </w:r>
            <w:r w:rsidR="0087456D">
              <w:rPr>
                <w:rFonts w:eastAsia="Calibri"/>
                <w:sz w:val="16"/>
                <w:szCs w:val="16"/>
                <w:lang w:val="en-US"/>
              </w:rPr>
              <w:t>, cut-off of for HADS-D unremarkable (0-7)</w:t>
            </w:r>
            <w:r w:rsidR="0087456D" w:rsidRPr="0087456D">
              <w:rPr>
                <w:rFonts w:eastAsia="Calibri"/>
                <w:sz w:val="16"/>
                <w:szCs w:val="16"/>
                <w:lang w:val="en-US"/>
              </w:rPr>
              <w:t xml:space="preserve">, </w:t>
            </w:r>
            <w:r w:rsidR="000D425D">
              <w:rPr>
                <w:rFonts w:eastAsia="Calibri"/>
                <w:sz w:val="16"/>
                <w:szCs w:val="16"/>
                <w:lang w:val="en-US"/>
              </w:rPr>
              <w:t>possible</w:t>
            </w:r>
            <w:r w:rsidR="0087456D" w:rsidRPr="0087456D">
              <w:rPr>
                <w:rFonts w:eastAsia="Calibri"/>
                <w:sz w:val="16"/>
                <w:szCs w:val="16"/>
                <w:lang w:val="en-US"/>
              </w:rPr>
              <w:t xml:space="preserve"> (8-10), </w:t>
            </w:r>
            <w:r w:rsidR="000D425D">
              <w:rPr>
                <w:rFonts w:eastAsia="Calibri"/>
                <w:sz w:val="16"/>
                <w:szCs w:val="16"/>
                <w:lang w:val="en-US"/>
              </w:rPr>
              <w:t>probable depressive syndrome</w:t>
            </w:r>
            <w:r w:rsidR="0087456D" w:rsidRPr="0087456D">
              <w:rPr>
                <w:rFonts w:eastAsia="Calibri"/>
                <w:sz w:val="16"/>
                <w:szCs w:val="16"/>
                <w:lang w:val="en-US"/>
              </w:rPr>
              <w:t xml:space="preserve"> (&gt;10)</w:t>
            </w:r>
          </w:p>
        </w:tc>
        <w:tc>
          <w:tcPr>
            <w:tcW w:w="1560" w:type="dxa"/>
            <w:tcBorders>
              <w:top w:val="single" w:sz="4" w:space="0" w:color="auto"/>
              <w:bottom w:val="single" w:sz="4" w:space="0" w:color="auto"/>
            </w:tcBorders>
            <w:shd w:val="clear" w:color="auto" w:fill="auto"/>
          </w:tcPr>
          <w:p w14:paraId="048F6284" w14:textId="77777777" w:rsidR="00725833" w:rsidRPr="00725833" w:rsidRDefault="00725833" w:rsidP="00725833">
            <w:pPr>
              <w:autoSpaceDE w:val="0"/>
              <w:rPr>
                <w:rFonts w:eastAsia="Calibri"/>
                <w:iCs/>
                <w:sz w:val="16"/>
                <w:szCs w:val="16"/>
                <w:lang w:val="en-US"/>
              </w:rPr>
            </w:pPr>
            <w:proofErr w:type="spellStart"/>
            <w:r w:rsidRPr="00725833">
              <w:rPr>
                <w:rFonts w:eastAsia="Calibri"/>
                <w:iCs/>
                <w:sz w:val="16"/>
                <w:szCs w:val="16"/>
                <w:lang w:val="en-US"/>
              </w:rPr>
              <w:t>Zigmond</w:t>
            </w:r>
            <w:proofErr w:type="spellEnd"/>
            <w:r w:rsidRPr="00725833">
              <w:rPr>
                <w:rFonts w:eastAsia="Calibri"/>
                <w:iCs/>
                <w:sz w:val="16"/>
                <w:szCs w:val="16"/>
                <w:lang w:val="en-US"/>
              </w:rPr>
              <w:t xml:space="preserve">, A. S., &amp; </w:t>
            </w:r>
            <w:proofErr w:type="spellStart"/>
            <w:r w:rsidRPr="00725833">
              <w:rPr>
                <w:rFonts w:eastAsia="Calibri"/>
                <w:iCs/>
                <w:sz w:val="16"/>
                <w:szCs w:val="16"/>
                <w:lang w:val="en-US"/>
              </w:rPr>
              <w:t>Snaith</w:t>
            </w:r>
            <w:proofErr w:type="spellEnd"/>
            <w:r w:rsidRPr="00725833">
              <w:rPr>
                <w:rFonts w:eastAsia="Calibri"/>
                <w:iCs/>
                <w:sz w:val="16"/>
                <w:szCs w:val="16"/>
                <w:lang w:val="en-US"/>
              </w:rPr>
              <w:t xml:space="preserve">, R. P. (1983).          </w:t>
            </w:r>
            <w:proofErr w:type="spellStart"/>
            <w:r w:rsidRPr="00725833">
              <w:rPr>
                <w:rFonts w:eastAsia="Calibri"/>
                <w:i/>
                <w:iCs/>
                <w:sz w:val="16"/>
                <w:szCs w:val="16"/>
                <w:lang w:val="en-US"/>
              </w:rPr>
              <w:t>Acta</w:t>
            </w:r>
            <w:proofErr w:type="spellEnd"/>
            <w:r w:rsidRPr="00725833">
              <w:rPr>
                <w:rFonts w:eastAsia="Calibri"/>
                <w:i/>
                <w:iCs/>
                <w:sz w:val="16"/>
                <w:szCs w:val="16"/>
                <w:lang w:val="en-US"/>
              </w:rPr>
              <w:t xml:space="preserve"> </w:t>
            </w:r>
            <w:proofErr w:type="spellStart"/>
            <w:r w:rsidRPr="00725833">
              <w:rPr>
                <w:rFonts w:eastAsia="Calibri"/>
                <w:i/>
                <w:iCs/>
                <w:sz w:val="16"/>
                <w:szCs w:val="16"/>
                <w:lang w:val="en-US"/>
              </w:rPr>
              <w:t>psychiatrica</w:t>
            </w:r>
            <w:proofErr w:type="spellEnd"/>
            <w:r w:rsidRPr="00725833">
              <w:rPr>
                <w:rFonts w:eastAsia="Calibri"/>
                <w:i/>
                <w:iCs/>
                <w:sz w:val="16"/>
                <w:szCs w:val="16"/>
                <w:lang w:val="en-US"/>
              </w:rPr>
              <w:t xml:space="preserve"> </w:t>
            </w:r>
            <w:proofErr w:type="spellStart"/>
            <w:r w:rsidRPr="00725833">
              <w:rPr>
                <w:rFonts w:eastAsia="Calibri"/>
                <w:i/>
                <w:iCs/>
                <w:sz w:val="16"/>
                <w:szCs w:val="16"/>
                <w:lang w:val="en-US"/>
              </w:rPr>
              <w:t>scandinavica</w:t>
            </w:r>
            <w:proofErr w:type="spellEnd"/>
            <w:r w:rsidRPr="00725833">
              <w:rPr>
                <w:rFonts w:eastAsia="Calibri"/>
                <w:i/>
                <w:iCs/>
                <w:sz w:val="16"/>
                <w:szCs w:val="16"/>
                <w:lang w:val="en-US"/>
              </w:rPr>
              <w:t xml:space="preserve">, 67(6), </w:t>
            </w:r>
            <w:r w:rsidRPr="00725833">
              <w:rPr>
                <w:rFonts w:eastAsia="Calibri"/>
                <w:iCs/>
                <w:sz w:val="16"/>
                <w:szCs w:val="16"/>
                <w:lang w:val="en-US"/>
              </w:rPr>
              <w:t>361-370</w:t>
            </w:r>
            <w:r w:rsidRPr="00725833">
              <w:rPr>
                <w:rFonts w:eastAsia="Calibri"/>
                <w:i/>
                <w:iCs/>
                <w:sz w:val="16"/>
                <w:szCs w:val="16"/>
                <w:lang w:val="en-US"/>
              </w:rPr>
              <w:t>.</w:t>
            </w:r>
          </w:p>
        </w:tc>
      </w:tr>
    </w:tbl>
    <w:p w14:paraId="2AAFC691" w14:textId="77777777" w:rsidR="0076328D" w:rsidRPr="0076328D" w:rsidRDefault="0076328D" w:rsidP="0076328D"/>
    <w:p w14:paraId="7F17A8C9" w14:textId="0E82F725" w:rsidR="0087456D" w:rsidRPr="000D425D" w:rsidRDefault="000D425D" w:rsidP="00515418">
      <w:pPr>
        <w:pStyle w:val="berschrift1"/>
        <w:rPr>
          <w:rFonts w:ascii="Times New Roman" w:eastAsiaTheme="minorHAnsi" w:hAnsi="Times New Roman" w:cs="Times New Roman"/>
          <w:b/>
          <w:color w:val="auto"/>
          <w:sz w:val="24"/>
          <w:szCs w:val="24"/>
        </w:rPr>
      </w:pPr>
      <w:r w:rsidRPr="000D425D">
        <w:rPr>
          <w:rFonts w:ascii="Times New Roman" w:eastAsiaTheme="minorHAnsi" w:hAnsi="Times New Roman" w:cs="Times New Roman"/>
          <w:b/>
          <w:color w:val="auto"/>
          <w:sz w:val="24"/>
          <w:szCs w:val="24"/>
        </w:rPr>
        <w:t>Supplemental results</w:t>
      </w:r>
    </w:p>
    <w:p w14:paraId="7E2E771C" w14:textId="77777777" w:rsidR="000D425D" w:rsidRDefault="000D425D" w:rsidP="000D425D">
      <w:pPr>
        <w:spacing w:line="360" w:lineRule="auto"/>
        <w:rPr>
          <w:sz w:val="22"/>
          <w:szCs w:val="22"/>
          <w:lang w:val="en-US"/>
        </w:rPr>
      </w:pPr>
    </w:p>
    <w:p w14:paraId="662CD58F" w14:textId="34AE65B3" w:rsidR="000D425D" w:rsidRPr="00697ADF" w:rsidRDefault="004332A0" w:rsidP="000D425D">
      <w:pPr>
        <w:spacing w:line="360" w:lineRule="auto"/>
        <w:rPr>
          <w:sz w:val="22"/>
          <w:szCs w:val="22"/>
          <w:lang w:val="en-US"/>
        </w:rPr>
      </w:pPr>
      <w:r>
        <w:rPr>
          <w:sz w:val="22"/>
          <w:szCs w:val="22"/>
          <w:lang w:val="en-US"/>
        </w:rPr>
        <w:t>Supplementary</w:t>
      </w:r>
      <w:r w:rsidR="007B53C3">
        <w:rPr>
          <w:sz w:val="22"/>
          <w:szCs w:val="22"/>
          <w:lang w:val="en-US"/>
        </w:rPr>
        <w:t xml:space="preserve"> figure 1</w:t>
      </w:r>
      <w:r w:rsidR="000D425D" w:rsidRPr="00697ADF">
        <w:rPr>
          <w:sz w:val="22"/>
          <w:szCs w:val="22"/>
          <w:lang w:val="en-US"/>
        </w:rPr>
        <w:t>:</w:t>
      </w:r>
    </w:p>
    <w:p w14:paraId="6109BDFE" w14:textId="41C34062" w:rsidR="000D425D" w:rsidRDefault="000D425D" w:rsidP="000D425D">
      <w:pPr>
        <w:spacing w:line="360" w:lineRule="auto"/>
        <w:rPr>
          <w:sz w:val="22"/>
          <w:szCs w:val="22"/>
          <w:lang w:val="en-US"/>
        </w:rPr>
      </w:pPr>
      <w:r w:rsidRPr="00697ADF">
        <w:rPr>
          <w:sz w:val="22"/>
          <w:szCs w:val="22"/>
          <w:lang w:val="en-US"/>
        </w:rPr>
        <w:t>Correlation of subjects’ age to (A) selective attention with longer time in the TAP flexibility task indicating worse performance (healthy subjects ρ=</w:t>
      </w:r>
      <w:r>
        <w:rPr>
          <w:sz w:val="22"/>
          <w:szCs w:val="22"/>
          <w:lang w:val="en-US"/>
        </w:rPr>
        <w:t>.</w:t>
      </w:r>
      <w:r w:rsidRPr="00697ADF">
        <w:rPr>
          <w:sz w:val="22"/>
          <w:szCs w:val="22"/>
          <w:lang w:val="en-US"/>
        </w:rPr>
        <w:t>58 (p=</w:t>
      </w:r>
      <w:r>
        <w:rPr>
          <w:sz w:val="22"/>
          <w:szCs w:val="22"/>
          <w:lang w:val="en-US"/>
        </w:rPr>
        <w:t>.</w:t>
      </w:r>
      <w:r w:rsidRPr="00697ADF">
        <w:rPr>
          <w:sz w:val="22"/>
          <w:szCs w:val="22"/>
          <w:lang w:val="en-US"/>
        </w:rPr>
        <w:t>04) and SCA-PRKCG (ρ=</w:t>
      </w:r>
      <w:r>
        <w:rPr>
          <w:sz w:val="22"/>
          <w:szCs w:val="22"/>
          <w:lang w:val="en-US"/>
        </w:rPr>
        <w:t>.</w:t>
      </w:r>
      <w:r w:rsidRPr="00697ADF">
        <w:rPr>
          <w:sz w:val="22"/>
          <w:szCs w:val="22"/>
          <w:lang w:val="en-US"/>
        </w:rPr>
        <w:t>54 (p=0</w:t>
      </w:r>
      <w:r>
        <w:rPr>
          <w:sz w:val="22"/>
          <w:szCs w:val="22"/>
          <w:lang w:val="en-US"/>
        </w:rPr>
        <w:t>.</w:t>
      </w:r>
      <w:r w:rsidRPr="00697ADF">
        <w:rPr>
          <w:sz w:val="22"/>
          <w:szCs w:val="22"/>
          <w:lang w:val="en-US"/>
        </w:rPr>
        <w:t>1))</w:t>
      </w:r>
      <w:r w:rsidRPr="00697ADF">
        <w:rPr>
          <w:sz w:val="22"/>
          <w:szCs w:val="22"/>
        </w:rPr>
        <w:t xml:space="preserve"> </w:t>
      </w:r>
      <w:r w:rsidRPr="00697ADF">
        <w:rPr>
          <w:sz w:val="22"/>
          <w:szCs w:val="22"/>
          <w:lang w:val="en-US"/>
        </w:rPr>
        <w:t>and to (B) visuospatial mental rotation with lower LPS scores indicating worse performance (ρ=-</w:t>
      </w:r>
      <w:r>
        <w:rPr>
          <w:sz w:val="22"/>
          <w:szCs w:val="22"/>
          <w:lang w:val="en-US"/>
        </w:rPr>
        <w:t>.</w:t>
      </w:r>
      <w:r w:rsidRPr="00697ADF">
        <w:rPr>
          <w:sz w:val="22"/>
          <w:szCs w:val="22"/>
          <w:lang w:val="en-US"/>
        </w:rPr>
        <w:t>46 (p=</w:t>
      </w:r>
      <w:r>
        <w:rPr>
          <w:sz w:val="22"/>
          <w:szCs w:val="22"/>
          <w:lang w:val="en-US"/>
        </w:rPr>
        <w:t>.</w:t>
      </w:r>
      <w:r w:rsidRPr="00697ADF">
        <w:rPr>
          <w:sz w:val="22"/>
          <w:szCs w:val="22"/>
          <w:lang w:val="en-US"/>
        </w:rPr>
        <w:t xml:space="preserve">03) in both groups). SCA-PRKCG are depicted as blue circles, healthy subjects as red squares. Correlation analysis in (A) excluded the SCA-PRKCG outlier marked as blue </w:t>
      </w:r>
      <w:r>
        <w:rPr>
          <w:sz w:val="22"/>
          <w:szCs w:val="22"/>
          <w:lang w:val="en-US"/>
        </w:rPr>
        <w:t xml:space="preserve">triangle. </w:t>
      </w:r>
    </w:p>
    <w:p w14:paraId="7A89D281" w14:textId="47A4040C" w:rsidR="000D425D" w:rsidRDefault="000D425D" w:rsidP="000D425D">
      <w:pPr>
        <w:spacing w:line="360" w:lineRule="auto"/>
        <w:rPr>
          <w:sz w:val="22"/>
          <w:szCs w:val="22"/>
          <w:lang w:val="en-US"/>
        </w:rPr>
      </w:pPr>
      <w:r w:rsidRPr="000D425D">
        <w:rPr>
          <w:noProof/>
          <w:sz w:val="22"/>
          <w:szCs w:val="22"/>
          <w:lang w:val="de-DE" w:eastAsia="de-DE"/>
        </w:rPr>
        <w:lastRenderedPageBreak/>
        <w:drawing>
          <wp:inline distT="0" distB="0" distL="0" distR="0" wp14:anchorId="29CA707E" wp14:editId="7694DB0A">
            <wp:extent cx="2843530" cy="3933825"/>
            <wp:effectExtent l="0" t="0" r="0" b="9525"/>
            <wp:docPr id="2" name="Grafik 2" descr="E:\Einreichung\TLN\2020Apr20_figure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inreichung\TLN\2020Apr20_figure2.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43530" cy="3933825"/>
                    </a:xfrm>
                    <a:prstGeom prst="rect">
                      <a:avLst/>
                    </a:prstGeom>
                    <a:noFill/>
                    <a:ln>
                      <a:noFill/>
                    </a:ln>
                  </pic:spPr>
                </pic:pic>
              </a:graphicData>
            </a:graphic>
          </wp:inline>
        </w:drawing>
      </w:r>
    </w:p>
    <w:p w14:paraId="4DCA9A74" w14:textId="77777777" w:rsidR="000D425D" w:rsidRPr="00697ADF" w:rsidRDefault="000D425D" w:rsidP="000D425D">
      <w:pPr>
        <w:spacing w:line="360" w:lineRule="auto"/>
        <w:rPr>
          <w:sz w:val="22"/>
          <w:szCs w:val="22"/>
          <w:lang w:val="en-US"/>
        </w:rPr>
      </w:pPr>
    </w:p>
    <w:sectPr w:rsidR="000D425D" w:rsidRPr="00697ADF" w:rsidSect="00785C52">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6FEE2" w14:textId="77777777" w:rsidR="005A4BD3" w:rsidRDefault="005A4BD3" w:rsidP="007B0E6F">
      <w:r>
        <w:separator/>
      </w:r>
    </w:p>
  </w:endnote>
  <w:endnote w:type="continuationSeparator" w:id="0">
    <w:p w14:paraId="1F480D0C" w14:textId="77777777" w:rsidR="005A4BD3" w:rsidRDefault="005A4BD3" w:rsidP="007B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BBFCD" w14:textId="77777777" w:rsidR="005A4BD3" w:rsidRDefault="005A4BD3" w:rsidP="007B0E6F">
      <w:r>
        <w:separator/>
      </w:r>
    </w:p>
  </w:footnote>
  <w:footnote w:type="continuationSeparator" w:id="0">
    <w:p w14:paraId="5C906A2C" w14:textId="77777777" w:rsidR="005A4BD3" w:rsidRDefault="005A4BD3" w:rsidP="007B0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E9492" w14:textId="0787507E" w:rsidR="00685A70" w:rsidRPr="00685A70" w:rsidRDefault="00685A70">
    <w:pPr>
      <w:pStyle w:val="Kopfzeile"/>
      <w:rPr>
        <w:rFonts w:asciiTheme="minorHAnsi" w:hAnsiTheme="minorHAnsi"/>
        <w:sz w:val="20"/>
        <w:szCs w:val="20"/>
        <w:lang w:val="de-DE"/>
      </w:rPr>
    </w:pPr>
    <w:r w:rsidRPr="00685A70">
      <w:rPr>
        <w:rFonts w:asciiTheme="minorHAnsi" w:hAnsiTheme="minorHAnsi"/>
        <w:sz w:val="20"/>
        <w:szCs w:val="20"/>
        <w:lang w:val="de-DE"/>
      </w:rPr>
      <w:t xml:space="preserve">SCA-PRKCG </w:t>
    </w:r>
    <w:proofErr w:type="spellStart"/>
    <w:r w:rsidRPr="00685A70">
      <w:rPr>
        <w:rFonts w:asciiTheme="minorHAnsi" w:hAnsiTheme="minorHAnsi"/>
        <w:sz w:val="20"/>
        <w:szCs w:val="20"/>
        <w:lang w:val="de-DE"/>
      </w:rPr>
      <w:t>clinico-genetic</w:t>
    </w:r>
    <w:proofErr w:type="spellEnd"/>
    <w:r w:rsidRPr="00685A70">
      <w:rPr>
        <w:rFonts w:asciiTheme="minorHAnsi" w:hAnsiTheme="minorHAnsi"/>
        <w:sz w:val="20"/>
        <w:szCs w:val="20"/>
        <w:lang w:val="de-DE"/>
      </w:rPr>
      <w:t xml:space="preserve"> </w:t>
    </w:r>
    <w:proofErr w:type="spellStart"/>
    <w:r w:rsidRPr="00685A70">
      <w:rPr>
        <w:rFonts w:asciiTheme="minorHAnsi" w:hAnsiTheme="minorHAnsi"/>
        <w:sz w:val="20"/>
        <w:szCs w:val="20"/>
        <w:lang w:val="de-DE"/>
      </w:rPr>
      <w:t>diagnosis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46548"/>
    <w:multiLevelType w:val="hybridMultilevel"/>
    <w:tmpl w:val="05B09934"/>
    <w:lvl w:ilvl="0" w:tplc="AB685F0E">
      <w:start w:val="1"/>
      <w:numFmt w:val="upperLetter"/>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A678FA"/>
    <w:multiLevelType w:val="multilevel"/>
    <w:tmpl w:val="45A6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5E193D"/>
    <w:multiLevelType w:val="hybridMultilevel"/>
    <w:tmpl w:val="0F6E307C"/>
    <w:lvl w:ilvl="0" w:tplc="AA96F10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69460C"/>
    <w:multiLevelType w:val="multilevel"/>
    <w:tmpl w:val="12F8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6B5B89"/>
    <w:multiLevelType w:val="hybridMultilevel"/>
    <w:tmpl w:val="25F46BDC"/>
    <w:lvl w:ilvl="0" w:tplc="0EAAD08C">
      <w:start w:val="1"/>
      <w:numFmt w:val="upperLetter"/>
      <w:lvlText w:val="%1."/>
      <w:lvlJc w:val="left"/>
      <w:pPr>
        <w:ind w:left="502" w:hanging="360"/>
      </w:pPr>
      <w:rPr>
        <w:rFonts w:hint="default"/>
        <w:i/>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27FC1A1D"/>
    <w:multiLevelType w:val="hybridMultilevel"/>
    <w:tmpl w:val="622479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E785DFB"/>
    <w:multiLevelType w:val="hybridMultilevel"/>
    <w:tmpl w:val="622479F4"/>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8A260FE"/>
    <w:multiLevelType w:val="hybridMultilevel"/>
    <w:tmpl w:val="D2801ABA"/>
    <w:lvl w:ilvl="0" w:tplc="342C015E">
      <w:start w:val="1"/>
      <w:numFmt w:val="upperLetter"/>
      <w:lvlText w:val="%1."/>
      <w:lvlJc w:val="left"/>
      <w:pPr>
        <w:ind w:left="862" w:hanging="360"/>
      </w:pPr>
      <w:rPr>
        <w:rFonts w:hint="default"/>
        <w:i/>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8" w15:restartNumberingAfterBreak="0">
    <w:nsid w:val="3C512ED7"/>
    <w:multiLevelType w:val="hybridMultilevel"/>
    <w:tmpl w:val="9A4A874A"/>
    <w:lvl w:ilvl="0" w:tplc="C5725E0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9C3B9F"/>
    <w:multiLevelType w:val="hybridMultilevel"/>
    <w:tmpl w:val="DC98676C"/>
    <w:lvl w:ilvl="0" w:tplc="C302DE90">
      <w:start w:val="1"/>
      <w:numFmt w:val="upperLetter"/>
      <w:lvlText w:val="%1."/>
      <w:lvlJc w:val="left"/>
      <w:pPr>
        <w:ind w:left="862" w:hanging="360"/>
      </w:pPr>
      <w:rPr>
        <w:rFonts w:hint="default"/>
        <w:i/>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10" w15:restartNumberingAfterBreak="0">
    <w:nsid w:val="4E171868"/>
    <w:multiLevelType w:val="multilevel"/>
    <w:tmpl w:val="E178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D91540"/>
    <w:multiLevelType w:val="hybridMultilevel"/>
    <w:tmpl w:val="73421B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2F7054E"/>
    <w:multiLevelType w:val="hybridMultilevel"/>
    <w:tmpl w:val="B8BE077E"/>
    <w:lvl w:ilvl="0" w:tplc="35D46FFC">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6B23840"/>
    <w:multiLevelType w:val="multilevel"/>
    <w:tmpl w:val="7DC2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092179"/>
    <w:multiLevelType w:val="hybridMultilevel"/>
    <w:tmpl w:val="05B09934"/>
    <w:lvl w:ilvl="0" w:tplc="AB685F0E">
      <w:start w:val="1"/>
      <w:numFmt w:val="upperLetter"/>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0"/>
  </w:num>
  <w:num w:numId="5">
    <w:abstractNumId w:val="14"/>
  </w:num>
  <w:num w:numId="6">
    <w:abstractNumId w:val="4"/>
  </w:num>
  <w:num w:numId="7">
    <w:abstractNumId w:val="7"/>
  </w:num>
  <w:num w:numId="8">
    <w:abstractNumId w:val="9"/>
  </w:num>
  <w:num w:numId="9">
    <w:abstractNumId w:val="11"/>
  </w:num>
  <w:num w:numId="10">
    <w:abstractNumId w:val="2"/>
  </w:num>
  <w:num w:numId="11">
    <w:abstractNumId w:val="13"/>
  </w:num>
  <w:num w:numId="12">
    <w:abstractNumId w:val="3"/>
  </w:num>
  <w:num w:numId="13">
    <w:abstractNumId w:val="1"/>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it-IT"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fvds50esdffmetwsr5v0dqswz0s2rp59tx&quot;&gt;SCA14_new-Saved&lt;record-ids&gt;&lt;item&gt;326&lt;/item&gt;&lt;item&gt;340&lt;/item&gt;&lt;/record-ids&gt;&lt;/item&gt;&lt;/Libraries&gt;"/>
  </w:docVars>
  <w:rsids>
    <w:rsidRoot w:val="00E67E0B"/>
    <w:rsid w:val="00002650"/>
    <w:rsid w:val="0000698F"/>
    <w:rsid w:val="0006403B"/>
    <w:rsid w:val="0008625F"/>
    <w:rsid w:val="000D425D"/>
    <w:rsid w:val="000D75BF"/>
    <w:rsid w:val="000F6ACF"/>
    <w:rsid w:val="00104E36"/>
    <w:rsid w:val="00141FC1"/>
    <w:rsid w:val="001527E5"/>
    <w:rsid w:val="0016583A"/>
    <w:rsid w:val="00172767"/>
    <w:rsid w:val="0017433C"/>
    <w:rsid w:val="001A4391"/>
    <w:rsid w:val="001B7352"/>
    <w:rsid w:val="001D196A"/>
    <w:rsid w:val="001F5520"/>
    <w:rsid w:val="00206967"/>
    <w:rsid w:val="00221ED5"/>
    <w:rsid w:val="00224AF0"/>
    <w:rsid w:val="00230D12"/>
    <w:rsid w:val="0023147C"/>
    <w:rsid w:val="00240551"/>
    <w:rsid w:val="002602C3"/>
    <w:rsid w:val="00265314"/>
    <w:rsid w:val="00271BFC"/>
    <w:rsid w:val="002B54E4"/>
    <w:rsid w:val="002B6881"/>
    <w:rsid w:val="002C126F"/>
    <w:rsid w:val="002D48CC"/>
    <w:rsid w:val="0031061B"/>
    <w:rsid w:val="00330C03"/>
    <w:rsid w:val="00333B59"/>
    <w:rsid w:val="003627F2"/>
    <w:rsid w:val="0036559E"/>
    <w:rsid w:val="003D0163"/>
    <w:rsid w:val="003D1DB4"/>
    <w:rsid w:val="003E6595"/>
    <w:rsid w:val="00402386"/>
    <w:rsid w:val="004039F6"/>
    <w:rsid w:val="00406A92"/>
    <w:rsid w:val="004112DF"/>
    <w:rsid w:val="00412006"/>
    <w:rsid w:val="00422448"/>
    <w:rsid w:val="004332A0"/>
    <w:rsid w:val="0045790C"/>
    <w:rsid w:val="004871F3"/>
    <w:rsid w:val="004E552D"/>
    <w:rsid w:val="00515418"/>
    <w:rsid w:val="0052063C"/>
    <w:rsid w:val="005248CB"/>
    <w:rsid w:val="005279C9"/>
    <w:rsid w:val="005305F7"/>
    <w:rsid w:val="005332F1"/>
    <w:rsid w:val="005A4BD3"/>
    <w:rsid w:val="005B3B33"/>
    <w:rsid w:val="005E6CBC"/>
    <w:rsid w:val="0060309A"/>
    <w:rsid w:val="006633E4"/>
    <w:rsid w:val="006753D0"/>
    <w:rsid w:val="00680DCA"/>
    <w:rsid w:val="00685A70"/>
    <w:rsid w:val="00685AC0"/>
    <w:rsid w:val="006A54D7"/>
    <w:rsid w:val="006B4AF9"/>
    <w:rsid w:val="006B7035"/>
    <w:rsid w:val="006E07B7"/>
    <w:rsid w:val="006E0CDE"/>
    <w:rsid w:val="007245AA"/>
    <w:rsid w:val="00725833"/>
    <w:rsid w:val="00727F84"/>
    <w:rsid w:val="00734DB2"/>
    <w:rsid w:val="00740F27"/>
    <w:rsid w:val="00742860"/>
    <w:rsid w:val="007430AF"/>
    <w:rsid w:val="00747DB8"/>
    <w:rsid w:val="00757409"/>
    <w:rsid w:val="0076328D"/>
    <w:rsid w:val="00773327"/>
    <w:rsid w:val="0077424A"/>
    <w:rsid w:val="00780D1C"/>
    <w:rsid w:val="00782A32"/>
    <w:rsid w:val="00782A89"/>
    <w:rsid w:val="00784B7A"/>
    <w:rsid w:val="00785C52"/>
    <w:rsid w:val="0079226B"/>
    <w:rsid w:val="007B0E6F"/>
    <w:rsid w:val="007B53C3"/>
    <w:rsid w:val="007C42B8"/>
    <w:rsid w:val="007F37A9"/>
    <w:rsid w:val="007F7A3C"/>
    <w:rsid w:val="00810272"/>
    <w:rsid w:val="00826483"/>
    <w:rsid w:val="008539C8"/>
    <w:rsid w:val="0087456D"/>
    <w:rsid w:val="00896544"/>
    <w:rsid w:val="0089670D"/>
    <w:rsid w:val="00896D48"/>
    <w:rsid w:val="008B1DB3"/>
    <w:rsid w:val="008B2D3C"/>
    <w:rsid w:val="008B3410"/>
    <w:rsid w:val="008E4F03"/>
    <w:rsid w:val="008F2E72"/>
    <w:rsid w:val="008F5078"/>
    <w:rsid w:val="00902807"/>
    <w:rsid w:val="00904592"/>
    <w:rsid w:val="009168BB"/>
    <w:rsid w:val="009249E8"/>
    <w:rsid w:val="009303E5"/>
    <w:rsid w:val="009333B6"/>
    <w:rsid w:val="00973BCC"/>
    <w:rsid w:val="009A39AA"/>
    <w:rsid w:val="009A3B75"/>
    <w:rsid w:val="009B5C54"/>
    <w:rsid w:val="009D6526"/>
    <w:rsid w:val="00A03309"/>
    <w:rsid w:val="00A11EDF"/>
    <w:rsid w:val="00A15B77"/>
    <w:rsid w:val="00A1623D"/>
    <w:rsid w:val="00A32EBE"/>
    <w:rsid w:val="00A551DC"/>
    <w:rsid w:val="00A77843"/>
    <w:rsid w:val="00A82CBF"/>
    <w:rsid w:val="00AA1A83"/>
    <w:rsid w:val="00AD6F27"/>
    <w:rsid w:val="00AE27FA"/>
    <w:rsid w:val="00AF00EA"/>
    <w:rsid w:val="00AF253D"/>
    <w:rsid w:val="00B2724F"/>
    <w:rsid w:val="00B33780"/>
    <w:rsid w:val="00B36CF9"/>
    <w:rsid w:val="00B60851"/>
    <w:rsid w:val="00B711FC"/>
    <w:rsid w:val="00B71B47"/>
    <w:rsid w:val="00B74E2A"/>
    <w:rsid w:val="00B95D9A"/>
    <w:rsid w:val="00BD363A"/>
    <w:rsid w:val="00BD56F5"/>
    <w:rsid w:val="00BF637A"/>
    <w:rsid w:val="00C03A42"/>
    <w:rsid w:val="00C42B13"/>
    <w:rsid w:val="00C45FA4"/>
    <w:rsid w:val="00C50828"/>
    <w:rsid w:val="00C556B6"/>
    <w:rsid w:val="00C63A65"/>
    <w:rsid w:val="00C75D81"/>
    <w:rsid w:val="00C80491"/>
    <w:rsid w:val="00C82249"/>
    <w:rsid w:val="00C84142"/>
    <w:rsid w:val="00C85324"/>
    <w:rsid w:val="00C9707F"/>
    <w:rsid w:val="00CB21F8"/>
    <w:rsid w:val="00CD12F3"/>
    <w:rsid w:val="00CE722F"/>
    <w:rsid w:val="00D01DD7"/>
    <w:rsid w:val="00D04A4F"/>
    <w:rsid w:val="00D35570"/>
    <w:rsid w:val="00D3558D"/>
    <w:rsid w:val="00D36A20"/>
    <w:rsid w:val="00D40579"/>
    <w:rsid w:val="00D46DE2"/>
    <w:rsid w:val="00D50732"/>
    <w:rsid w:val="00D51447"/>
    <w:rsid w:val="00D80EA7"/>
    <w:rsid w:val="00D80F54"/>
    <w:rsid w:val="00D93C86"/>
    <w:rsid w:val="00DC3AE6"/>
    <w:rsid w:val="00DE761D"/>
    <w:rsid w:val="00DF1E97"/>
    <w:rsid w:val="00E0039A"/>
    <w:rsid w:val="00E476EB"/>
    <w:rsid w:val="00E62CEC"/>
    <w:rsid w:val="00E67719"/>
    <w:rsid w:val="00E67E0B"/>
    <w:rsid w:val="00E835F9"/>
    <w:rsid w:val="00E84705"/>
    <w:rsid w:val="00E95BEF"/>
    <w:rsid w:val="00EA5640"/>
    <w:rsid w:val="00EE293C"/>
    <w:rsid w:val="00EF23C4"/>
    <w:rsid w:val="00F0080A"/>
    <w:rsid w:val="00F478B2"/>
    <w:rsid w:val="00F6776A"/>
    <w:rsid w:val="00FA0BB6"/>
    <w:rsid w:val="00FB6C44"/>
    <w:rsid w:val="00FC1195"/>
    <w:rsid w:val="00FC1A96"/>
    <w:rsid w:val="00FC690B"/>
    <w:rsid w:val="00FD624B"/>
    <w:rsid w:val="00FD7B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141"/>
  <w15:docId w15:val="{1495DD7E-14B6-47E0-BBDF-479A6B706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433C"/>
    <w:pPr>
      <w:spacing w:after="0" w:line="240" w:lineRule="auto"/>
    </w:pPr>
    <w:rPr>
      <w:rFonts w:ascii="Times New Roman" w:hAnsi="Times New Roman" w:cs="Times New Roman"/>
      <w:sz w:val="24"/>
      <w:szCs w:val="24"/>
      <w:lang w:val="en-GB" w:eastAsia="en-GB"/>
    </w:rPr>
  </w:style>
  <w:style w:type="paragraph" w:styleId="berschrift1">
    <w:name w:val="heading 1"/>
    <w:basedOn w:val="Standard"/>
    <w:next w:val="Standard"/>
    <w:link w:val="berschrift1Zchn"/>
    <w:uiPriority w:val="9"/>
    <w:qFormat/>
    <w:rsid w:val="00E67E0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E67E0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4057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uiPriority w:val="9"/>
    <w:semiHidden/>
    <w:unhideWhenUsed/>
    <w:qFormat/>
    <w:rsid w:val="0089670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67E0B"/>
    <w:rPr>
      <w:rFonts w:asciiTheme="majorHAnsi" w:eastAsiaTheme="majorEastAsia" w:hAnsiTheme="majorHAnsi" w:cstheme="majorBidi"/>
      <w:color w:val="2E74B5" w:themeColor="accent1" w:themeShade="BF"/>
      <w:sz w:val="26"/>
      <w:szCs w:val="26"/>
      <w:lang w:eastAsia="de-DE"/>
    </w:rPr>
  </w:style>
  <w:style w:type="character" w:customStyle="1" w:styleId="berschrift1Zchn">
    <w:name w:val="Überschrift 1 Zchn"/>
    <w:basedOn w:val="Absatz-Standardschriftart"/>
    <w:link w:val="berschrift1"/>
    <w:uiPriority w:val="9"/>
    <w:rsid w:val="00E67E0B"/>
    <w:rPr>
      <w:rFonts w:asciiTheme="majorHAnsi" w:eastAsiaTheme="majorEastAsia" w:hAnsiTheme="majorHAnsi" w:cstheme="majorBidi"/>
      <w:color w:val="2E74B5" w:themeColor="accent1" w:themeShade="BF"/>
      <w:sz w:val="32"/>
      <w:szCs w:val="32"/>
      <w:lang w:eastAsia="de-DE"/>
    </w:rPr>
  </w:style>
  <w:style w:type="paragraph" w:styleId="Sprechblasentext">
    <w:name w:val="Balloon Text"/>
    <w:basedOn w:val="Standard"/>
    <w:link w:val="SprechblasentextZchn"/>
    <w:uiPriority w:val="99"/>
    <w:semiHidden/>
    <w:unhideWhenUsed/>
    <w:rsid w:val="002B54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4E4"/>
    <w:rPr>
      <w:rFonts w:ascii="Segoe UI" w:eastAsia="Times New Roman" w:hAnsi="Segoe UI" w:cs="Segoe UI"/>
      <w:sz w:val="18"/>
      <w:szCs w:val="18"/>
      <w:lang w:eastAsia="de-DE"/>
    </w:rPr>
  </w:style>
  <w:style w:type="paragraph" w:styleId="Listenabsatz">
    <w:name w:val="List Paragraph"/>
    <w:basedOn w:val="Standard"/>
    <w:uiPriority w:val="34"/>
    <w:qFormat/>
    <w:rsid w:val="002B54E4"/>
    <w:pPr>
      <w:ind w:left="720"/>
      <w:contextualSpacing/>
    </w:pPr>
  </w:style>
  <w:style w:type="character" w:styleId="Kommentarzeichen">
    <w:name w:val="annotation reference"/>
    <w:basedOn w:val="Absatz-Standardschriftart"/>
    <w:uiPriority w:val="99"/>
    <w:semiHidden/>
    <w:unhideWhenUsed/>
    <w:rsid w:val="002B54E4"/>
    <w:rPr>
      <w:sz w:val="16"/>
      <w:szCs w:val="16"/>
    </w:rPr>
  </w:style>
  <w:style w:type="paragraph" w:styleId="Kommentartext">
    <w:name w:val="annotation text"/>
    <w:basedOn w:val="Standard"/>
    <w:link w:val="KommentartextZchn"/>
    <w:uiPriority w:val="99"/>
    <w:unhideWhenUsed/>
    <w:rsid w:val="002B54E4"/>
    <w:rPr>
      <w:sz w:val="20"/>
      <w:szCs w:val="20"/>
    </w:rPr>
  </w:style>
  <w:style w:type="character" w:customStyle="1" w:styleId="KommentartextZchn">
    <w:name w:val="Kommentartext Zchn"/>
    <w:basedOn w:val="Absatz-Standardschriftart"/>
    <w:link w:val="Kommentartext"/>
    <w:uiPriority w:val="99"/>
    <w:rsid w:val="002B54E4"/>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B54E4"/>
    <w:rPr>
      <w:b/>
      <w:bCs/>
    </w:rPr>
  </w:style>
  <w:style w:type="character" w:customStyle="1" w:styleId="KommentarthemaZchn">
    <w:name w:val="Kommentarthema Zchn"/>
    <w:basedOn w:val="KommentartextZchn"/>
    <w:link w:val="Kommentarthema"/>
    <w:uiPriority w:val="99"/>
    <w:semiHidden/>
    <w:rsid w:val="002B54E4"/>
    <w:rPr>
      <w:rFonts w:ascii="Times New Roman" w:eastAsia="Times New Roman" w:hAnsi="Times New Roman" w:cs="Times New Roman"/>
      <w:b/>
      <w:bCs/>
      <w:sz w:val="20"/>
      <w:szCs w:val="20"/>
      <w:lang w:eastAsia="de-DE"/>
    </w:rPr>
  </w:style>
  <w:style w:type="paragraph" w:styleId="Kopfzeile">
    <w:name w:val="header"/>
    <w:basedOn w:val="Standard"/>
    <w:link w:val="KopfzeileZchn"/>
    <w:uiPriority w:val="99"/>
    <w:unhideWhenUsed/>
    <w:rsid w:val="007B0E6F"/>
    <w:pPr>
      <w:tabs>
        <w:tab w:val="center" w:pos="4536"/>
        <w:tab w:val="right" w:pos="9072"/>
      </w:tabs>
    </w:pPr>
  </w:style>
  <w:style w:type="character" w:customStyle="1" w:styleId="KopfzeileZchn">
    <w:name w:val="Kopfzeile Zchn"/>
    <w:basedOn w:val="Absatz-Standardschriftart"/>
    <w:link w:val="Kopfzeile"/>
    <w:uiPriority w:val="99"/>
    <w:rsid w:val="007B0E6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7B0E6F"/>
    <w:pPr>
      <w:tabs>
        <w:tab w:val="center" w:pos="4536"/>
        <w:tab w:val="right" w:pos="9072"/>
      </w:tabs>
    </w:pPr>
  </w:style>
  <w:style w:type="character" w:customStyle="1" w:styleId="FuzeileZchn">
    <w:name w:val="Fußzeile Zchn"/>
    <w:basedOn w:val="Absatz-Standardschriftart"/>
    <w:link w:val="Fuzeile"/>
    <w:uiPriority w:val="99"/>
    <w:rsid w:val="007B0E6F"/>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rsid w:val="00D40579"/>
    <w:rPr>
      <w:rFonts w:asciiTheme="majorHAnsi" w:eastAsiaTheme="majorEastAsia" w:hAnsiTheme="majorHAnsi" w:cstheme="majorBidi"/>
      <w:color w:val="1F4D78" w:themeColor="accent1" w:themeShade="7F"/>
      <w:sz w:val="24"/>
      <w:szCs w:val="24"/>
      <w:lang w:eastAsia="de-DE"/>
    </w:rPr>
  </w:style>
  <w:style w:type="paragraph" w:styleId="StandardWeb">
    <w:name w:val="Normal (Web)"/>
    <w:basedOn w:val="Standard"/>
    <w:uiPriority w:val="99"/>
    <w:semiHidden/>
    <w:unhideWhenUsed/>
    <w:rsid w:val="00271BFC"/>
    <w:pPr>
      <w:spacing w:before="100" w:beforeAutospacing="1" w:after="100" w:afterAutospacing="1"/>
    </w:pPr>
  </w:style>
  <w:style w:type="character" w:customStyle="1" w:styleId="berschrift4Zchn">
    <w:name w:val="Überschrift 4 Zchn"/>
    <w:basedOn w:val="Absatz-Standardschriftart"/>
    <w:link w:val="berschrift4"/>
    <w:uiPriority w:val="9"/>
    <w:semiHidden/>
    <w:rsid w:val="0089670D"/>
    <w:rPr>
      <w:rFonts w:asciiTheme="majorHAnsi" w:eastAsiaTheme="majorEastAsia" w:hAnsiTheme="majorHAnsi" w:cstheme="majorBidi"/>
      <w:i/>
      <w:iCs/>
      <w:color w:val="2E74B5" w:themeColor="accent1" w:themeShade="BF"/>
      <w:sz w:val="24"/>
      <w:szCs w:val="24"/>
      <w:lang w:eastAsia="de-DE"/>
    </w:rPr>
  </w:style>
  <w:style w:type="character" w:styleId="Hyperlink">
    <w:name w:val="Hyperlink"/>
    <w:basedOn w:val="Absatz-Standardschriftart"/>
    <w:uiPriority w:val="99"/>
    <w:unhideWhenUsed/>
    <w:rsid w:val="006E0CDE"/>
    <w:rPr>
      <w:color w:val="0000FF"/>
      <w:u w:val="single"/>
    </w:rPr>
  </w:style>
  <w:style w:type="character" w:styleId="Fett">
    <w:name w:val="Strong"/>
    <w:basedOn w:val="Absatz-Standardschriftart"/>
    <w:uiPriority w:val="22"/>
    <w:qFormat/>
    <w:rsid w:val="0017433C"/>
    <w:rPr>
      <w:b/>
      <w:bCs/>
    </w:rPr>
  </w:style>
  <w:style w:type="paragraph" w:customStyle="1" w:styleId="EndNoteBibliographyTitle">
    <w:name w:val="EndNote Bibliography Title"/>
    <w:basedOn w:val="Standard"/>
    <w:link w:val="EndNoteBibliographyTitleZchn"/>
    <w:rsid w:val="00C82249"/>
    <w:pPr>
      <w:jc w:val="center"/>
    </w:pPr>
    <w:rPr>
      <w:noProof/>
    </w:rPr>
  </w:style>
  <w:style w:type="character" w:customStyle="1" w:styleId="EndNoteBibliographyTitleZchn">
    <w:name w:val="EndNote Bibliography Title Zchn"/>
    <w:basedOn w:val="Absatz-Standardschriftart"/>
    <w:link w:val="EndNoteBibliographyTitle"/>
    <w:rsid w:val="00C82249"/>
    <w:rPr>
      <w:rFonts w:ascii="Times New Roman" w:hAnsi="Times New Roman" w:cs="Times New Roman"/>
      <w:noProof/>
      <w:sz w:val="24"/>
      <w:szCs w:val="24"/>
      <w:lang w:val="en-GB" w:eastAsia="en-GB"/>
    </w:rPr>
  </w:style>
  <w:style w:type="paragraph" w:customStyle="1" w:styleId="EndNoteBibliography">
    <w:name w:val="EndNote Bibliography"/>
    <w:basedOn w:val="Standard"/>
    <w:link w:val="EndNoteBibliographyZchn"/>
    <w:rsid w:val="00C82249"/>
    <w:rPr>
      <w:noProof/>
    </w:rPr>
  </w:style>
  <w:style w:type="character" w:customStyle="1" w:styleId="EndNoteBibliographyZchn">
    <w:name w:val="EndNote Bibliography Zchn"/>
    <w:basedOn w:val="Absatz-Standardschriftart"/>
    <w:link w:val="EndNoteBibliography"/>
    <w:rsid w:val="00C82249"/>
    <w:rPr>
      <w:rFonts w:ascii="Times New Roman" w:hAnsi="Times New Roman" w:cs="Times New Roman"/>
      <w:noProof/>
      <w:sz w:val="24"/>
      <w:szCs w:val="24"/>
      <w:lang w:val="en-GB" w:eastAsia="en-GB"/>
    </w:rPr>
  </w:style>
  <w:style w:type="paragraph" w:styleId="Beschriftung">
    <w:name w:val="caption"/>
    <w:basedOn w:val="Standard"/>
    <w:next w:val="Standard"/>
    <w:uiPriority w:val="35"/>
    <w:unhideWhenUsed/>
    <w:qFormat/>
    <w:rsid w:val="005279C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03000">
      <w:bodyDiv w:val="1"/>
      <w:marLeft w:val="0"/>
      <w:marRight w:val="0"/>
      <w:marTop w:val="0"/>
      <w:marBottom w:val="0"/>
      <w:divBdr>
        <w:top w:val="none" w:sz="0" w:space="0" w:color="auto"/>
        <w:left w:val="none" w:sz="0" w:space="0" w:color="auto"/>
        <w:bottom w:val="none" w:sz="0" w:space="0" w:color="auto"/>
        <w:right w:val="none" w:sz="0" w:space="0" w:color="auto"/>
      </w:divBdr>
    </w:div>
    <w:div w:id="519246334">
      <w:bodyDiv w:val="1"/>
      <w:marLeft w:val="0"/>
      <w:marRight w:val="0"/>
      <w:marTop w:val="0"/>
      <w:marBottom w:val="0"/>
      <w:divBdr>
        <w:top w:val="none" w:sz="0" w:space="0" w:color="auto"/>
        <w:left w:val="none" w:sz="0" w:space="0" w:color="auto"/>
        <w:bottom w:val="none" w:sz="0" w:space="0" w:color="auto"/>
        <w:right w:val="none" w:sz="0" w:space="0" w:color="auto"/>
      </w:divBdr>
    </w:div>
    <w:div w:id="566115489">
      <w:bodyDiv w:val="1"/>
      <w:marLeft w:val="0"/>
      <w:marRight w:val="0"/>
      <w:marTop w:val="0"/>
      <w:marBottom w:val="0"/>
      <w:divBdr>
        <w:top w:val="none" w:sz="0" w:space="0" w:color="auto"/>
        <w:left w:val="none" w:sz="0" w:space="0" w:color="auto"/>
        <w:bottom w:val="none" w:sz="0" w:space="0" w:color="auto"/>
        <w:right w:val="none" w:sz="0" w:space="0" w:color="auto"/>
      </w:divBdr>
    </w:div>
    <w:div w:id="727844883">
      <w:bodyDiv w:val="1"/>
      <w:marLeft w:val="0"/>
      <w:marRight w:val="0"/>
      <w:marTop w:val="0"/>
      <w:marBottom w:val="0"/>
      <w:divBdr>
        <w:top w:val="none" w:sz="0" w:space="0" w:color="auto"/>
        <w:left w:val="none" w:sz="0" w:space="0" w:color="auto"/>
        <w:bottom w:val="none" w:sz="0" w:space="0" w:color="auto"/>
        <w:right w:val="none" w:sz="0" w:space="0" w:color="auto"/>
      </w:divBdr>
    </w:div>
    <w:div w:id="940530561">
      <w:bodyDiv w:val="1"/>
      <w:marLeft w:val="0"/>
      <w:marRight w:val="0"/>
      <w:marTop w:val="0"/>
      <w:marBottom w:val="0"/>
      <w:divBdr>
        <w:top w:val="none" w:sz="0" w:space="0" w:color="auto"/>
        <w:left w:val="none" w:sz="0" w:space="0" w:color="auto"/>
        <w:bottom w:val="none" w:sz="0" w:space="0" w:color="auto"/>
        <w:right w:val="none" w:sz="0" w:space="0" w:color="auto"/>
      </w:divBdr>
    </w:div>
    <w:div w:id="1286692535">
      <w:bodyDiv w:val="1"/>
      <w:marLeft w:val="0"/>
      <w:marRight w:val="0"/>
      <w:marTop w:val="0"/>
      <w:marBottom w:val="0"/>
      <w:divBdr>
        <w:top w:val="none" w:sz="0" w:space="0" w:color="auto"/>
        <w:left w:val="none" w:sz="0" w:space="0" w:color="auto"/>
        <w:bottom w:val="none" w:sz="0" w:space="0" w:color="auto"/>
        <w:right w:val="none" w:sz="0" w:space="0" w:color="auto"/>
      </w:divBdr>
    </w:div>
    <w:div w:id="1298606658">
      <w:bodyDiv w:val="1"/>
      <w:marLeft w:val="0"/>
      <w:marRight w:val="0"/>
      <w:marTop w:val="0"/>
      <w:marBottom w:val="0"/>
      <w:divBdr>
        <w:top w:val="none" w:sz="0" w:space="0" w:color="auto"/>
        <w:left w:val="none" w:sz="0" w:space="0" w:color="auto"/>
        <w:bottom w:val="none" w:sz="0" w:space="0" w:color="auto"/>
        <w:right w:val="none" w:sz="0" w:space="0" w:color="auto"/>
      </w:divBdr>
    </w:div>
    <w:div w:id="1354112261">
      <w:bodyDiv w:val="1"/>
      <w:marLeft w:val="0"/>
      <w:marRight w:val="0"/>
      <w:marTop w:val="0"/>
      <w:marBottom w:val="0"/>
      <w:divBdr>
        <w:top w:val="none" w:sz="0" w:space="0" w:color="auto"/>
        <w:left w:val="none" w:sz="0" w:space="0" w:color="auto"/>
        <w:bottom w:val="none" w:sz="0" w:space="0" w:color="auto"/>
        <w:right w:val="none" w:sz="0" w:space="0" w:color="auto"/>
      </w:divBdr>
    </w:div>
    <w:div w:id="1370182389">
      <w:bodyDiv w:val="1"/>
      <w:marLeft w:val="0"/>
      <w:marRight w:val="0"/>
      <w:marTop w:val="0"/>
      <w:marBottom w:val="0"/>
      <w:divBdr>
        <w:top w:val="none" w:sz="0" w:space="0" w:color="auto"/>
        <w:left w:val="none" w:sz="0" w:space="0" w:color="auto"/>
        <w:bottom w:val="none" w:sz="0" w:space="0" w:color="auto"/>
        <w:right w:val="none" w:sz="0" w:space="0" w:color="auto"/>
      </w:divBdr>
    </w:div>
    <w:div w:id="1666588427">
      <w:bodyDiv w:val="1"/>
      <w:marLeft w:val="0"/>
      <w:marRight w:val="0"/>
      <w:marTop w:val="0"/>
      <w:marBottom w:val="0"/>
      <w:divBdr>
        <w:top w:val="none" w:sz="0" w:space="0" w:color="auto"/>
        <w:left w:val="none" w:sz="0" w:space="0" w:color="auto"/>
        <w:bottom w:val="none" w:sz="0" w:space="0" w:color="auto"/>
        <w:right w:val="none" w:sz="0" w:space="0" w:color="auto"/>
      </w:divBdr>
    </w:div>
    <w:div w:id="17069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210/pdb2E73/pdb" TargetMode="External"/><Relationship Id="rId13"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t.leo.org/englisch-deutsch/mirror-inverte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csb.org/structure/2UZ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x.doi.org/10.2210/pdb2UZP/pdb" TargetMode="External"/><Relationship Id="rId4" Type="http://schemas.openxmlformats.org/officeDocument/2006/relationships/settings" Target="settings.xml"/><Relationship Id="rId9" Type="http://schemas.openxmlformats.org/officeDocument/2006/relationships/hyperlink" Target="https://www.rcsb.org/structure/2E7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D6682-C570-44B8-A53B-22826AD6C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10890</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Charite Universitaetsmedizin Berlin</Company>
  <LinksUpToDate>false</LinksUpToDate>
  <CharactersWithSpaces>12593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Schmitz-Hübsch, Tanja</dc:creator>
  <cp:lastModifiedBy>schmitzt</cp:lastModifiedBy>
  <cp:revision>2</cp:revision>
  <cp:lastPrinted>2018-08-08T17:46:00Z</cp:lastPrinted>
  <dcterms:created xsi:type="dcterms:W3CDTF">2021-01-25T00:08:00Z</dcterms:created>
  <dcterms:modified xsi:type="dcterms:W3CDTF">2021-01-25T00:08:00Z</dcterms:modified>
</cp:coreProperties>
</file>