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8462" w14:textId="77777777" w:rsidR="0044628D" w:rsidRPr="00FF5DD7" w:rsidRDefault="0044628D" w:rsidP="00FF5DD7">
      <w:pPr>
        <w:spacing w:after="120" w:line="480" w:lineRule="auto"/>
        <w:jc w:val="both"/>
        <w:textAlignment w:val="baseline"/>
        <w:rPr>
          <w:rFonts w:ascii="Times New Roman" w:eastAsia="Times New Roman" w:hAnsi="Times New Roman" w:cs="Times New Roman"/>
          <w:lang w:eastAsia="en-GB"/>
        </w:rPr>
      </w:pPr>
      <w:r w:rsidRPr="00FF5DD7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Supplementary table 5: Sepsis, venous thromboembolic and neurologic events.</w:t>
      </w:r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Percentages and univariate analysis of associated patient factors. Bold indicates statistical significance.</w:t>
      </w:r>
      <w:r w:rsidRPr="00FF5DD7">
        <w:rPr>
          <w:rFonts w:ascii="Times New Roman" w:eastAsia="Times New Roman" w:hAnsi="Times New Roman" w:cs="Times New Roman"/>
          <w:color w:val="000000"/>
          <w:lang w:eastAsia="en-GB"/>
        </w:rPr>
        <w:t> </w:t>
      </w:r>
    </w:p>
    <w:tbl>
      <w:tblPr>
        <w:tblW w:w="140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1276"/>
        <w:gridCol w:w="1701"/>
        <w:gridCol w:w="1096"/>
        <w:gridCol w:w="1172"/>
        <w:gridCol w:w="1559"/>
        <w:gridCol w:w="1115"/>
        <w:gridCol w:w="1153"/>
        <w:gridCol w:w="1560"/>
        <w:gridCol w:w="1134"/>
      </w:tblGrid>
      <w:tr w:rsidR="0044628D" w:rsidRPr="00FF5DD7" w14:paraId="0C37ADA2" w14:textId="77777777" w:rsidTr="0045209F">
        <w:trPr>
          <w:trHeight w:val="62"/>
        </w:trPr>
        <w:tc>
          <w:tcPr>
            <w:tcW w:w="2260" w:type="dxa"/>
            <w:tcBorders>
              <w:top w:val="single" w:sz="4" w:space="0" w:color="auto"/>
            </w:tcBorders>
            <w:shd w:val="clear" w:color="auto" w:fill="auto"/>
          </w:tcPr>
          <w:p w14:paraId="4A88EAF6" w14:textId="77777777" w:rsidR="0044628D" w:rsidRPr="00FF5DD7" w:rsidRDefault="0044628D" w:rsidP="00FF5DD7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E3A47" w14:textId="4A6BC0A1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Patients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with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sepsis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1E3FF" w14:textId="11DD5137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Patients with venous thromboembolic event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74F3D" w14:textId="5C418B62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Patients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with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neurologic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event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391D57C0" w14:textId="77777777" w:rsidTr="0045209F">
        <w:trPr>
          <w:trHeight w:val="176"/>
        </w:trPr>
        <w:tc>
          <w:tcPr>
            <w:tcW w:w="2260" w:type="dxa"/>
            <w:shd w:val="clear" w:color="auto" w:fill="auto"/>
          </w:tcPr>
          <w:p w14:paraId="462550B7" w14:textId="77777777" w:rsidR="0044628D" w:rsidRPr="00FF5DD7" w:rsidRDefault="0044628D" w:rsidP="00FF5DD7">
            <w:pPr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657BF" w14:textId="22EDB5D4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percentage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, n/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available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N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B0F701" w14:textId="74C40D4D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uOR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val="de-DE" w:eastAsia="en-GB"/>
              </w:rPr>
              <w:t xml:space="preserve"> </w:t>
            </w: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(95% CI)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DE87A" w14:textId="6751251F" w:rsidR="0044628D" w:rsidRPr="00FF5DD7" w:rsidRDefault="0044628D" w:rsidP="00FF5DD7">
            <w:pPr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p-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value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  <w:p w14:paraId="1A00B92F" w14:textId="7D01E236" w:rsidR="0044628D" w:rsidRPr="00FF5DD7" w:rsidRDefault="0044628D" w:rsidP="00FF5DD7">
            <w:pPr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chi-square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CEF0E" w14:textId="592CD33B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percentage, n/ available N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BC1A7" w14:textId="43D35264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uOR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(95% CI)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2A1DF" w14:textId="5DB2ACB5" w:rsidR="0044628D" w:rsidRPr="00FF5DD7" w:rsidRDefault="0044628D" w:rsidP="00FF5DD7">
            <w:pPr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p-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value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  <w:p w14:paraId="4D410E24" w14:textId="2A987EE3" w:rsidR="0044628D" w:rsidRPr="00FF5DD7" w:rsidRDefault="0044628D" w:rsidP="00FF5DD7">
            <w:pPr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chi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-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square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85930" w14:textId="2ABA834E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percentage, n/ available N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  </w:t>
            </w: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265AC" w14:textId="5F9060A6" w:rsidR="0044628D" w:rsidRPr="00FF5DD7" w:rsidRDefault="0044628D" w:rsidP="00FF5DD7">
            <w:pPr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uOR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 xml:space="preserve"> (95% CI)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B5FF0" w14:textId="5299E73B" w:rsidR="0044628D" w:rsidRPr="00FF5DD7" w:rsidRDefault="0044628D" w:rsidP="00FF5DD7">
            <w:pPr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p-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value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  <w:p w14:paraId="04D34C28" w14:textId="75489826" w:rsidR="0044628D" w:rsidRPr="00FF5DD7" w:rsidRDefault="0044628D" w:rsidP="00FF5DD7">
            <w:pPr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chi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-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square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4A989324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1F67D15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Total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D6A59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18.5%, 31/168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9B411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C1BC71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0B0E99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19.0%, 32/168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DFE01F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49D94A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5DA31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24.4%, 41/168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F47697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1A5396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745C9294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5A519AA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18-59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years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7A7CD7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35.5%, 11/31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B8145C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reference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95F12C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0F601F3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46.8%, 15/32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599EF9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reference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2D89950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1226FC4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31.7%, 13/41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CA99F6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reference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2557B0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 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598BAAD3" w14:textId="77777777" w:rsidTr="0045209F">
        <w:trPr>
          <w:trHeight w:val="106"/>
        </w:trPr>
        <w:tc>
          <w:tcPr>
            <w:tcW w:w="2260" w:type="dxa"/>
            <w:shd w:val="clear" w:color="auto" w:fill="auto"/>
            <w:hideMark/>
          </w:tcPr>
          <w:p w14:paraId="1E7020F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60-69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years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EAD7E7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29.0%, 9/31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0D99A2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2.03 (0.75-5.5)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66FBE53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689481F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25.0%, 8/32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44A893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1.2 (0.46-3.16)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5A7DF9E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0.71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2DEA3D9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29.3%, 12/41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E487AD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2.5 (1.0-6.2)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D9CF5B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0.05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12D7ED9D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5E253AB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70-79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years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54A650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22.6%, 7/31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213BD7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1.52 (0.53-4.33)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6A58C0A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0.43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69E447A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21.9%, 7/32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59E6C5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1.05 (0.39-2.86)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59B05F0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5E39E28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29.3%, 12/41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6DB38F0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2.6 (1.0-6.5)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8419A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0.04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002FEEF6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00C3556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≥ 80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years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0AF770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12.9% 4/31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6762CF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1.60 (0.45-5.80)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EA915B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7B2061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6.2%, 2/32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3A04B3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0.49 (0.10-2.38)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377252E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0.37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37E40EB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9.8%, 4/41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43143F7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1.33 (0.38-4.67)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AD2B32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0.65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3EF2AAD2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49EEF65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Male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gender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F6DFA9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77.4%, 24/31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31D302BE" w14:textId="0FE9F7FF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1.97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(0.79-4.89)</w:t>
            </w:r>
          </w:p>
        </w:tc>
        <w:tc>
          <w:tcPr>
            <w:tcW w:w="1096" w:type="dxa"/>
            <w:shd w:val="clear" w:color="auto" w:fill="auto"/>
            <w:hideMark/>
          </w:tcPr>
          <w:p w14:paraId="071CFC6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E0AE868" w14:textId="1DDB9F58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71.9%, 23/32</w:t>
            </w:r>
          </w:p>
        </w:tc>
        <w:tc>
          <w:tcPr>
            <w:tcW w:w="1559" w:type="dxa"/>
            <w:shd w:val="clear" w:color="auto" w:fill="auto"/>
            <w:hideMark/>
          </w:tcPr>
          <w:p w14:paraId="0382CF74" w14:textId="0D7CC52B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1.39 (0.60-3.25)</w:t>
            </w:r>
          </w:p>
        </w:tc>
        <w:tc>
          <w:tcPr>
            <w:tcW w:w="1115" w:type="dxa"/>
            <w:shd w:val="clear" w:color="auto" w:fill="auto"/>
            <w:hideMark/>
          </w:tcPr>
          <w:p w14:paraId="4C5D376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0.44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2F2284D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63.4%, 26/41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A4E141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0.85 (0.41-1.79)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065080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0.68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0E8B6804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7960EA88" w14:textId="1E3DAF9C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BMI ≥ 30 kg/m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de-DE" w:eastAsia="en-GB"/>
              </w:rPr>
              <w:t>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FF5DD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6126F4D" w14:textId="7968FD8D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29.0%, 9/31</w:t>
            </w:r>
          </w:p>
        </w:tc>
        <w:tc>
          <w:tcPr>
            <w:tcW w:w="1701" w:type="dxa"/>
            <w:shd w:val="clear" w:color="auto" w:fill="auto"/>
            <w:hideMark/>
          </w:tcPr>
          <w:p w14:paraId="5C44953E" w14:textId="06A4C011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0.78 (0.33-1.84)</w:t>
            </w:r>
          </w:p>
        </w:tc>
        <w:tc>
          <w:tcPr>
            <w:tcW w:w="1096" w:type="dxa"/>
            <w:shd w:val="clear" w:color="auto" w:fill="auto"/>
            <w:hideMark/>
          </w:tcPr>
          <w:p w14:paraId="4E1E552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0.56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CB6572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37.5%, 12/32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A3AF2D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1.34 (0.60-3.03)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4282593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0.47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1DA4DD8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40.0%, 16/40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8D47D3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1.49 (0.70-3.12)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AD528C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0.30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7DDB994F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15221AA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CCI ≥3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5864364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64.5%, 20/31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784216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2.01 (0.89-4.52)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430363A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413170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53.1%, 17/32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B67FA3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1.13 (0.52-2.45)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7EF77F5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0.75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77DE6CD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70.7%, 29/41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B01CAA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3.06 (1.43-6.54)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EC8F13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039E0A7D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386270CF" w14:textId="4924A794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Cardiovascular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disease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38E7D0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67.7%, 21/31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C60635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1.73 (0.76-3.96)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18CFF7F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D68A63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56.2%, 18/32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2BD132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0.95 (0.44-2.08)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1A95699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71014B5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77.5%, 31/40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9B4B90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2.96 (1.34-6.54)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52BFD3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68FDB8A1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6105194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Diabetes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BA797A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25.8%, 8/31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771B9D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1.55 (0.62-3.89)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0F3FEB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0.35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1B80A65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21.8%, 7/32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17A90A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1.18 (0.46-3.04)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460D2FB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0.72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02EC446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26.8%, 11/41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D09748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1.75 (0.77-4.01)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EC8D0C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10EE7F10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68A0F8F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Chronic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pulmonary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disease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27CEF7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16.1%, 5/31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DFB246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0.95 (0.33-2.74)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76B09FD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70F202A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18.6%, 6/32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F5DB0F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1.20 (0.44-3.24)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1859DE6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0.72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4AB5C88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29.3%, 12/41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ADA6B8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2.88 (1.22-6.74)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85B483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73289A8D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288D3FD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Chronic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kidney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disease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DD5CE7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6.5% 2/31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E5EF5D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0.38 (0.08-1.72)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C09F29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64ABD77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12.5%, 4/32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F75661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0.88 (0.28-2.80)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45DB52B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0.83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0A01B4D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14.6%, 6/41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E844F7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1.11 (0.41-3.03)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4E93F2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0.84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793659EE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77BDF5D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Chronic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neurological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disease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D8CA15A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12.9%, 4/31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716E3B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1.54 (0.46-5.15)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42AE48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0.49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6C8D20D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15.6%, 5/32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7D31111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2.10 (0.68-6.56)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5E68D83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0.19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773CDAB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12.2%, 5/41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749F01D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1.46 (0.48-4.50)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317201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0.50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2E96AAA1" w14:textId="77777777" w:rsidTr="0045209F">
        <w:trPr>
          <w:trHeight w:val="87"/>
        </w:trPr>
        <w:tc>
          <w:tcPr>
            <w:tcW w:w="2260" w:type="dxa"/>
            <w:shd w:val="clear" w:color="auto" w:fill="auto"/>
            <w:hideMark/>
          </w:tcPr>
          <w:p w14:paraId="217FCE67" w14:textId="436BA13E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Days between symptom onset and admission ≤ 5 days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F1E1A3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59.3%, 16/27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0E1615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2.7 (1.13-6.45)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615F1B0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189C6A4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61.5%, 16/26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3A70F5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2.53 (1.05-6.09)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7B03A69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0.03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561AB49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63.3%, 19/30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598FC91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3.12 (1.36-7.20)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C218FC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270A53D4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651C9F6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IMV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161C261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100%, 31/31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50EEC50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n/a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73099AF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528B1ED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87.5%, 28/32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3E2B1CF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14.62 (4.84-44.30)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1702D0B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620D39D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90.2%, 37/41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3071E77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18.2 (6.61-50.06)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CAB18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72D8C53C" w14:textId="77777777" w:rsidTr="0045209F">
        <w:trPr>
          <w:trHeight w:val="84"/>
        </w:trPr>
        <w:tc>
          <w:tcPr>
            <w:tcW w:w="2260" w:type="dxa"/>
            <w:shd w:val="clear" w:color="auto" w:fill="auto"/>
            <w:hideMark/>
          </w:tcPr>
          <w:p w14:paraId="523EAB2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Long IMV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4939E24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87.1%, 27/31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4CAA53B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2.47 (0.7-8.69)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3D5BA8B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0.14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0063742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89.2%, 25/28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26AEA1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3.13 (0.80-12.29)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5AA213A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0.09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16D89320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83.3%, 30/36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D90DF4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1.67 (0.52-5.30)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9D2B0E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0.38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44F804F2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011387A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Late </w:t>
            </w: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tracheotomy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548116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52.4%, 11/21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18D12A77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0.93 (0.29-3.01)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2B56C816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3B46B7F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57.1%, 12/21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30BDBD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1.33 (0.41-4.33)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18FCA20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0.63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2EE12D8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41.7%, 10/24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0F9D64D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0.35 (0.11-1.21)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4329E8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0.09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351E2177" w14:textId="77777777" w:rsidTr="0045209F">
        <w:trPr>
          <w:trHeight w:val="62"/>
        </w:trPr>
        <w:tc>
          <w:tcPr>
            <w:tcW w:w="2260" w:type="dxa"/>
            <w:shd w:val="clear" w:color="auto" w:fill="auto"/>
            <w:hideMark/>
          </w:tcPr>
          <w:p w14:paraId="0354D26B" w14:textId="3FB40045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Hemo-dialysis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681912E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83.9%, 26/31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24F84048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23.29 (8.14-66)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shd w:val="clear" w:color="auto" w:fill="auto"/>
            <w:hideMark/>
          </w:tcPr>
          <w:p w14:paraId="62C6D263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14:paraId="0081FDB4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68.5%, 22/32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5EE9EC9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8.12 (3.47-19.04)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shd w:val="clear" w:color="auto" w:fill="auto"/>
            <w:hideMark/>
          </w:tcPr>
          <w:p w14:paraId="7E4E47E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shd w:val="clear" w:color="auto" w:fill="auto"/>
            <w:hideMark/>
          </w:tcPr>
          <w:p w14:paraId="1C2A62A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61.0%, 25/41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14:paraId="21181D4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6.07 (2.83-12.10)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5270601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F13BE" w:rsidRPr="00FF5DD7" w14:paraId="34679D02" w14:textId="77777777" w:rsidTr="0045209F">
        <w:trPr>
          <w:trHeight w:val="62"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FF6A88C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lastRenderedPageBreak/>
              <w:t>vvECMO</w:t>
            </w:r>
            <w:proofErr w:type="spellEnd"/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4ACE64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48.4% 15/31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80B8025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17.41 (6.17-49.09)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C3FEE6B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BAA7D0D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34.4%, 11/32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68C3112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5.96 (2.30-15.47)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B432EBF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B65197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19.5%, 8/41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08FFB3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1.96 (0.76-5.07)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EA67F1E" w14:textId="77777777" w:rsidR="0044628D" w:rsidRPr="00FF5DD7" w:rsidRDefault="0044628D" w:rsidP="00FF5DD7">
            <w:pPr>
              <w:keepLines/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0.16</w:t>
            </w:r>
            <w:r w:rsidRPr="00FF5D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05FF19EA" w14:textId="77777777" w:rsidR="0044628D" w:rsidRPr="00FF5DD7" w:rsidRDefault="0044628D" w:rsidP="00FF5DD7">
      <w:pPr>
        <w:spacing w:before="120" w:after="0" w:line="480" w:lineRule="auto"/>
        <w:textAlignment w:val="baseline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uOR</w:t>
      </w:r>
      <w:proofErr w:type="spellEnd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unadjusted Odds Ratio, </w:t>
      </w:r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CI</w:t>
      </w:r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 confidence interval, </w:t>
      </w:r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BMI</w:t>
      </w:r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body mass index, </w:t>
      </w:r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CCI</w:t>
      </w:r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>Charlson</w:t>
      </w:r>
      <w:proofErr w:type="spellEnd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comorbidity index, </w:t>
      </w:r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IMV</w:t>
      </w:r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invasive mechanical ventilation, </w:t>
      </w:r>
      <w:proofErr w:type="spellStart"/>
      <w:r w:rsidRPr="00FF5DD7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vvECMO</w:t>
      </w:r>
      <w:proofErr w:type="spellEnd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</w:t>
      </w:r>
      <w:proofErr w:type="spellStart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>veno</w:t>
      </w:r>
      <w:proofErr w:type="spellEnd"/>
      <w:r w:rsidRPr="00FF5DD7">
        <w:rPr>
          <w:rFonts w:ascii="Times New Roman" w:eastAsia="Times New Roman" w:hAnsi="Times New Roman" w:cs="Times New Roman"/>
          <w:color w:val="000000"/>
          <w:lang w:val="en-US" w:eastAsia="en-GB"/>
        </w:rPr>
        <w:t>-venous extracorporeal membrane oxygenation.</w:t>
      </w:r>
      <w:r w:rsidRPr="00FF5DD7">
        <w:rPr>
          <w:rFonts w:ascii="Times New Roman" w:eastAsia="Times New Roman" w:hAnsi="Times New Roman" w:cs="Times New Roman"/>
          <w:color w:val="000000"/>
          <w:lang w:eastAsia="en-GB"/>
        </w:rPr>
        <w:t> </w:t>
      </w:r>
    </w:p>
    <w:p w14:paraId="7B8565C3" w14:textId="77777777" w:rsidR="00B17727" w:rsidRPr="00FF5DD7" w:rsidRDefault="00B17727" w:rsidP="00FF5DD7">
      <w:pPr>
        <w:spacing w:line="240" w:lineRule="auto"/>
        <w:rPr>
          <w:rFonts w:ascii="Times New Roman" w:hAnsi="Times New Roman" w:cs="Times New Roman"/>
        </w:rPr>
      </w:pPr>
    </w:p>
    <w:sectPr w:rsidR="00B17727" w:rsidRPr="00FF5DD7" w:rsidSect="0044628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8D"/>
    <w:rsid w:val="0044628D"/>
    <w:rsid w:val="0045209F"/>
    <w:rsid w:val="007E3967"/>
    <w:rsid w:val="00B17727"/>
    <w:rsid w:val="00EF13BE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5BA1"/>
  <w15:chartTrackingRefBased/>
  <w15:docId w15:val="{45D78B09-538A-4C77-A803-7EC7DC12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44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Absatz-Standardschriftart"/>
    <w:rsid w:val="0044628D"/>
  </w:style>
  <w:style w:type="character" w:customStyle="1" w:styleId="eop">
    <w:name w:val="eop"/>
    <w:basedOn w:val="Absatz-Standardschriftart"/>
    <w:rsid w:val="00446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0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3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35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3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7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4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81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6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9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6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6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7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8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57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5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6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6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6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0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2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1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5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13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0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69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9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8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55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1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4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9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5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3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4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7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4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0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0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1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2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9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32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0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4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7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07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5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24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4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5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4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4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16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8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2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84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0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0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5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3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9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8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15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5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3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4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7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1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5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0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6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9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8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1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5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5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3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3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5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1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6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5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6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4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7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3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53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8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8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8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61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8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8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5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3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0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7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8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5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9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8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8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5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9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3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9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6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1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0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1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5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2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0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36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8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69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54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8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3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9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8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2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2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4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75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5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17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6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4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3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9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4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8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2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6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89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6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6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1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4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6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7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84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9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0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1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42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9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64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3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helbig.et@gmail.com</dc:creator>
  <cp:keywords/>
  <dc:description/>
  <cp:lastModifiedBy>helbig.et@gmail.com</cp:lastModifiedBy>
  <cp:revision>2</cp:revision>
  <dcterms:created xsi:type="dcterms:W3CDTF">2020-12-21T16:02:00Z</dcterms:created>
  <dcterms:modified xsi:type="dcterms:W3CDTF">2020-12-21T16:02:00Z</dcterms:modified>
</cp:coreProperties>
</file>