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9F486" w14:textId="4F847C9B" w:rsidR="00A17AA6" w:rsidRPr="00A17AA6" w:rsidRDefault="00A17AA6" w:rsidP="00A17AA6">
      <w:pPr>
        <w:spacing w:before="240" w:after="240" w:line="48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E047EF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de-DE"/>
        </w:rPr>
        <w:t>Supplementary table 2</w:t>
      </w:r>
      <w:r w:rsidRPr="00E047EF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: </w:t>
      </w:r>
      <w:r w:rsidRPr="00A17AA6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 xml:space="preserve">Tracheotomy, </w:t>
      </w:r>
      <w:r w:rsidRPr="00A17AA6">
        <w:rPr>
          <w:rFonts w:ascii="Arial" w:eastAsia="Times New Roman" w:hAnsi="Arial" w:cs="Arial"/>
          <w:b/>
          <w:color w:val="000000"/>
          <w:lang w:val="en-US" w:eastAsia="de-DE"/>
        </w:rPr>
        <w:t>vv</w:t>
      </w:r>
      <w:r w:rsidRPr="00A17AA6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>ECMO and hemodialysis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. Percentages </w:t>
      </w:r>
      <w:r w:rsidRPr="00E047EF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and univariate analysis of associated patient factors in ventilated patients. 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Bold indicates statistical significance. </w:t>
      </w:r>
    </w:p>
    <w:tbl>
      <w:tblPr>
        <w:tblW w:w="9204" w:type="dxa"/>
        <w:tblBorders>
          <w:top w:val="single" w:sz="4" w:space="0" w:color="auto"/>
          <w:bottom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8"/>
        <w:gridCol w:w="1099"/>
        <w:gridCol w:w="876"/>
        <w:gridCol w:w="725"/>
        <w:gridCol w:w="1099"/>
        <w:gridCol w:w="876"/>
        <w:gridCol w:w="725"/>
        <w:gridCol w:w="1099"/>
        <w:gridCol w:w="912"/>
        <w:gridCol w:w="725"/>
      </w:tblGrid>
      <w:tr w:rsidR="00A17AA6" w:rsidRPr="00E047EF" w14:paraId="10C31E5A" w14:textId="77777777" w:rsidTr="00A17AA6">
        <w:trPr>
          <w:trHeight w:val="840"/>
        </w:trPr>
        <w:tc>
          <w:tcPr>
            <w:tcW w:w="0" w:type="auto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26907F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82447C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Patients with tracheotomy</w:t>
            </w:r>
          </w:p>
          <w:p w14:paraId="3C8A15B3" w14:textId="77777777" w:rsidR="00A17AA6" w:rsidRPr="00E047EF" w:rsidRDefault="00A17AA6" w:rsidP="00080CE0">
            <w:pPr>
              <w:spacing w:before="24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6F46E7" w14:textId="28DFB339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Patients on vvECMO</w:t>
            </w:r>
            <w:r w:rsidR="004B0E2E" w:rsidRPr="004B0E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  <w:lang w:eastAsia="de-DE"/>
              </w:rPr>
              <w:t>a</w:t>
            </w:r>
          </w:p>
        </w:tc>
        <w:tc>
          <w:tcPr>
            <w:tcW w:w="2786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FFBB58" w14:textId="7967E8B2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Patients on hemodialysis</w:t>
            </w:r>
            <w:ins w:id="0" w:author="Thibeault, Charlotte" w:date="2021-01-30T20:52:00Z">
              <w:r w:rsidR="00E650B5">
                <w:rPr>
                  <w:rFonts w:ascii="Arial" w:eastAsia="Times New Roman" w:hAnsi="Arial" w:cs="Arial"/>
                  <w:b/>
                  <w:bCs/>
                  <w:color w:val="000000"/>
                  <w:sz w:val="16"/>
                  <w:szCs w:val="16"/>
                  <w:lang w:eastAsia="de-DE"/>
                </w:rPr>
                <w:t>*</w:t>
              </w:r>
            </w:ins>
          </w:p>
        </w:tc>
      </w:tr>
      <w:tr w:rsidR="00A17AA6" w:rsidRPr="00E047EF" w14:paraId="18420847" w14:textId="77777777" w:rsidTr="00A17AA6">
        <w:trPr>
          <w:trHeight w:val="600"/>
        </w:trPr>
        <w:tc>
          <w:tcPr>
            <w:tcW w:w="0" w:type="auto"/>
            <w:vMerge/>
            <w:vAlign w:val="center"/>
            <w:hideMark/>
          </w:tcPr>
          <w:p w14:paraId="28700E15" w14:textId="77777777" w:rsidR="00A17AA6" w:rsidRPr="00E047EF" w:rsidRDefault="00A17AA6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D8F59F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percentage, n/ available N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53C53B" w14:textId="12F0F7EA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uOR</w:t>
            </w:r>
            <w:r w:rsidR="004B0E2E" w:rsidRPr="004B0E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  <w:lang w:eastAsia="de-DE"/>
              </w:rPr>
              <w:t>b</w:t>
            </w:r>
            <w:r w:rsidRPr="004B0E2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  <w:lang w:eastAsia="de-DE"/>
              </w:rPr>
              <w:t xml:space="preserve"> </w:t>
            </w: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(95% CI</w:t>
            </w:r>
            <w:r w:rsidR="000E6E76" w:rsidRPr="000E6E7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  <w:lang w:eastAsia="de-DE"/>
              </w:rPr>
              <w:t>c</w:t>
            </w: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C234A3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p-</w:t>
            </w:r>
          </w:p>
          <w:p w14:paraId="6C6A20A3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value</w:t>
            </w:r>
          </w:p>
          <w:p w14:paraId="3E72FBBC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chi-</w:t>
            </w:r>
          </w:p>
          <w:p w14:paraId="5C303223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square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00568F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percentage, n/ available N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0590BA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uOR (95% CI)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8E152D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p-</w:t>
            </w:r>
          </w:p>
          <w:p w14:paraId="3DCF1E83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value</w:t>
            </w:r>
          </w:p>
          <w:p w14:paraId="4DD26626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chi-</w:t>
            </w:r>
          </w:p>
          <w:p w14:paraId="1BA5A27D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square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57515A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percentage, n/ available N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</w:t>
            </w: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D8CF85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uOR (95% CI)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9E1BC0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p-</w:t>
            </w:r>
          </w:p>
          <w:p w14:paraId="609B6718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value</w:t>
            </w:r>
          </w:p>
          <w:p w14:paraId="44CEF576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chi-</w:t>
            </w:r>
          </w:p>
          <w:p w14:paraId="52AB7F5E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square</w:t>
            </w:r>
          </w:p>
        </w:tc>
      </w:tr>
      <w:tr w:rsidR="00A17AA6" w:rsidRPr="00E047EF" w14:paraId="6CB2ACC0" w14:textId="77777777" w:rsidTr="00A17AA6">
        <w:trPr>
          <w:trHeight w:val="60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443814" w14:textId="77777777" w:rsidR="00A17AA6" w:rsidRPr="00E047EF" w:rsidRDefault="00A17AA6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281828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62.9%, 44/70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33758C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314C7B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4FF59C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31.0%, 22/71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8E1CDD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F63728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AED087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66.2%, 47/71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827A1A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92ED9F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</w:tr>
      <w:tr w:rsidR="00A17AA6" w:rsidRPr="00E047EF" w14:paraId="3E020B5E" w14:textId="77777777" w:rsidTr="00A17AA6">
        <w:trPr>
          <w:trHeight w:val="60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9A203D" w14:textId="77777777" w:rsidR="00A17AA6" w:rsidRPr="00E047EF" w:rsidRDefault="00A17AA6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18-59 years</w:t>
            </w:r>
          </w:p>
        </w:tc>
        <w:tc>
          <w:tcPr>
            <w:tcW w:w="0" w:type="auto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D37996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18.2%, 8/44</w:t>
            </w:r>
          </w:p>
        </w:tc>
        <w:tc>
          <w:tcPr>
            <w:tcW w:w="0" w:type="auto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EC3687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reference</w:t>
            </w:r>
          </w:p>
        </w:tc>
        <w:tc>
          <w:tcPr>
            <w:tcW w:w="0" w:type="auto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F49403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DF0F0E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63.6%, 14/22</w:t>
            </w:r>
          </w:p>
        </w:tc>
        <w:tc>
          <w:tcPr>
            <w:tcW w:w="0" w:type="auto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516F5E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reference</w:t>
            </w:r>
          </w:p>
        </w:tc>
        <w:tc>
          <w:tcPr>
            <w:tcW w:w="0" w:type="auto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2A367A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78AB2D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31.9%, 15/47</w:t>
            </w:r>
          </w:p>
        </w:tc>
        <w:tc>
          <w:tcPr>
            <w:tcW w:w="0" w:type="auto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4BDAC8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reference</w:t>
            </w:r>
          </w:p>
        </w:tc>
        <w:tc>
          <w:tcPr>
            <w:tcW w:w="852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14E0D4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</w:tr>
      <w:tr w:rsidR="00A17AA6" w:rsidRPr="00E047EF" w14:paraId="76FB13DD" w14:textId="77777777" w:rsidTr="00A17AA6">
        <w:trPr>
          <w:trHeight w:val="84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7AF3A1" w14:textId="77777777" w:rsidR="00A17AA6" w:rsidRPr="00E047EF" w:rsidRDefault="00A17AA6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60-69 years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E16990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29.5%, 13/44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9B9FBE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0.99 (0.32-3.16)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4BFB1D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0.99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ED5F20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18.2%, 4/22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67356E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0.29</w:t>
            </w:r>
          </w:p>
          <w:p w14:paraId="05797888" w14:textId="77777777" w:rsidR="00A17AA6" w:rsidRPr="00E047EF" w:rsidRDefault="00A17AA6" w:rsidP="00080CE0">
            <w:pPr>
              <w:spacing w:before="24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(0.07-0.88)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11BC65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0.02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753100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36.2%, 17/47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E5C3B0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3.17</w:t>
            </w:r>
          </w:p>
          <w:p w14:paraId="069105FE" w14:textId="77777777" w:rsidR="00A17AA6" w:rsidRPr="00E047EF" w:rsidRDefault="00A17AA6" w:rsidP="00080CE0">
            <w:pPr>
              <w:spacing w:before="24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(0.92-10.91)</w:t>
            </w:r>
          </w:p>
        </w:tc>
        <w:tc>
          <w:tcPr>
            <w:tcW w:w="8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9F8697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0.06</w:t>
            </w:r>
          </w:p>
        </w:tc>
      </w:tr>
      <w:tr w:rsidR="00A17AA6" w:rsidRPr="00E047EF" w14:paraId="136B16A0" w14:textId="77777777" w:rsidTr="00A17AA6">
        <w:trPr>
          <w:trHeight w:val="84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35EA4B" w14:textId="77777777" w:rsidR="00A17AA6" w:rsidRPr="00E047EF" w:rsidRDefault="00A17AA6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70-79 years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69ED07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25.0%, 11/44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B6FEB6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2.24 (0.51-9.84)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564570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0.28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B2B1CE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18.2%, 4/22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5BF6B1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0.43</w:t>
            </w:r>
          </w:p>
          <w:p w14:paraId="7613A962" w14:textId="77777777" w:rsidR="00A17AA6" w:rsidRPr="00E047EF" w:rsidRDefault="00A17AA6" w:rsidP="00080CE0">
            <w:pPr>
              <w:spacing w:before="24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(0.11-1.69)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560092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0.21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60D780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23.4%, 11/47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382A15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3.42</w:t>
            </w:r>
          </w:p>
          <w:p w14:paraId="70B346A3" w14:textId="77777777" w:rsidR="00A17AA6" w:rsidRPr="00E047EF" w:rsidRDefault="00A17AA6" w:rsidP="00080CE0">
            <w:pPr>
              <w:spacing w:before="24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(0.79-14.89)</w:t>
            </w:r>
          </w:p>
        </w:tc>
        <w:tc>
          <w:tcPr>
            <w:tcW w:w="8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A9C158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0.08</w:t>
            </w:r>
          </w:p>
        </w:tc>
      </w:tr>
      <w:tr w:rsidR="00A17AA6" w:rsidRPr="00E047EF" w14:paraId="56051365" w14:textId="77777777" w:rsidTr="00A17AA6">
        <w:trPr>
          <w:trHeight w:val="84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4FC0CF" w14:textId="77777777" w:rsidR="00A17AA6" w:rsidRPr="00E047EF" w:rsidRDefault="00A17AA6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≥ 80 years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A48005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4.5%, 2/44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D009D8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0.31 (0.05-1.95)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168EFE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0.20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7872D9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DAE119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FA55FF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C1F048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8.5%, 4/47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2BA90F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1.87</w:t>
            </w:r>
          </w:p>
          <w:p w14:paraId="7A019969" w14:textId="77777777" w:rsidR="00A17AA6" w:rsidRPr="00E047EF" w:rsidRDefault="00A17AA6" w:rsidP="00080CE0">
            <w:pPr>
              <w:spacing w:before="24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(0.29-11.84)</w:t>
            </w:r>
          </w:p>
        </w:tc>
        <w:tc>
          <w:tcPr>
            <w:tcW w:w="8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673FBE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0.50</w:t>
            </w:r>
          </w:p>
        </w:tc>
      </w:tr>
      <w:tr w:rsidR="00A17AA6" w:rsidRPr="00E047EF" w14:paraId="3B905F0B" w14:textId="77777777" w:rsidTr="00A17AA6">
        <w:trPr>
          <w:trHeight w:val="84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C5EC73" w14:textId="77777777" w:rsidR="00A17AA6" w:rsidRPr="00E047EF" w:rsidRDefault="00A17AA6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Male gender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0CBAB1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72.7%, 32/44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62D3A4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1.19 (0.41-3.44)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5E3562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0.75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32E5A3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77.3%, 17/22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A093ED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1.65</w:t>
            </w:r>
          </w:p>
          <w:p w14:paraId="7757D2B8" w14:textId="77777777" w:rsidR="00A17AA6" w:rsidRPr="00E047EF" w:rsidRDefault="00A17AA6" w:rsidP="00080CE0">
            <w:pPr>
              <w:spacing w:before="24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(0.52-5.27)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3BE50F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0.39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CF7958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78.7%, 37/47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6EF96A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3.13</w:t>
            </w:r>
          </w:p>
          <w:p w14:paraId="1563262F" w14:textId="77777777" w:rsidR="00A17AA6" w:rsidRPr="00E047EF" w:rsidRDefault="00A17AA6" w:rsidP="00080CE0">
            <w:pPr>
              <w:spacing w:before="24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(1.08-9.08)</w:t>
            </w:r>
          </w:p>
        </w:tc>
        <w:tc>
          <w:tcPr>
            <w:tcW w:w="8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BCA847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0.03</w:t>
            </w:r>
          </w:p>
        </w:tc>
      </w:tr>
      <w:tr w:rsidR="00A17AA6" w:rsidRPr="00E047EF" w14:paraId="273CCF8B" w14:textId="77777777" w:rsidTr="00A17AA6">
        <w:trPr>
          <w:trHeight w:val="84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9B0C21" w14:textId="41637DFC" w:rsidR="00A17AA6" w:rsidRPr="00E047EF" w:rsidRDefault="00A17AA6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lastRenderedPageBreak/>
              <w:t>BMI</w:t>
            </w:r>
            <w:r w:rsidR="000E6E76" w:rsidRPr="000E6E76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de-DE"/>
              </w:rPr>
              <w:t>d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≥ 30 kg/m</w:t>
            </w:r>
            <w:r w:rsidRPr="00E047EF">
              <w:rPr>
                <w:rFonts w:ascii="Arial" w:eastAsia="Times New Roman" w:hAnsi="Arial" w:cs="Arial"/>
                <w:color w:val="000000"/>
                <w:sz w:val="10"/>
                <w:szCs w:val="10"/>
                <w:vertAlign w:val="superscript"/>
                <w:lang w:eastAsia="de-DE"/>
              </w:rPr>
              <w:t>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2D0D60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36.4%, 16/44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670F58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0.75 (0.28-2.06)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C452EC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0.58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AE0B2A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31.8%, 7/22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EF3C86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0.63</w:t>
            </w:r>
          </w:p>
          <w:p w14:paraId="1BF1BAAC" w14:textId="77777777" w:rsidR="00A17AA6" w:rsidRPr="00E047EF" w:rsidRDefault="00A17AA6" w:rsidP="00080CE0">
            <w:pPr>
              <w:spacing w:before="24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(0.22-1.83)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9311BB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0.39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1C0414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42.6%, 20/47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D5689B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1.59</w:t>
            </w:r>
          </w:p>
          <w:p w14:paraId="4B1AC704" w14:textId="77777777" w:rsidR="00A17AA6" w:rsidRPr="00E047EF" w:rsidRDefault="00A17AA6" w:rsidP="00080CE0">
            <w:pPr>
              <w:spacing w:before="24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(0.55-4.62)</w:t>
            </w:r>
          </w:p>
        </w:tc>
        <w:tc>
          <w:tcPr>
            <w:tcW w:w="8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51D3F2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0.40</w:t>
            </w:r>
          </w:p>
        </w:tc>
      </w:tr>
      <w:tr w:rsidR="00A17AA6" w:rsidRPr="00E047EF" w14:paraId="237945EB" w14:textId="77777777" w:rsidTr="00A17AA6">
        <w:trPr>
          <w:trHeight w:val="84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F2DF29" w14:textId="7262D0BF" w:rsidR="00A17AA6" w:rsidRPr="00E047EF" w:rsidRDefault="00A17AA6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CCI</w:t>
            </w:r>
            <w:r w:rsidR="00F453C8" w:rsidRPr="00F453C8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de-DE"/>
              </w:rPr>
              <w:t>e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≥3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6815AB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56.8%, 25/44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13F892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0.82 (0.31-2.21)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33BC66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0.70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CF7A35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40.9%, 9/22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902556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0.34</w:t>
            </w:r>
          </w:p>
          <w:p w14:paraId="54F5252A" w14:textId="77777777" w:rsidR="00A17AA6" w:rsidRPr="00E047EF" w:rsidRDefault="00A17AA6" w:rsidP="00080CE0">
            <w:pPr>
              <w:spacing w:before="24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(0.12-0.95)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9F9CB0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0.04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4B0360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70.2%, 33/47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CD41E1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3.93</w:t>
            </w:r>
          </w:p>
          <w:p w14:paraId="526543EE" w14:textId="77777777" w:rsidR="00A17AA6" w:rsidRPr="00E047EF" w:rsidRDefault="00A17AA6" w:rsidP="00080CE0">
            <w:pPr>
              <w:spacing w:before="24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(1.39-11.07)</w:t>
            </w:r>
          </w:p>
        </w:tc>
        <w:tc>
          <w:tcPr>
            <w:tcW w:w="8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EBF095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&lt;0.01</w:t>
            </w:r>
          </w:p>
        </w:tc>
      </w:tr>
      <w:tr w:rsidR="00A17AA6" w:rsidRPr="00E047EF" w14:paraId="590CA9B3" w14:textId="77777777" w:rsidTr="00A17AA6">
        <w:trPr>
          <w:trHeight w:val="84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7C0E47" w14:textId="77777777" w:rsidR="00A17AA6" w:rsidRPr="00E047EF" w:rsidRDefault="00A17AA6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Cardiovascular disease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3CA5B0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61.4%, 27/44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AD405B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0.59 (0.20-1.70)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8AC0CC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0.32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130E80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59.1%, 13/22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202DC6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0.64</w:t>
            </w:r>
          </w:p>
          <w:p w14:paraId="4F88E6A3" w14:textId="77777777" w:rsidR="00A17AA6" w:rsidRPr="00E047EF" w:rsidRDefault="00A17AA6" w:rsidP="00080CE0">
            <w:pPr>
              <w:spacing w:before="24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(0.22-1.81)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04CFA9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0.04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9F5512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74.5%, 35/47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8F62BE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2.92</w:t>
            </w:r>
          </w:p>
          <w:p w14:paraId="0BCBC647" w14:textId="77777777" w:rsidR="00A17AA6" w:rsidRPr="00E047EF" w:rsidRDefault="00A17AA6" w:rsidP="00080CE0">
            <w:pPr>
              <w:spacing w:before="24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(1.04-8.21)</w:t>
            </w:r>
          </w:p>
        </w:tc>
        <w:tc>
          <w:tcPr>
            <w:tcW w:w="8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824E90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0.04</w:t>
            </w:r>
          </w:p>
        </w:tc>
      </w:tr>
      <w:tr w:rsidR="00A17AA6" w:rsidRPr="00E047EF" w14:paraId="40A9CE2A" w14:textId="77777777" w:rsidTr="00A17AA6">
        <w:trPr>
          <w:trHeight w:val="84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D72B7E" w14:textId="77777777" w:rsidR="00A17AA6" w:rsidRPr="00E047EF" w:rsidRDefault="00A17AA6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Diabetes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AC5717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27.3%, 12/44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95F0CA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1.57 (0.48-5.12)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432A49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0.45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B9EF24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22.7%, 5/22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17F509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0.91</w:t>
            </w:r>
          </w:p>
          <w:p w14:paraId="6C2017E5" w14:textId="77777777" w:rsidR="00A17AA6" w:rsidRPr="00E047EF" w:rsidRDefault="00A17AA6" w:rsidP="00080CE0">
            <w:pPr>
              <w:spacing w:before="24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(0.28-2.98)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41A88A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0.87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EB7E24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27.7%, 13/47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52F3E9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1.91</w:t>
            </w:r>
          </w:p>
          <w:p w14:paraId="3163FA67" w14:textId="77777777" w:rsidR="00A17AA6" w:rsidRPr="00E047EF" w:rsidRDefault="00A17AA6" w:rsidP="00080CE0">
            <w:pPr>
              <w:spacing w:before="24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(0.55-6.67)</w:t>
            </w:r>
          </w:p>
        </w:tc>
        <w:tc>
          <w:tcPr>
            <w:tcW w:w="8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8A0334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0.29</w:t>
            </w:r>
          </w:p>
        </w:tc>
      </w:tr>
      <w:tr w:rsidR="00A17AA6" w:rsidRPr="00E047EF" w14:paraId="0681DA56" w14:textId="77777777" w:rsidTr="00A17AA6">
        <w:trPr>
          <w:trHeight w:val="84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56E6CA" w14:textId="77777777" w:rsidR="00A17AA6" w:rsidRPr="00E047EF" w:rsidRDefault="00A17AA6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Chronic pulmonary disease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E0C2CE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18.2%, 8/44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9E1022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0.74 (0.23-2.44)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DDC423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0.62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BA601D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18.2%, 4/22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05F381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0.77</w:t>
            </w:r>
          </w:p>
          <w:p w14:paraId="7A5B73D3" w14:textId="77777777" w:rsidR="00A17AA6" w:rsidRPr="00E047EF" w:rsidRDefault="00A17AA6" w:rsidP="00080CE0">
            <w:pPr>
              <w:spacing w:before="24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(0.21-2.75)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776F4C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0.69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F58402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27.7%, 13/47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D632EB" w14:textId="77777777" w:rsidR="00A17AA6" w:rsidRPr="005630E9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630E9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de-DE"/>
              </w:rPr>
              <w:t>4.21</w:t>
            </w:r>
          </w:p>
          <w:p w14:paraId="0A6C3452" w14:textId="77777777" w:rsidR="00A17AA6" w:rsidRPr="005630E9" w:rsidRDefault="00A17AA6" w:rsidP="00080CE0">
            <w:pPr>
              <w:spacing w:before="24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630E9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de-DE"/>
              </w:rPr>
              <w:t>(0.86-20.47)</w:t>
            </w:r>
          </w:p>
        </w:tc>
        <w:tc>
          <w:tcPr>
            <w:tcW w:w="8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1FE42F" w14:textId="789CBA8F" w:rsidR="00A17AA6" w:rsidRPr="005630E9" w:rsidRDefault="005630E9" w:rsidP="00080CE0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5630E9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0.06</w:t>
            </w:r>
          </w:p>
        </w:tc>
      </w:tr>
      <w:tr w:rsidR="00A17AA6" w:rsidRPr="00E047EF" w14:paraId="51615297" w14:textId="77777777" w:rsidTr="00A17AA6">
        <w:trPr>
          <w:trHeight w:val="84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A1C113" w14:textId="77777777" w:rsidR="00A17AA6" w:rsidRPr="00E047EF" w:rsidRDefault="00A17AA6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Chronic kidney disease</w:t>
            </w:r>
          </w:p>
          <w:p w14:paraId="5E78D9B5" w14:textId="77777777" w:rsidR="00A17AA6" w:rsidRPr="00E047EF" w:rsidRDefault="00A17AA6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44CC7E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11.4%, 5/44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65F283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3.20</w:t>
            </w:r>
          </w:p>
          <w:p w14:paraId="69156547" w14:textId="77777777" w:rsidR="00A17AA6" w:rsidRPr="00E047EF" w:rsidRDefault="00A17AA6" w:rsidP="00080CE0">
            <w:pPr>
              <w:spacing w:before="24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(0.35-29.07)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DB3EE3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0.28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089276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9.1%, 2/22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E7866B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1.13</w:t>
            </w:r>
          </w:p>
          <w:p w14:paraId="2E1C90A3" w14:textId="77777777" w:rsidR="00A17AA6" w:rsidRPr="00E047EF" w:rsidRDefault="00A17AA6" w:rsidP="00080CE0">
            <w:pPr>
              <w:spacing w:before="24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(0.19-6.65)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E587EC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0.90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9C1FE2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14.6%, 6/41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7FEEF3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Not calculable</w:t>
            </w:r>
          </w:p>
        </w:tc>
        <w:tc>
          <w:tcPr>
            <w:tcW w:w="8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FED5EA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0.02</w:t>
            </w:r>
          </w:p>
        </w:tc>
      </w:tr>
      <w:tr w:rsidR="00A17AA6" w:rsidRPr="00E047EF" w14:paraId="48B7625E" w14:textId="77777777" w:rsidTr="00A17AA6">
        <w:trPr>
          <w:trHeight w:val="123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AA49DE" w14:textId="77777777" w:rsidR="00A17AA6" w:rsidRPr="00E047EF" w:rsidRDefault="00A17AA6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Chronic neurological disease</w:t>
            </w:r>
          </w:p>
          <w:p w14:paraId="28E0896A" w14:textId="77777777" w:rsidR="00A17AA6" w:rsidRPr="00E047EF" w:rsidRDefault="00A17AA6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047116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6.8%, 3/44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734111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0.56 (0.10-3.00)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940E7B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0.50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FC4E57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4.8%, 1/21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56284A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0.29</w:t>
            </w:r>
          </w:p>
          <w:p w14:paraId="6A5459B3" w14:textId="77777777" w:rsidR="00A17AA6" w:rsidRPr="00E047EF" w:rsidRDefault="00A17AA6" w:rsidP="00080CE0">
            <w:pPr>
              <w:spacing w:before="24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(0.03-2.53)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02186C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0.02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6FAC66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10.8%, 4/37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356B45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0.85</w:t>
            </w:r>
          </w:p>
          <w:p w14:paraId="7F6101F7" w14:textId="77777777" w:rsidR="00A17AA6" w:rsidRPr="00E047EF" w:rsidRDefault="00A17AA6" w:rsidP="00080CE0">
            <w:pPr>
              <w:spacing w:before="240"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(0.17-4.18)</w:t>
            </w:r>
          </w:p>
        </w:tc>
        <w:tc>
          <w:tcPr>
            <w:tcW w:w="8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956102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0.84</w:t>
            </w:r>
          </w:p>
        </w:tc>
      </w:tr>
      <w:tr w:rsidR="00A17AA6" w:rsidRPr="00E047EF" w14:paraId="6F441B90" w14:textId="77777777" w:rsidTr="00A17AA6">
        <w:trPr>
          <w:trHeight w:val="166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45856B" w14:textId="77777777" w:rsidR="00A17AA6" w:rsidRPr="00E047EF" w:rsidRDefault="00A17AA6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Days between symptom onset and admission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br/>
              <w:t>≤ 5 days</w:t>
            </w:r>
          </w:p>
          <w:p w14:paraId="0C1C2879" w14:textId="77777777" w:rsidR="00A17AA6" w:rsidRPr="00E047EF" w:rsidRDefault="00A17AA6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497230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64.9%, 24/37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AE792D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2.03 (0.68-6.04)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6B6FBD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0.20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AA8EEF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65.0%, 13/20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3A4888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3.37 (1.24-9.17)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FD5DDB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0.01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0642E0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60.0%, 24/40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403437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3.33 (1.53-7.26)</w:t>
            </w:r>
          </w:p>
        </w:tc>
        <w:tc>
          <w:tcPr>
            <w:tcW w:w="8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1FD53B" w14:textId="77777777" w:rsidR="00A17AA6" w:rsidRPr="00E047EF" w:rsidRDefault="00A17AA6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&lt;0.01</w:t>
            </w:r>
          </w:p>
        </w:tc>
      </w:tr>
    </w:tbl>
    <w:p w14:paraId="7AAE00B8" w14:textId="77777777" w:rsidR="00F453C8" w:rsidRPr="00F453C8" w:rsidRDefault="000E6E76" w:rsidP="00F453C8">
      <w:pPr>
        <w:pStyle w:val="Listenabsatz"/>
        <w:numPr>
          <w:ilvl w:val="0"/>
          <w:numId w:val="1"/>
        </w:numPr>
        <w:spacing w:before="360" w:after="80" w:line="480" w:lineRule="auto"/>
        <w:jc w:val="both"/>
        <w:rPr>
          <w:lang w:val="fr-FR"/>
        </w:rPr>
      </w:pPr>
      <w:r w:rsidRPr="00F453C8">
        <w:rPr>
          <w:rFonts w:ascii="Arial" w:eastAsia="Times New Roman" w:hAnsi="Arial" w:cs="Arial"/>
          <w:color w:val="000000"/>
          <w:lang w:val="en-US" w:eastAsia="de-DE"/>
        </w:rPr>
        <w:t>vv</w:t>
      </w:r>
      <w:r w:rsidRPr="00F453C8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ECMO – veno-venous extra corporeal membrane oxygenation, </w:t>
      </w:r>
    </w:p>
    <w:p w14:paraId="5C349A01" w14:textId="77777777" w:rsidR="00F453C8" w:rsidRPr="00F453C8" w:rsidRDefault="000E6E76" w:rsidP="00F453C8">
      <w:pPr>
        <w:pStyle w:val="Listenabsatz"/>
        <w:numPr>
          <w:ilvl w:val="0"/>
          <w:numId w:val="1"/>
        </w:numPr>
        <w:spacing w:before="360" w:after="80" w:line="480" w:lineRule="auto"/>
        <w:jc w:val="both"/>
        <w:rPr>
          <w:lang w:val="fr-FR"/>
        </w:rPr>
      </w:pPr>
      <w:r w:rsidRPr="00F453C8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lastRenderedPageBreak/>
        <w:t>uOR – unadjusted Odds Ratio</w:t>
      </w:r>
    </w:p>
    <w:p w14:paraId="6EDE2FC7" w14:textId="77777777" w:rsidR="00F453C8" w:rsidRPr="00F453C8" w:rsidRDefault="000E6E76" w:rsidP="00F453C8">
      <w:pPr>
        <w:pStyle w:val="Listenabsatz"/>
        <w:numPr>
          <w:ilvl w:val="0"/>
          <w:numId w:val="1"/>
        </w:numPr>
        <w:spacing w:before="360" w:after="80" w:line="480" w:lineRule="auto"/>
        <w:jc w:val="both"/>
        <w:rPr>
          <w:lang w:val="fr-FR"/>
        </w:rPr>
      </w:pPr>
      <w:r w:rsidRPr="00F453C8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CI – confidence interval</w:t>
      </w:r>
    </w:p>
    <w:p w14:paraId="49C53C1D" w14:textId="77777777" w:rsidR="00F453C8" w:rsidRPr="00F453C8" w:rsidRDefault="000E6E76" w:rsidP="00F453C8">
      <w:pPr>
        <w:pStyle w:val="Listenabsatz"/>
        <w:numPr>
          <w:ilvl w:val="0"/>
          <w:numId w:val="1"/>
        </w:numPr>
        <w:spacing w:before="360" w:after="80" w:line="480" w:lineRule="auto"/>
        <w:jc w:val="both"/>
        <w:rPr>
          <w:lang w:val="fr-FR"/>
        </w:rPr>
      </w:pPr>
      <w:r w:rsidRPr="00F453C8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BMI – body mass index</w:t>
      </w:r>
    </w:p>
    <w:p w14:paraId="02E36589" w14:textId="06383712" w:rsidR="00E65673" w:rsidRPr="007A5273" w:rsidRDefault="000E6E76" w:rsidP="00E65673">
      <w:pPr>
        <w:pStyle w:val="Listenabsatz"/>
        <w:numPr>
          <w:ilvl w:val="0"/>
          <w:numId w:val="1"/>
        </w:numPr>
        <w:spacing w:before="360" w:after="80" w:line="480" w:lineRule="auto"/>
        <w:jc w:val="both"/>
        <w:rPr>
          <w:lang w:val="fr-FR"/>
        </w:rPr>
      </w:pPr>
      <w:r w:rsidRPr="00F453C8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CCI – Charlson comorbidity index. </w:t>
      </w:r>
    </w:p>
    <w:p w14:paraId="35A5504F" w14:textId="6122AE33" w:rsidR="00E65673" w:rsidRPr="007A5273" w:rsidRDefault="00E65673" w:rsidP="00E65673">
      <w:pPr>
        <w:spacing w:before="360" w:after="80" w:line="48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7A5273">
        <w:rPr>
          <w:rFonts w:ascii="Arial" w:hAnsi="Arial" w:cs="Arial"/>
          <w:sz w:val="24"/>
          <w:szCs w:val="24"/>
          <w:lang w:val="fr-FR"/>
        </w:rPr>
        <w:t>*</w:t>
      </w:r>
      <w:r w:rsidRPr="007A5273">
        <w:rPr>
          <w:rFonts w:ascii="Arial" w:hAnsi="Arial" w:cs="Arial"/>
          <w:sz w:val="24"/>
          <w:szCs w:val="24"/>
          <w:lang w:val="fr-FR"/>
        </w:rPr>
        <w:t xml:space="preserve"> </w:t>
      </w:r>
      <w:ins w:id="1" w:author="Thibeault, Charlotte" w:date="2021-01-30T20:53:00Z">
        <w:r w:rsidRPr="007A5273">
          <w:rPr>
            <w:rFonts w:ascii="Arial" w:hAnsi="Arial" w:cs="Arial"/>
            <w:color w:val="000000"/>
            <w:sz w:val="24"/>
            <w:szCs w:val="24"/>
          </w:rPr>
          <w:t>Most common primary indications for initiation of hemodialysis in our cohort were anuria in 31.4% (16/51) and hyperpotassemia in 23.5% (12/51).</w:t>
        </w:r>
      </w:ins>
    </w:p>
    <w:sectPr w:rsidR="00E65673" w:rsidRPr="007A52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EA23FC"/>
    <w:multiLevelType w:val="hybridMultilevel"/>
    <w:tmpl w:val="847AD36E"/>
    <w:lvl w:ilvl="0" w:tplc="E228AC3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bCs/>
        <w:color w:val="00000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Thibeault, Charlotte">
    <w15:presenceInfo w15:providerId="AD" w15:userId="S::charlotte.thibeault@charite.de::f3ec046c-b902-4109-8911-a9d727dd7f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AA6"/>
    <w:rsid w:val="00015D04"/>
    <w:rsid w:val="00055A6E"/>
    <w:rsid w:val="000E6E76"/>
    <w:rsid w:val="00423062"/>
    <w:rsid w:val="004B0E2E"/>
    <w:rsid w:val="005630E9"/>
    <w:rsid w:val="00762CAC"/>
    <w:rsid w:val="007A5273"/>
    <w:rsid w:val="00834736"/>
    <w:rsid w:val="00A17AA6"/>
    <w:rsid w:val="00D3554E"/>
    <w:rsid w:val="00E650B5"/>
    <w:rsid w:val="00E65673"/>
    <w:rsid w:val="00F4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55AEB"/>
  <w15:chartTrackingRefBased/>
  <w15:docId w15:val="{1E131213-1B7E-4DAD-8C65-8A82A58BE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7AA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453C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50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50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A34C7845C88B4589819AB139DE35DD" ma:contentTypeVersion="12" ma:contentTypeDescription="Create a new document." ma:contentTypeScope="" ma:versionID="a1b38ead60b07da0ab03071743ac19b6">
  <xsd:schema xmlns:xsd="http://www.w3.org/2001/XMLSchema" xmlns:xs="http://www.w3.org/2001/XMLSchema" xmlns:p="http://schemas.microsoft.com/office/2006/metadata/properties" xmlns:ns3="d0d5103c-b90a-4a38-b610-628dbca45d0e" xmlns:ns4="63bc265c-ce59-4c31-a2a5-336a7fcf9d48" targetNamespace="http://schemas.microsoft.com/office/2006/metadata/properties" ma:root="true" ma:fieldsID="08056e40e2b9b3668923f2c156ec064c" ns3:_="" ns4:_="">
    <xsd:import namespace="d0d5103c-b90a-4a38-b610-628dbca45d0e"/>
    <xsd:import namespace="63bc265c-ce59-4c31-a2a5-336a7fcf9d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d5103c-b90a-4a38-b610-628dbca45d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bc265c-ce59-4c31-a2a5-336a7fcf9d4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7E3973-92CC-450D-B76C-A14D48390F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d5103c-b90a-4a38-b610-628dbca45d0e"/>
    <ds:schemaRef ds:uri="63bc265c-ce59-4c31-a2a5-336a7fcf9d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589AB0-2F64-4FA3-B326-F3CFA30D6A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D3F09C-66F8-4B5E-9CB8-E7BF062C398B}">
  <ds:schemaRefs>
    <ds:schemaRef ds:uri="63bc265c-ce59-4c31-a2a5-336a7fcf9d48"/>
    <ds:schemaRef ds:uri="http://schemas.microsoft.com/office/2006/documentManagement/types"/>
    <ds:schemaRef ds:uri="http://schemas.microsoft.com/office/2006/metadata/properties"/>
    <ds:schemaRef ds:uri="http://purl.org/dc/dcmitype/"/>
    <ds:schemaRef ds:uri="d0d5103c-b90a-4a38-b610-628dbca45d0e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327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Thibeault, Charlotte</dc:creator>
  <cp:keywords/>
  <dc:description/>
  <cp:lastModifiedBy>Thibeault, Charlotte</cp:lastModifiedBy>
  <cp:revision>6</cp:revision>
  <dcterms:created xsi:type="dcterms:W3CDTF">2021-01-30T19:51:00Z</dcterms:created>
  <dcterms:modified xsi:type="dcterms:W3CDTF">2021-01-30T19:55:00Z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0x010100E4A34C7845C88B4589819AB139DE35DD</vt:lpwstr>
  </property>
</Properties>
</file>