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4B4CA" w14:textId="5B978C65" w:rsidR="00BD464E" w:rsidRPr="00BD464E" w:rsidRDefault="00BD464E" w:rsidP="00BD464E">
      <w:pPr>
        <w:spacing w:before="240" w:after="240" w:line="48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E047EF">
        <w:rPr>
          <w:rFonts w:ascii="Arial" w:eastAsia="Times New Roman" w:hAnsi="Arial" w:cs="Arial"/>
          <w:b/>
          <w:bCs/>
          <w:color w:val="000000"/>
          <w:lang w:val="en-US" w:eastAsia="de-DE"/>
        </w:rPr>
        <w:t>Supplementary table 1:</w:t>
      </w:r>
      <w:r w:rsidRPr="00E047EF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Pr="00BD464E">
        <w:rPr>
          <w:rFonts w:ascii="Arial" w:eastAsia="Times New Roman" w:hAnsi="Arial" w:cs="Arial"/>
          <w:b/>
          <w:color w:val="000000"/>
          <w:sz w:val="24"/>
          <w:szCs w:val="24"/>
          <w:lang w:val="en-US" w:eastAsia="de-DE"/>
        </w:rPr>
        <w:t>Short (&lt;15 days) versus long (≥15 days) course of invasive mechanical ventilation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. Percentages</w:t>
      </w:r>
      <w:r w:rsidRPr="00E047E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and univariate analysis of associated patient factors, SOFA score, and SOFA score components in ventilated patients.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Bold indicates statistical significance.</w:t>
      </w:r>
      <w:r w:rsidRPr="00E047E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8"/>
        <w:gridCol w:w="1625"/>
        <w:gridCol w:w="1475"/>
        <w:gridCol w:w="2665"/>
        <w:gridCol w:w="939"/>
      </w:tblGrid>
      <w:tr w:rsidR="00BD464E" w:rsidRPr="00BD464E" w14:paraId="4D1A6E58" w14:textId="77777777" w:rsidTr="00862C1F">
        <w:trPr>
          <w:trHeight w:val="1029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B8652D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E473E" w14:textId="65322D2F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Short IMV</w:t>
            </w:r>
            <w:r w:rsidR="001F516D" w:rsidRPr="001F5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val="en-US" w:eastAsia="de-DE"/>
              </w:rPr>
              <w:t>a</w:t>
            </w:r>
          </w:p>
          <w:p w14:paraId="47CFCB79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percentage, n/available 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DB268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Long IMV</w:t>
            </w:r>
          </w:p>
          <w:p w14:paraId="4D720444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percentage n/available N</w:t>
            </w:r>
          </w:p>
          <w:p w14:paraId="2A1A7F4B" w14:textId="77777777" w:rsidR="00BD464E" w:rsidRPr="00E047EF" w:rsidRDefault="00BD464E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922AE0" w14:textId="7B19068F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uOR</w:t>
            </w:r>
            <w:r w:rsidR="001F516D" w:rsidRPr="001F5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val="en-US" w:eastAsia="de-DE"/>
              </w:rPr>
              <w:t>b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 xml:space="preserve"> (95% CI</w:t>
            </w:r>
            <w:r w:rsidR="001F516D" w:rsidRPr="001F516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  <w:lang w:val="en-US" w:eastAsia="de-DE"/>
              </w:rPr>
              <w:t>c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), Chi-square test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3A9EA" w14:textId="77777777" w:rsidR="00BD464E" w:rsidRPr="00BD464E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BD46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p-value</w:t>
            </w:r>
          </w:p>
        </w:tc>
      </w:tr>
      <w:tr w:rsidR="00BD464E" w:rsidRPr="00E047EF" w14:paraId="18460D58" w14:textId="77777777" w:rsidTr="00AF531C">
        <w:trPr>
          <w:trHeight w:val="5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07F4DF" w14:textId="1A7D8C18" w:rsidR="00BD464E" w:rsidRPr="00AE5F42" w:rsidRDefault="00AE5F42" w:rsidP="00080CE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</w:pPr>
            <w:r w:rsidRPr="00AE5F42">
              <w:rPr>
                <w:rFonts w:ascii="Arial" w:eastAsia="Times New Roman" w:hAnsi="Arial" w:cs="Arial"/>
                <w:sz w:val="16"/>
                <w:szCs w:val="16"/>
                <w:lang w:val="en-US" w:eastAsia="de-D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49CCC0" w14:textId="77777777" w:rsidR="00BD464E" w:rsidRPr="00BD464E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BD464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21.1%, 15/71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40D55E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BD464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7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8.9%, 56/71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46351D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07BB2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BD464E" w:rsidRPr="00E047EF" w14:paraId="7AB9BF0D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AACDA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18-59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616C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30.0%, 5/15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E4226F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42.9%, 24/56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9F63B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8239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Reference</w:t>
            </w:r>
          </w:p>
        </w:tc>
      </w:tr>
      <w:tr w:rsidR="00BD464E" w:rsidRPr="00E047EF" w14:paraId="4EDF3095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E35148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60-69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B1FEDD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20.0%, 3/15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8B379B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33.9%, 19/56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E10E8C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1.31 (0.28-6.23)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F7F78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0.73</w:t>
            </w:r>
          </w:p>
        </w:tc>
      </w:tr>
      <w:tr w:rsidR="00BD464E" w:rsidRPr="00E047EF" w14:paraId="2AAC2CF1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57B5B8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70-79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33BC5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20.0%, 3/15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78CBEF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19.6%, 11/56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3461B9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0.76 (0.15-3.78)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95BE2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0.74</w:t>
            </w:r>
          </w:p>
        </w:tc>
      </w:tr>
      <w:tr w:rsidR="00BD464E" w:rsidRPr="00E047EF" w14:paraId="06CE61A5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44E66E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≥ 80 years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8CB60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26.7%, 4/15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AEEB4D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3.6%, 2/56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5E97A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0.10 (0.01-0.73)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AB49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0.017</w:t>
            </w:r>
          </w:p>
        </w:tc>
      </w:tr>
      <w:tr w:rsidR="00BD464E" w:rsidRPr="00E047EF" w14:paraId="072E6596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49C2F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Male gender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68751E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73.3%, 11/15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1C2A8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69.6%, 39/56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5A12B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0.83 (0.23-3.00)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B4A519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0.78</w:t>
            </w:r>
          </w:p>
        </w:tc>
      </w:tr>
      <w:tr w:rsidR="00BD464E" w:rsidRPr="00E047EF" w14:paraId="27009F6C" w14:textId="77777777" w:rsidTr="00BD464E">
        <w:trPr>
          <w:trHeight w:val="63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FBD322" w14:textId="2598A06E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BMI</w:t>
            </w:r>
            <w:r w:rsidR="00BC3E09" w:rsidRPr="00BC3E0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d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≥ 30 kg/m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vertAlign w:val="superscript"/>
                <w:lang w:eastAsia="de-DE"/>
              </w:rPr>
              <w:t>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F7632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28.6%, 4/14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C65ADE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41.8%, 23/55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98D67A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1.80 (0.50-6.45)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912BD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0.36</w:t>
            </w:r>
          </w:p>
        </w:tc>
      </w:tr>
      <w:tr w:rsidR="00BD464E" w:rsidRPr="00E047EF" w14:paraId="4AB5AB2C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F0C601" w14:textId="6B4F5488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CCI</w:t>
            </w:r>
            <w:r w:rsidR="00BC3E09" w:rsidRPr="00BC3E0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de-DE"/>
              </w:rPr>
              <w:t>e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≥3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E8F10C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73.3%, 11/15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44DA7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55.4%, 31/56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D3AF8C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0.45 (0.13-1.60)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026A51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0.21</w:t>
            </w:r>
          </w:p>
        </w:tc>
      </w:tr>
      <w:tr w:rsidR="00BD464E" w:rsidRPr="00E047EF" w14:paraId="432DD34E" w14:textId="77777777" w:rsidTr="00BD464E">
        <w:trPr>
          <w:trHeight w:val="6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499AA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Cardiovascular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7F111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73.3%, 11/15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27D8A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64.3%, 36/56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AEDFA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0.65 (0.18-2.32)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6B580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0.51</w:t>
            </w:r>
          </w:p>
        </w:tc>
      </w:tr>
      <w:tr w:rsidR="00BD464E" w:rsidRPr="00E047EF" w14:paraId="4EDD3649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02F14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Diabetes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AE0A5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20.0%, 3/15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B8CD45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25.0%, 14/56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793CD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1.33 (0.33-5.42)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E011B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0.69</w:t>
            </w:r>
          </w:p>
        </w:tc>
      </w:tr>
      <w:tr w:rsidR="00BD464E" w:rsidRPr="00E047EF" w14:paraId="3B9B7837" w14:textId="77777777" w:rsidTr="00BD464E">
        <w:trPr>
          <w:trHeight w:val="39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786151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pulmonary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3A2F41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20.0%, 3/15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33876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21.4%, 12/56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DDB25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1.09 (0.26-4.50)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0F7F82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0.90</w:t>
            </w:r>
          </w:p>
        </w:tc>
      </w:tr>
      <w:tr w:rsidR="00BD464E" w:rsidRPr="00E047EF" w14:paraId="328E1237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FB597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kidney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63301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6.7%, 1/15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9F7C57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8.9%, 5/56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1DA52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1.37 (0.15-12.72)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D11E8F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0.77</w:t>
            </w:r>
          </w:p>
        </w:tc>
      </w:tr>
      <w:tr w:rsidR="00BD464E" w:rsidRPr="00E047EF" w14:paraId="75076821" w14:textId="77777777" w:rsidTr="00BD464E">
        <w:trPr>
          <w:trHeight w:val="40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D9FA6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Chronic neurological disease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C26AB7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6.7%, 1/15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4A5ED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10.7%, 6/56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DE5ED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1.68 (0.19-15.14)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E88371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0.64</w:t>
            </w:r>
          </w:p>
        </w:tc>
      </w:tr>
      <w:tr w:rsidR="00BD464E" w:rsidRPr="00E047EF" w14:paraId="22A0219B" w14:textId="77777777" w:rsidTr="00BD464E">
        <w:trPr>
          <w:trHeight w:val="91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2B15A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Days between symptom onset and admission</w:t>
            </w:r>
          </w:p>
          <w:p w14:paraId="0BCA8AD0" w14:textId="77777777" w:rsidR="00BD464E" w:rsidRPr="001F516D" w:rsidRDefault="00BD464E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de-DE"/>
              </w:rPr>
            </w:pPr>
            <w:r w:rsidRPr="001F516D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de-DE"/>
              </w:rPr>
              <w:t>≤ 5 days, available n/N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3BFB1E" w14:textId="0F2E4A51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54.5%, 6/11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D988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43.2%, 19/44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11270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1.10 (0.29-4.14)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DD30A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0.89</w:t>
            </w:r>
          </w:p>
        </w:tc>
      </w:tr>
      <w:tr w:rsidR="00BD464E" w:rsidRPr="00E047EF" w14:paraId="373AE394" w14:textId="77777777" w:rsidTr="00BD464E">
        <w:trPr>
          <w:trHeight w:val="99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35EDDB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lastRenderedPageBreak/>
              <w:t>Days from admission until intubation</w:t>
            </w:r>
          </w:p>
          <w:p w14:paraId="53F2CD63" w14:textId="77777777" w:rsidR="00BD464E" w:rsidRPr="00E047EF" w:rsidRDefault="00BD464E" w:rsidP="00080CE0">
            <w:pPr>
              <w:spacing w:before="240"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≤ 1 day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BE3F49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20.0%, 3/15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8E91B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53.6%, 30/56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78C3D1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4.60 (1.17-18.16)</w:t>
            </w:r>
          </w:p>
        </w:tc>
        <w:tc>
          <w:tcPr>
            <w:tcW w:w="0" w:type="auto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FCF47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0.02</w:t>
            </w:r>
          </w:p>
        </w:tc>
      </w:tr>
      <w:tr w:rsidR="00BD464E" w:rsidRPr="00E047EF" w14:paraId="5BD9DF2B" w14:textId="77777777" w:rsidTr="00AE5F42">
        <w:trPr>
          <w:trHeight w:val="37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396BA5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Patients transferred from other centers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392B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28.6%, 4/14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FBD3C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69.6%, 39/56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8B895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5.73 (1.58-20.87)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02FE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D464E" w:rsidRPr="00E047EF" w14:paraId="3FE22CB6" w14:textId="77777777" w:rsidTr="00AE5F42">
        <w:trPr>
          <w:trHeight w:val="63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536E4E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BB7F94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mean (sd) (95% CI), 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1A110E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mean (sd) (95% CI)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, </w:t>
            </w:r>
          </w:p>
          <w:p w14:paraId="2A0D1A15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E62DB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Difference of means</w:t>
            </w:r>
          </w:p>
          <w:p w14:paraId="6413537B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(95% CI) </w:t>
            </w:r>
          </w:p>
          <w:p w14:paraId="5476936A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(Welch’s t-test)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021B67" w14:textId="77777777" w:rsidR="00BD464E" w:rsidRPr="00BD464E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de-DE"/>
              </w:rPr>
            </w:pPr>
            <w:r w:rsidRPr="00BD464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de-DE"/>
              </w:rPr>
              <w:t> p-value</w:t>
            </w:r>
          </w:p>
        </w:tc>
      </w:tr>
      <w:tr w:rsidR="00BD464E" w:rsidRPr="00E047EF" w14:paraId="1007F0DC" w14:textId="77777777" w:rsidTr="00AE5F42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A2A57" w14:textId="5D6AC490" w:rsidR="00BD464E" w:rsidRPr="00E047EF" w:rsidRDefault="00BD464E" w:rsidP="000A4F1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SOFA</w:t>
            </w:r>
            <w:r w:rsidR="00BC3E09" w:rsidRPr="00BC3E09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US" w:eastAsia="de-DE"/>
              </w:rPr>
              <w:t>f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total score max. 1st week after hospital admission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73ED8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9.44 (2.92) (7.20-11.7), 9/15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2CC3E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11.5 (2.97) (10.1-12.8), 22/56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725651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2.01 (-0.46-4.48)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663B90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0.10 </w:t>
            </w:r>
          </w:p>
        </w:tc>
      </w:tr>
      <w:tr w:rsidR="00BD464E" w:rsidRPr="00E047EF" w14:paraId="1CA83F7E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AFF0FB" w14:textId="77777777" w:rsidR="00BD464E" w:rsidRPr="00E047EF" w:rsidRDefault="00BD464E" w:rsidP="000A4F1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SOFA total score max. Score 2</w:t>
            </w:r>
            <w:r w:rsidRPr="00E047EF">
              <w:rPr>
                <w:rFonts w:ascii="Arial" w:eastAsia="Times New Roman" w:hAnsi="Arial" w:cs="Arial"/>
                <w:color w:val="000000"/>
                <w:sz w:val="10"/>
                <w:szCs w:val="10"/>
                <w:vertAlign w:val="superscript"/>
                <w:lang w:val="en-US" w:eastAsia="de-DE"/>
              </w:rPr>
              <w:t>nd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week after hospital admission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BC847B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8.40 (3.53) (5.87-10.9), 10/15 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333E79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11.2 (2.92) (10.1-12.3), 30/56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06EFE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2.8 (0.13-5.47)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EC13F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0.04</w:t>
            </w:r>
          </w:p>
        </w:tc>
      </w:tr>
      <w:tr w:rsidR="00BD464E" w:rsidRPr="00E047EF" w14:paraId="39A73678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9881B0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total score max.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B430A0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10.8 (1.87) (9.46-12.1), 10/15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A5559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12.7 (2.64) (11.8-13.6), 38/56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690E67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1.88 (0.36-3.41)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5A3B70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0.02</w:t>
            </w:r>
          </w:p>
        </w:tc>
      </w:tr>
      <w:tr w:rsidR="00BD464E" w:rsidRPr="00E047EF" w14:paraId="417A7A94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E159F5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respiratory component max.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4E6F8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3.20 (0.63) (2.75-3.65), 10/15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5D7F3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3.32 (0.62) (3.11-3.52), 38/56 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5AFD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0.12 (-0.37;0.60)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972BDD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0.61</w:t>
            </w:r>
          </w:p>
        </w:tc>
      </w:tr>
      <w:tr w:rsidR="00BD464E" w:rsidRPr="00E047EF" w14:paraId="0AD1DEE0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D4993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coagulation component max.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C3CA9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0.30 (0.48) (-0.05-0.65)</w:t>
            </w:r>
          </w:p>
          <w:p w14:paraId="0A6FD1FA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10/15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D7083C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1.03 (1.05) (0.68-1.37)</w:t>
            </w:r>
          </w:p>
          <w:p w14:paraId="1A63E14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38/56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5EBF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0.73 (0.26-1.19)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9F251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D464E" w:rsidRPr="00E047EF" w14:paraId="2DBAE09E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5FFBDC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hepatic component max.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4E0182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0.40 (0.70) (-0.10-0.90)</w:t>
            </w:r>
          </w:p>
          <w:p w14:paraId="649CC937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10/15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03FE2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1.55 (1.37) (1.10-2.00)</w:t>
            </w:r>
          </w:p>
          <w:p w14:paraId="4EFFB970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38/56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79CCBD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1.15 (0.51-1.79)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B03A57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de-DE"/>
              </w:rPr>
              <w:t>&lt;0.01</w:t>
            </w:r>
          </w:p>
        </w:tc>
      </w:tr>
      <w:tr w:rsidR="00BD464E" w:rsidRPr="00E047EF" w14:paraId="65DE083A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47CC09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cardiovascular component max.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ABFE88" w14:textId="46770770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3.50 (0.71) (2.99-4.01)</w:t>
            </w:r>
            <w:r w:rsidR="00AE5F4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, 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10/15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6A972" w14:textId="23B3B77C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3.58 (0.86) (3.30-3.86)</w:t>
            </w:r>
            <w:r w:rsidR="00AE5F42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, 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38/56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7F45A4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0.08 (-0.48-0.64)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F8C81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0.77</w:t>
            </w:r>
          </w:p>
        </w:tc>
      </w:tr>
      <w:tr w:rsidR="00BD464E" w:rsidRPr="00E047EF" w14:paraId="3851C04D" w14:textId="77777777" w:rsidTr="00CB1943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9155" w14:textId="3B9EF5E6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0" w:author="Thibeault, Charlotte" w:date="2021-02-04T11:02:00Z">
              <w:r w:rsidRPr="00E047EF" w:rsidDel="00CB194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SOFA neurological component.</w:delText>
              </w:r>
            </w:del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A31D0" w14:textId="66EDFA95" w:rsidR="00BD464E" w:rsidRPr="00E047EF" w:rsidDel="00CB1943" w:rsidRDefault="00BD464E" w:rsidP="00AE5F42">
            <w:pPr>
              <w:spacing w:after="0" w:line="480" w:lineRule="auto"/>
              <w:rPr>
                <w:del w:id="1" w:author="Thibeault, Charlotte" w:date="2021-02-04T11:02:00Z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2" w:author="Thibeault, Charlotte" w:date="2021-02-04T11:02:00Z">
              <w:r w:rsidRPr="00E047EF" w:rsidDel="00CB194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4.00 (0.00) (4.00-4.00)</w:delText>
              </w:r>
            </w:del>
          </w:p>
          <w:p w14:paraId="2165BA6D" w14:textId="52B317A5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3" w:author="Thibeault, Charlotte" w:date="2021-02-04T11:02:00Z">
              <w:r w:rsidRPr="00E047EF" w:rsidDel="00CB194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10/15</w:delText>
              </w:r>
            </w:del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DB479" w14:textId="1B1CD8B9" w:rsidR="00BD464E" w:rsidRPr="00E047EF" w:rsidDel="00CB1943" w:rsidRDefault="00BD464E" w:rsidP="00AE5F42">
            <w:pPr>
              <w:spacing w:after="0" w:line="480" w:lineRule="auto"/>
              <w:rPr>
                <w:del w:id="4" w:author="Thibeault, Charlotte" w:date="2021-02-04T11:02:00Z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5" w:author="Thibeault, Charlotte" w:date="2021-02-04T11:02:00Z">
              <w:r w:rsidRPr="00E047EF" w:rsidDel="00CB194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3.84 (0.59) (3.65-4.04)</w:delText>
              </w:r>
            </w:del>
          </w:p>
          <w:p w14:paraId="60F16DBB" w14:textId="3CB2FB16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6" w:author="Thibeault, Charlotte" w:date="2021-02-04T11:02:00Z">
              <w:r w:rsidRPr="00E047EF" w:rsidDel="00CB194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38/56</w:delText>
              </w:r>
            </w:del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B8EBA" w14:textId="7B3FF6E8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7" w:author="Thibeault, Charlotte" w:date="2021-02-04T11:02:00Z">
              <w:r w:rsidRPr="00E047EF" w:rsidDel="00CB194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-0.16 (-0.35-0.04)</w:delText>
              </w:r>
            </w:del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F4FB6" w14:textId="34033CCB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del w:id="8" w:author="Thibeault, Charlotte" w:date="2021-02-04T11:02:00Z">
              <w:r w:rsidRPr="00E047EF" w:rsidDel="00CB1943">
                <w:rPr>
                  <w:rFonts w:ascii="Arial" w:eastAsia="Times New Roman" w:hAnsi="Arial" w:cs="Arial"/>
                  <w:color w:val="000000"/>
                  <w:sz w:val="16"/>
                  <w:szCs w:val="16"/>
                  <w:lang w:eastAsia="de-DE"/>
                </w:rPr>
                <w:delText>0.11</w:delText>
              </w:r>
            </w:del>
          </w:p>
        </w:tc>
      </w:tr>
      <w:tr w:rsidR="00BD464E" w:rsidRPr="00E047EF" w14:paraId="71C1A147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4B12E1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SOFA renal component max.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20117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1.40 (1.58) (0.27-2.53)</w:t>
            </w:r>
          </w:p>
          <w:p w14:paraId="034ABFE7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10/15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0A0D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2.42 (1.41) (1.96-2.88)</w:t>
            </w:r>
          </w:p>
          <w:p w14:paraId="44171A1F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38/56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51E2B7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1.02 (-0.16-2.21)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735CF2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0.09</w:t>
            </w:r>
          </w:p>
        </w:tc>
      </w:tr>
      <w:tr w:rsidR="00BD464E" w:rsidRPr="00E047EF" w14:paraId="2B6616DF" w14:textId="77777777" w:rsidTr="00BD464E">
        <w:trPr>
          <w:trHeight w:val="600"/>
        </w:trPr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551A41" w14:textId="77777777" w:rsidR="00BD464E" w:rsidRPr="00E047EF" w:rsidRDefault="00BD464E" w:rsidP="0008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DCF406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Median (IQR), 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8A5DCD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Median (IQR), available n/N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3D5039" w14:textId="77777777" w:rsidR="00BD464E" w:rsidRPr="00E047EF" w:rsidRDefault="00BD464E" w:rsidP="00080CE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 xml:space="preserve">Difference of medians (IQR of pairwise differences), Mann-Whitney </w:t>
            </w:r>
            <w:r w:rsidRPr="00E047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de-DE"/>
              </w:rPr>
              <w:t>U</w:t>
            </w:r>
            <w:r w:rsidRPr="00E047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 xml:space="preserve"> test</w:t>
            </w:r>
          </w:p>
        </w:tc>
        <w:tc>
          <w:tcPr>
            <w:tcW w:w="0" w:type="auto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3B70E0" w14:textId="77777777" w:rsidR="00BD464E" w:rsidRPr="00BD464E" w:rsidRDefault="00BD464E" w:rsidP="00080CE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de-DE"/>
              </w:rPr>
            </w:pPr>
            <w:r w:rsidRPr="00BD464E">
              <w:rPr>
                <w:rFonts w:ascii="Arial" w:eastAsia="Times New Roman" w:hAnsi="Arial" w:cs="Arial"/>
                <w:b/>
                <w:sz w:val="16"/>
                <w:szCs w:val="16"/>
                <w:lang w:val="en-US" w:eastAsia="de-DE"/>
              </w:rPr>
              <w:t>p-value</w:t>
            </w:r>
          </w:p>
        </w:tc>
      </w:tr>
      <w:tr w:rsidR="00BD464E" w:rsidRPr="00E047EF" w14:paraId="73C7D7A8" w14:textId="77777777" w:rsidTr="00BD464E">
        <w:trPr>
          <w:trHeight w:val="118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882628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Highest viral concentration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C8866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7.19 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br/>
              <w:t>(5.74-7.46), 15/15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98FEA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6.63 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br/>
              <w:t xml:space="preserve">(5.31-7.46), </w:t>
            </w: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br/>
              <w:t>54/56</w:t>
            </w:r>
          </w:p>
        </w:tc>
        <w:tc>
          <w:tcPr>
            <w:tcW w:w="0" w:type="auto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2DC33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0.56 (–2.42-1.04)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16625A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0.19</w:t>
            </w:r>
          </w:p>
        </w:tc>
      </w:tr>
      <w:tr w:rsidR="00BD464E" w:rsidRPr="00E047EF" w14:paraId="5BDB24DD" w14:textId="77777777" w:rsidTr="00BD464E">
        <w:trPr>
          <w:trHeight w:val="1185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93460" w14:textId="77777777" w:rsidR="00BD464E" w:rsidRPr="00E047EF" w:rsidRDefault="00BD464E" w:rsidP="00080CE0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First viral concentration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4B39E3" w14:textId="77777777" w:rsidR="00BD464E" w:rsidRPr="00E047EF" w:rsidRDefault="00BD464E" w:rsidP="00AE5F42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5.69 (4.83-7.11), 15/15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8B2B3" w14:textId="77777777" w:rsidR="00BD464E" w:rsidRPr="00E047EF" w:rsidRDefault="00BD464E" w:rsidP="00AE5F42">
            <w:pPr>
              <w:spacing w:before="240" w:after="24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5.92 (4.71-7.11), 54/56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EC52F9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0.24 (–2.17-1.40)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37DB0C" w14:textId="77777777" w:rsidR="00BD464E" w:rsidRPr="00E047EF" w:rsidRDefault="00BD464E" w:rsidP="00AE5F42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E047EF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0.54</w:t>
            </w:r>
          </w:p>
        </w:tc>
      </w:tr>
    </w:tbl>
    <w:p w14:paraId="462DB740" w14:textId="77777777" w:rsidR="00BC3E09" w:rsidRPr="00BC3E09" w:rsidRDefault="001F516D" w:rsidP="00BC3E09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BC3E09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IMV – invasive mechanical ventilation</w:t>
      </w:r>
    </w:p>
    <w:p w14:paraId="679ECB25" w14:textId="77777777" w:rsidR="00BC3E09" w:rsidRPr="00BC3E09" w:rsidRDefault="001F516D" w:rsidP="00BC3E09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BC3E09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uOR – unadjusted Odds Ratio</w:t>
      </w:r>
    </w:p>
    <w:p w14:paraId="3130B44A" w14:textId="77777777" w:rsidR="00BC3E09" w:rsidRPr="00BC3E09" w:rsidRDefault="001F516D" w:rsidP="00BC3E09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BC3E09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CI – confidence interval</w:t>
      </w:r>
    </w:p>
    <w:p w14:paraId="30198857" w14:textId="77777777" w:rsidR="00BC3E09" w:rsidRPr="00BC3E09" w:rsidRDefault="001F516D" w:rsidP="00BC3E09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BC3E09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BMI – body mass index</w:t>
      </w:r>
    </w:p>
    <w:p w14:paraId="20A908CF" w14:textId="77777777" w:rsidR="00BC3E09" w:rsidRPr="00BC3E09" w:rsidRDefault="001F516D" w:rsidP="00BC3E09">
      <w:pPr>
        <w:pStyle w:val="Listenabsatz"/>
        <w:numPr>
          <w:ilvl w:val="0"/>
          <w:numId w:val="1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 w:rsidRPr="00BC3E09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CCI – Charlson comorbidity index</w:t>
      </w:r>
    </w:p>
    <w:p w14:paraId="134ECCC1" w14:textId="577E3389" w:rsidR="00834736" w:rsidRPr="008B59D0" w:rsidRDefault="001F516D" w:rsidP="008B59D0">
      <w:pPr>
        <w:pStyle w:val="Listenabsatz"/>
        <w:numPr>
          <w:ilvl w:val="0"/>
          <w:numId w:val="1"/>
        </w:numPr>
        <w:spacing w:before="240" w:after="240" w:line="480" w:lineRule="auto"/>
        <w:rPr>
          <w:lang w:val="fr-FR"/>
        </w:rPr>
      </w:pPr>
      <w:r w:rsidRPr="008B59D0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SOFA – sequential organ failure assessment. </w:t>
      </w:r>
    </w:p>
    <w:sectPr w:rsidR="00834736" w:rsidRPr="008B59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445D5"/>
    <w:multiLevelType w:val="hybridMultilevel"/>
    <w:tmpl w:val="61160304"/>
    <w:lvl w:ilvl="0" w:tplc="28ACBD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hibeault, Charlotte">
    <w15:presenceInfo w15:providerId="AD" w15:userId="S::charlotte.thibeault@charite.de::f3ec046c-b902-4109-8911-a9d727dd7f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64E"/>
    <w:rsid w:val="00015D04"/>
    <w:rsid w:val="000A4F1B"/>
    <w:rsid w:val="001F516D"/>
    <w:rsid w:val="00423062"/>
    <w:rsid w:val="00563B89"/>
    <w:rsid w:val="00824365"/>
    <w:rsid w:val="00834736"/>
    <w:rsid w:val="00862C1F"/>
    <w:rsid w:val="008B59D0"/>
    <w:rsid w:val="008B6FA2"/>
    <w:rsid w:val="00AE5F42"/>
    <w:rsid w:val="00AF531C"/>
    <w:rsid w:val="00BC3E09"/>
    <w:rsid w:val="00BD464E"/>
    <w:rsid w:val="00BF5FB1"/>
    <w:rsid w:val="00CB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ABF31"/>
  <w15:chartTrackingRefBased/>
  <w15:docId w15:val="{E164F9E9-115B-42F2-ABE7-A518054D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46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C3E0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1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1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A34C7845C88B4589819AB139DE35DD" ma:contentTypeVersion="12" ma:contentTypeDescription="Create a new document." ma:contentTypeScope="" ma:versionID="a1b38ead60b07da0ab03071743ac19b6">
  <xsd:schema xmlns:xsd="http://www.w3.org/2001/XMLSchema" xmlns:xs="http://www.w3.org/2001/XMLSchema" xmlns:p="http://schemas.microsoft.com/office/2006/metadata/properties" xmlns:ns3="d0d5103c-b90a-4a38-b610-628dbca45d0e" xmlns:ns4="63bc265c-ce59-4c31-a2a5-336a7fcf9d48" targetNamespace="http://schemas.microsoft.com/office/2006/metadata/properties" ma:root="true" ma:fieldsID="08056e40e2b9b3668923f2c156ec064c" ns3:_="" ns4:_="">
    <xsd:import namespace="d0d5103c-b90a-4a38-b610-628dbca45d0e"/>
    <xsd:import namespace="63bc265c-ce59-4c31-a2a5-336a7fcf9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5103c-b90a-4a38-b610-628dbca45d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c265c-ce59-4c31-a2a5-336a7fcf9d4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FF01FB-959C-47E4-9CB2-95D6BB67B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D8348D-BA24-41D0-824C-22A95136E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d5103c-b90a-4a38-b610-628dbca45d0e"/>
    <ds:schemaRef ds:uri="63bc265c-ce59-4c31-a2a5-336a7fcf9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591C00-60DC-4379-94B2-C2F89AEF0F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Thibeault, Charlotte</dc:creator>
  <cp:keywords/>
  <dc:description/>
  <cp:lastModifiedBy>Thibeault, Charlotte</cp:lastModifiedBy>
  <cp:revision>3</cp:revision>
  <dcterms:created xsi:type="dcterms:W3CDTF">2021-02-04T10:01:00Z</dcterms:created>
  <dcterms:modified xsi:type="dcterms:W3CDTF">2021-02-04T10:02:00Z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0x010100E4A34C7845C88B4589819AB139DE35DD</vt:lpwstr>
  </property>
</Properties>
</file>