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5809"/>
      </w:tblGrid>
      <w:tr w:rsidR="00F7089C" w:rsidRPr="002470E0" w14:paraId="52742ABF" w14:textId="77777777" w:rsidTr="00E85D2A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0BDF250F" w14:textId="77777777" w:rsidR="00F7089C" w:rsidRPr="002470E0" w:rsidRDefault="00F7089C" w:rsidP="00E85D2A">
            <w:pPr>
              <w:jc w:val="both"/>
              <w:rPr>
                <w:rFonts w:cs="Times New Roman"/>
                <w:sz w:val="20"/>
                <w:szCs w:val="20"/>
              </w:rPr>
            </w:pPr>
            <w:r w:rsidRPr="002470E0">
              <w:rPr>
                <w:rFonts w:cs="Times New Roman"/>
                <w:b/>
                <w:bCs/>
                <w:sz w:val="20"/>
                <w:szCs w:val="20"/>
              </w:rPr>
              <w:t xml:space="preserve">Inclusion criteria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0A9D5FE2" w14:textId="77777777" w:rsidR="00F7089C" w:rsidRPr="002470E0" w:rsidRDefault="00F7089C" w:rsidP="00E85D2A">
            <w:pPr>
              <w:jc w:val="both"/>
              <w:rPr>
                <w:rFonts w:cs="Times New Roman"/>
                <w:sz w:val="20"/>
                <w:szCs w:val="20"/>
              </w:rPr>
            </w:pPr>
            <w:r w:rsidRPr="002470E0">
              <w:rPr>
                <w:rFonts w:cs="Times New Roman"/>
                <w:b/>
                <w:bCs/>
                <w:sz w:val="20"/>
                <w:szCs w:val="20"/>
              </w:rPr>
              <w:t>Exclusion criteria</w:t>
            </w:r>
          </w:p>
        </w:tc>
      </w:tr>
      <w:tr w:rsidR="00F7089C" w:rsidRPr="002470E0" w14:paraId="0F38EA87" w14:textId="77777777" w:rsidTr="00E85D2A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D98C12C" w14:textId="6325CE57" w:rsidR="00F7089C" w:rsidRPr="002470E0" w:rsidRDefault="00F7089C" w:rsidP="00F7089C">
            <w:pPr>
              <w:pStyle w:val="Listenabsatz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7"/>
              <w:jc w:val="both"/>
              <w:rPr>
                <w:rFonts w:cs="Times New Roman"/>
                <w:sz w:val="20"/>
                <w:szCs w:val="20"/>
              </w:rPr>
            </w:pPr>
            <w:r w:rsidRPr="002470E0">
              <w:rPr>
                <w:rFonts w:cs="Times New Roman"/>
                <w:sz w:val="20"/>
                <w:szCs w:val="20"/>
              </w:rPr>
              <w:t xml:space="preserve">Definite diagnosis of RRMS according to the 2010 revised McDonald </w:t>
            </w:r>
            <w:r w:rsidRPr="00B2187C">
              <w:rPr>
                <w:rFonts w:cs="Times New Roman"/>
                <w:sz w:val="20"/>
                <w:szCs w:val="20"/>
              </w:rPr>
              <w:t xml:space="preserve">criteria </w:t>
            </w:r>
            <w:r w:rsidRPr="00B2187C">
              <w:rPr>
                <w:rFonts w:cs="Times New Roman"/>
                <w:noProof/>
                <w:sz w:val="20"/>
                <w:szCs w:val="20"/>
              </w:rPr>
              <w:t>[</w:t>
            </w:r>
            <w:r w:rsidR="00245CD9" w:rsidRPr="00B2187C">
              <w:rPr>
                <w:rFonts w:cs="Times New Roman"/>
                <w:noProof/>
                <w:sz w:val="20"/>
                <w:szCs w:val="20"/>
              </w:rPr>
              <w:t>72</w:t>
            </w:r>
            <w:r w:rsidRPr="00B2187C">
              <w:rPr>
                <w:rFonts w:cs="Times New Roman"/>
                <w:noProof/>
                <w:sz w:val="20"/>
                <w:szCs w:val="20"/>
              </w:rPr>
              <w:t>]</w:t>
            </w:r>
          </w:p>
          <w:p w14:paraId="78379B7C" w14:textId="77777777" w:rsidR="00F7089C" w:rsidRPr="002470E0" w:rsidRDefault="00F7089C" w:rsidP="00F7089C">
            <w:pPr>
              <w:pStyle w:val="Listenabsatz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7"/>
              <w:jc w:val="both"/>
              <w:rPr>
                <w:rFonts w:cs="Times New Roman"/>
                <w:sz w:val="20"/>
                <w:szCs w:val="20"/>
              </w:rPr>
            </w:pPr>
            <w:r w:rsidRPr="002470E0">
              <w:rPr>
                <w:rFonts w:cs="Times New Roman"/>
                <w:sz w:val="20"/>
                <w:szCs w:val="20"/>
              </w:rPr>
              <w:t>18 to 64 years old</w:t>
            </w:r>
          </w:p>
          <w:p w14:paraId="0854D079" w14:textId="77777777" w:rsidR="00F7089C" w:rsidRPr="002470E0" w:rsidRDefault="00F7089C" w:rsidP="00F7089C">
            <w:pPr>
              <w:pStyle w:val="Listenabsatz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7"/>
              <w:jc w:val="both"/>
              <w:rPr>
                <w:rFonts w:cs="Times New Roman"/>
                <w:sz w:val="20"/>
                <w:szCs w:val="20"/>
              </w:rPr>
            </w:pPr>
            <w:r w:rsidRPr="002470E0">
              <w:rPr>
                <w:rFonts w:cs="Times New Roman"/>
                <w:sz w:val="20"/>
                <w:szCs w:val="20"/>
              </w:rPr>
              <w:t>Indication for on-label treatment with fingolimod (</w:t>
            </w:r>
            <w:proofErr w:type="spellStart"/>
            <w:r w:rsidRPr="002470E0">
              <w:rPr>
                <w:rFonts w:cs="Times New Roman"/>
                <w:sz w:val="20"/>
                <w:szCs w:val="20"/>
              </w:rPr>
              <w:t>Gilenya</w:t>
            </w:r>
            <w:proofErr w:type="spellEnd"/>
            <w:r w:rsidRPr="002470E0">
              <w:rPr>
                <w:rFonts w:cs="Times New Roman"/>
                <w:sz w:val="20"/>
                <w:szCs w:val="20"/>
              </w:rPr>
              <w:t>®) according to the current approval</w:t>
            </w:r>
          </w:p>
          <w:p w14:paraId="38CE5F24" w14:textId="77777777" w:rsidR="00F7089C" w:rsidRPr="002470E0" w:rsidRDefault="00F7089C" w:rsidP="00F7089C">
            <w:pPr>
              <w:pStyle w:val="Listenabsatz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7"/>
              <w:jc w:val="both"/>
              <w:rPr>
                <w:rFonts w:cs="Times New Roman"/>
                <w:sz w:val="20"/>
                <w:szCs w:val="20"/>
              </w:rPr>
            </w:pPr>
            <w:r w:rsidRPr="002470E0">
              <w:rPr>
                <w:rFonts w:cs="Times New Roman"/>
                <w:sz w:val="20"/>
                <w:szCs w:val="20"/>
              </w:rPr>
              <w:t>EDSS score ≤ 6</w:t>
            </w:r>
            <w:r>
              <w:rPr>
                <w:rFonts w:cs="Times New Roman"/>
                <w:sz w:val="20"/>
                <w:szCs w:val="20"/>
              </w:rPr>
              <w:t>.</w:t>
            </w:r>
            <w:r w:rsidRPr="002470E0">
              <w:rPr>
                <w:rFonts w:cs="Times New Roman"/>
                <w:sz w:val="20"/>
                <w:szCs w:val="20"/>
              </w:rPr>
              <w:t>0</w:t>
            </w:r>
          </w:p>
          <w:p w14:paraId="6024AFDC" w14:textId="77777777" w:rsidR="00F7089C" w:rsidRPr="002470E0" w:rsidRDefault="00F7089C" w:rsidP="00F7089C">
            <w:pPr>
              <w:pStyle w:val="Listenabsatz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7"/>
              <w:jc w:val="both"/>
              <w:rPr>
                <w:rFonts w:cs="Times New Roman"/>
                <w:sz w:val="20"/>
                <w:szCs w:val="20"/>
              </w:rPr>
            </w:pPr>
            <w:r w:rsidRPr="002470E0">
              <w:rPr>
                <w:rFonts w:cs="Times New Roman"/>
                <w:sz w:val="20"/>
                <w:szCs w:val="20"/>
              </w:rPr>
              <w:t>Neurological stable with no evidence of relapse or corticosteroid</w:t>
            </w:r>
          </w:p>
          <w:p w14:paraId="7A7B6535" w14:textId="77777777" w:rsidR="00F7089C" w:rsidRPr="002470E0" w:rsidRDefault="00F7089C" w:rsidP="00E85D2A">
            <w:pPr>
              <w:pStyle w:val="Listenabsatz"/>
              <w:autoSpaceDE w:val="0"/>
              <w:autoSpaceDN w:val="0"/>
              <w:adjustRightInd w:val="0"/>
              <w:ind w:left="327"/>
              <w:jc w:val="both"/>
              <w:rPr>
                <w:rFonts w:cs="Times New Roman"/>
                <w:sz w:val="20"/>
                <w:szCs w:val="20"/>
              </w:rPr>
            </w:pPr>
            <w:r w:rsidRPr="002470E0">
              <w:rPr>
                <w:rFonts w:cs="Times New Roman"/>
                <w:sz w:val="20"/>
                <w:szCs w:val="20"/>
              </w:rPr>
              <w:t>treatment within 30 days prior to screening</w:t>
            </w:r>
          </w:p>
          <w:p w14:paraId="6AE69DBC" w14:textId="77777777" w:rsidR="00F7089C" w:rsidRPr="002470E0" w:rsidRDefault="00F7089C" w:rsidP="00F7089C">
            <w:pPr>
              <w:pStyle w:val="Listenabsatz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7"/>
              <w:jc w:val="both"/>
              <w:rPr>
                <w:rFonts w:cs="Times New Roman"/>
                <w:sz w:val="20"/>
                <w:szCs w:val="20"/>
              </w:rPr>
            </w:pPr>
            <w:r w:rsidRPr="002470E0">
              <w:rPr>
                <w:rFonts w:cs="Times New Roman"/>
                <w:sz w:val="20"/>
                <w:szCs w:val="20"/>
              </w:rPr>
              <w:t>Ability to provide written informed consent</w:t>
            </w:r>
          </w:p>
          <w:p w14:paraId="2C3E1C53" w14:textId="77777777" w:rsidR="00F7089C" w:rsidRPr="002470E0" w:rsidRDefault="00F7089C" w:rsidP="00F7089C">
            <w:pPr>
              <w:pStyle w:val="Listenabsatz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7"/>
              <w:jc w:val="both"/>
              <w:rPr>
                <w:rFonts w:cs="Times New Roman"/>
                <w:sz w:val="20"/>
                <w:szCs w:val="20"/>
              </w:rPr>
            </w:pPr>
            <w:r w:rsidRPr="002470E0">
              <w:rPr>
                <w:rFonts w:cs="Times New Roman"/>
                <w:sz w:val="20"/>
                <w:szCs w:val="20"/>
              </w:rPr>
              <w:t>Highly effective contraception (Pearl Index &lt; 1), reliable abstinence from any heterosexual relationships, or sterilization of the only partner in women of childbearing potential</w:t>
            </w:r>
          </w:p>
          <w:p w14:paraId="65D16CB3" w14:textId="77777777" w:rsidR="00F7089C" w:rsidRPr="002470E0" w:rsidRDefault="00F7089C" w:rsidP="00F7089C">
            <w:pPr>
              <w:pStyle w:val="Listenabsatz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7"/>
              <w:jc w:val="both"/>
              <w:rPr>
                <w:rFonts w:cs="Times New Roman"/>
                <w:sz w:val="20"/>
                <w:szCs w:val="20"/>
              </w:rPr>
            </w:pPr>
            <w:r w:rsidRPr="002470E0">
              <w:rPr>
                <w:rFonts w:cs="Times New Roman"/>
                <w:sz w:val="20"/>
                <w:szCs w:val="20"/>
              </w:rPr>
              <w:t>Negative pregnancy test at screening and baseline in women of childbearing potential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E43F2FC" w14:textId="77777777" w:rsidR="00F7089C" w:rsidRPr="002470E0" w:rsidRDefault="00F7089C" w:rsidP="00F7089C">
            <w:pPr>
              <w:pStyle w:val="Listenabsatz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7"/>
              <w:jc w:val="both"/>
              <w:rPr>
                <w:rFonts w:cs="Times New Roman"/>
                <w:sz w:val="20"/>
                <w:szCs w:val="20"/>
              </w:rPr>
            </w:pPr>
            <w:r w:rsidRPr="002470E0">
              <w:rPr>
                <w:rFonts w:cs="Times New Roman"/>
                <w:sz w:val="20"/>
                <w:szCs w:val="20"/>
              </w:rPr>
              <w:t>Patients with MS manifestations other than RRMS</w:t>
            </w:r>
          </w:p>
          <w:p w14:paraId="7FCD6CDC" w14:textId="77777777" w:rsidR="00F7089C" w:rsidRPr="002470E0" w:rsidRDefault="00F7089C" w:rsidP="00F7089C">
            <w:pPr>
              <w:pStyle w:val="Listenabsatz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7"/>
              <w:jc w:val="both"/>
              <w:rPr>
                <w:rFonts w:cs="Times New Roman"/>
                <w:sz w:val="20"/>
                <w:szCs w:val="20"/>
              </w:rPr>
            </w:pPr>
            <w:r w:rsidRPr="002470E0">
              <w:rPr>
                <w:rFonts w:cs="Times New Roman"/>
                <w:sz w:val="20"/>
                <w:szCs w:val="20"/>
              </w:rPr>
              <w:t>Patients with known contraindications to fingolimod, in particular: immunodeficiency syndrome, increased risk of opportunistic infections or severe active or chronic active infections (hepatitis, tuberculosis)</w:t>
            </w:r>
          </w:p>
          <w:p w14:paraId="06D6206C" w14:textId="77777777" w:rsidR="00F7089C" w:rsidRPr="002470E0" w:rsidRDefault="00F7089C" w:rsidP="00F7089C">
            <w:pPr>
              <w:pStyle w:val="Listenabsatz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7"/>
              <w:jc w:val="both"/>
              <w:rPr>
                <w:rFonts w:cs="Times New Roman"/>
                <w:sz w:val="20"/>
                <w:szCs w:val="20"/>
              </w:rPr>
            </w:pPr>
            <w:r w:rsidRPr="002470E0">
              <w:rPr>
                <w:rFonts w:cs="Times New Roman"/>
                <w:sz w:val="20"/>
                <w:szCs w:val="20"/>
              </w:rPr>
              <w:t>History or presence of malignancy (other than localized basal or squamous cell carcinoma of the skin). Severe liver dysfunction (Child Pugh C)</w:t>
            </w:r>
          </w:p>
          <w:p w14:paraId="5FA6834F" w14:textId="77777777" w:rsidR="00F7089C" w:rsidRPr="002470E0" w:rsidRDefault="00F7089C" w:rsidP="00F7089C">
            <w:pPr>
              <w:pStyle w:val="Listenabsatz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7"/>
              <w:jc w:val="both"/>
              <w:rPr>
                <w:rFonts w:cs="Times New Roman"/>
                <w:sz w:val="20"/>
                <w:szCs w:val="20"/>
              </w:rPr>
            </w:pPr>
            <w:r w:rsidRPr="002470E0">
              <w:rPr>
                <w:rFonts w:cs="Times New Roman"/>
                <w:sz w:val="20"/>
                <w:szCs w:val="20"/>
              </w:rPr>
              <w:t>Hypersensitivity against active or any other compound of study medication</w:t>
            </w:r>
          </w:p>
          <w:p w14:paraId="120850C2" w14:textId="77777777" w:rsidR="00F7089C" w:rsidRPr="002470E0" w:rsidRDefault="00F7089C" w:rsidP="00F7089C">
            <w:pPr>
              <w:pStyle w:val="Listenabsatz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7"/>
              <w:jc w:val="both"/>
              <w:rPr>
                <w:rFonts w:cs="Times New Roman"/>
                <w:sz w:val="20"/>
                <w:szCs w:val="20"/>
              </w:rPr>
            </w:pPr>
            <w:r w:rsidRPr="002470E0">
              <w:rPr>
                <w:rFonts w:cs="Times New Roman"/>
                <w:sz w:val="20"/>
                <w:szCs w:val="20"/>
              </w:rPr>
              <w:t>2</w:t>
            </w:r>
            <w:r w:rsidRPr="002470E0">
              <w:rPr>
                <w:rFonts w:cs="Times New Roman"/>
                <w:sz w:val="20"/>
                <w:szCs w:val="20"/>
                <w:vertAlign w:val="superscript"/>
              </w:rPr>
              <w:t>nd</w:t>
            </w:r>
            <w:r w:rsidRPr="002470E0">
              <w:rPr>
                <w:rFonts w:cs="Times New Roman"/>
                <w:sz w:val="20"/>
                <w:szCs w:val="20"/>
              </w:rPr>
              <w:t xml:space="preserve"> degree Mobitz Type II or higher degree AV block, </w:t>
            </w:r>
            <w:proofErr w:type="spellStart"/>
            <w:r w:rsidRPr="002470E0">
              <w:rPr>
                <w:rFonts w:cs="Times New Roman"/>
                <w:sz w:val="20"/>
                <w:szCs w:val="20"/>
              </w:rPr>
              <w:t>Sicksinus</w:t>
            </w:r>
            <w:proofErr w:type="spellEnd"/>
            <w:r w:rsidRPr="002470E0">
              <w:rPr>
                <w:rFonts w:cs="Times New Roman"/>
                <w:sz w:val="20"/>
                <w:szCs w:val="20"/>
              </w:rPr>
              <w:t xml:space="preserve"> syndrome, or </w:t>
            </w:r>
            <w:proofErr w:type="spellStart"/>
            <w:r w:rsidRPr="002470E0">
              <w:rPr>
                <w:rFonts w:cs="Times New Roman"/>
                <w:sz w:val="20"/>
                <w:szCs w:val="20"/>
              </w:rPr>
              <w:t>Sinu</w:t>
            </w:r>
            <w:proofErr w:type="spellEnd"/>
            <w:r w:rsidRPr="002470E0">
              <w:rPr>
                <w:rFonts w:cs="Times New Roman"/>
                <w:sz w:val="20"/>
                <w:szCs w:val="20"/>
              </w:rPr>
              <w:t>-atrial heart block, Significant QT prolongation (QTc&gt;470 msec (female) or &gt;450 msec (males))</w:t>
            </w:r>
          </w:p>
          <w:p w14:paraId="640EDAE5" w14:textId="77777777" w:rsidR="00F7089C" w:rsidRPr="002470E0" w:rsidRDefault="00F7089C" w:rsidP="00F7089C">
            <w:pPr>
              <w:pStyle w:val="Listenabsatz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7"/>
              <w:jc w:val="both"/>
              <w:rPr>
                <w:rFonts w:cs="Times New Roman"/>
                <w:sz w:val="20"/>
                <w:szCs w:val="20"/>
              </w:rPr>
            </w:pPr>
            <w:r w:rsidRPr="002470E0">
              <w:rPr>
                <w:rFonts w:cs="Times New Roman"/>
                <w:sz w:val="20"/>
                <w:szCs w:val="20"/>
              </w:rPr>
              <w:t xml:space="preserve">History of symptomatic bradycardia or recurrent syncope, known ischaemic heart disease, cerebrovascular disease, history of myocardial infarction, hypokalaemia, congestive heart failure, history of cardiac arrest, uncontrolled hypertension, or severe sleep </w:t>
            </w:r>
            <w:proofErr w:type="spellStart"/>
            <w:r w:rsidRPr="002470E0">
              <w:rPr>
                <w:rFonts w:cs="Times New Roman"/>
                <w:sz w:val="20"/>
                <w:szCs w:val="20"/>
              </w:rPr>
              <w:t>apnea</w:t>
            </w:r>
            <w:proofErr w:type="spellEnd"/>
            <w:r w:rsidRPr="002470E0">
              <w:rPr>
                <w:rFonts w:cs="Times New Roman"/>
                <w:sz w:val="20"/>
                <w:szCs w:val="20"/>
              </w:rPr>
              <w:t>.</w:t>
            </w:r>
          </w:p>
          <w:p w14:paraId="28F07AC7" w14:textId="77777777" w:rsidR="00F7089C" w:rsidRPr="002470E0" w:rsidRDefault="00F7089C" w:rsidP="00F7089C">
            <w:pPr>
              <w:pStyle w:val="Listenabsatz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7"/>
              <w:jc w:val="both"/>
              <w:rPr>
                <w:rFonts w:cs="Times New Roman"/>
                <w:sz w:val="20"/>
                <w:szCs w:val="20"/>
              </w:rPr>
            </w:pPr>
            <w:r w:rsidRPr="002470E0">
              <w:rPr>
                <w:rFonts w:cs="Times New Roman"/>
                <w:sz w:val="20"/>
                <w:szCs w:val="20"/>
              </w:rPr>
              <w:t xml:space="preserve">Patients with clinically significant liver, kidney or bone marrow dysfunction at the time of screening (HB &lt;8.5 g / dl; WBC &lt;2.5 / </w:t>
            </w:r>
            <w:proofErr w:type="spellStart"/>
            <w:r w:rsidRPr="002470E0">
              <w:rPr>
                <w:rFonts w:cs="Times New Roman"/>
                <w:sz w:val="20"/>
                <w:szCs w:val="20"/>
              </w:rPr>
              <w:t>nl</w:t>
            </w:r>
            <w:proofErr w:type="spellEnd"/>
            <w:r w:rsidRPr="002470E0">
              <w:rPr>
                <w:rFonts w:cs="Times New Roman"/>
                <w:sz w:val="20"/>
                <w:szCs w:val="20"/>
              </w:rPr>
              <w:t>; platelets &lt;100/</w:t>
            </w:r>
            <w:proofErr w:type="spellStart"/>
            <w:r w:rsidRPr="002470E0">
              <w:rPr>
                <w:rFonts w:cs="Times New Roman"/>
                <w:sz w:val="20"/>
                <w:szCs w:val="20"/>
              </w:rPr>
              <w:t>nl</w:t>
            </w:r>
            <w:proofErr w:type="spellEnd"/>
            <w:r w:rsidRPr="002470E0">
              <w:rPr>
                <w:rFonts w:cs="Times New Roman"/>
                <w:sz w:val="20"/>
                <w:szCs w:val="20"/>
              </w:rPr>
              <w:t xml:space="preserve">; creatinine clearance by </w:t>
            </w:r>
            <w:proofErr w:type="spellStart"/>
            <w:r w:rsidRPr="002470E0">
              <w:rPr>
                <w:rFonts w:cs="Times New Roman"/>
                <w:sz w:val="20"/>
                <w:szCs w:val="20"/>
              </w:rPr>
              <w:t>Cockroft</w:t>
            </w:r>
            <w:proofErr w:type="spellEnd"/>
            <w:r w:rsidRPr="002470E0">
              <w:rPr>
                <w:rFonts w:cs="Times New Roman"/>
                <w:sz w:val="20"/>
                <w:szCs w:val="20"/>
              </w:rPr>
              <w:t xml:space="preserve">-Gault formula: Cl &lt;110ml/min (men) and Cl &lt;95ml/min (women), from age of 30 limit drops 10ml/min per decade; AST / ALT&gt; 3.5 times higher than the upper reference value; </w:t>
            </w:r>
            <w:proofErr w:type="spellStart"/>
            <w:r w:rsidRPr="002470E0">
              <w:rPr>
                <w:rFonts w:cs="Times New Roman"/>
                <w:sz w:val="20"/>
                <w:szCs w:val="20"/>
              </w:rPr>
              <w:t>bilirubine</w:t>
            </w:r>
            <w:proofErr w:type="spellEnd"/>
            <w:r w:rsidRPr="002470E0">
              <w:rPr>
                <w:rFonts w:cs="Times New Roman"/>
                <w:sz w:val="20"/>
                <w:szCs w:val="20"/>
              </w:rPr>
              <w:t>&gt; 2.0 mg / dl)</w:t>
            </w:r>
          </w:p>
          <w:p w14:paraId="2CA2FA3D" w14:textId="77777777" w:rsidR="00F7089C" w:rsidRPr="002470E0" w:rsidRDefault="00F7089C" w:rsidP="00F7089C">
            <w:pPr>
              <w:pStyle w:val="Listenabsatz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7"/>
              <w:jc w:val="both"/>
              <w:rPr>
                <w:rFonts w:cs="Times New Roman"/>
                <w:sz w:val="20"/>
                <w:szCs w:val="20"/>
              </w:rPr>
            </w:pPr>
            <w:r w:rsidRPr="002470E0">
              <w:rPr>
                <w:rFonts w:cs="Times New Roman"/>
                <w:sz w:val="20"/>
                <w:szCs w:val="20"/>
              </w:rPr>
              <w:t>Patients without a history of varicella or without vaccination against varicella zoster virus (VZV) and VZV negative antibody serology</w:t>
            </w:r>
          </w:p>
          <w:p w14:paraId="0366B6C1" w14:textId="77777777" w:rsidR="00F7089C" w:rsidRPr="002470E0" w:rsidRDefault="00F7089C" w:rsidP="00F7089C">
            <w:pPr>
              <w:pStyle w:val="Listenabsatz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7"/>
              <w:jc w:val="both"/>
              <w:rPr>
                <w:rFonts w:cs="Times New Roman"/>
                <w:sz w:val="20"/>
                <w:szCs w:val="20"/>
              </w:rPr>
            </w:pPr>
            <w:r w:rsidRPr="002470E0">
              <w:rPr>
                <w:rFonts w:cs="Times New Roman"/>
                <w:sz w:val="20"/>
                <w:szCs w:val="20"/>
              </w:rPr>
              <w:t>Pregnancy or lactation</w:t>
            </w:r>
          </w:p>
          <w:p w14:paraId="167DAD42" w14:textId="77777777" w:rsidR="00F7089C" w:rsidRPr="002470E0" w:rsidRDefault="00F7089C" w:rsidP="00F7089C">
            <w:pPr>
              <w:pStyle w:val="Listenabsatz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7"/>
              <w:jc w:val="both"/>
              <w:rPr>
                <w:rFonts w:cs="Times New Roman"/>
                <w:sz w:val="20"/>
                <w:szCs w:val="20"/>
              </w:rPr>
            </w:pPr>
            <w:r w:rsidRPr="002470E0">
              <w:rPr>
                <w:rFonts w:cs="Times New Roman"/>
                <w:sz w:val="20"/>
                <w:szCs w:val="20"/>
              </w:rPr>
              <w:t>Participation in another interventional clinical trial within the last 3 months prior to baseline or during the study period</w:t>
            </w:r>
          </w:p>
          <w:p w14:paraId="6E6C77B8" w14:textId="77777777" w:rsidR="00F7089C" w:rsidRPr="002470E0" w:rsidRDefault="00F7089C" w:rsidP="00F7089C">
            <w:pPr>
              <w:pStyle w:val="Listenabsatz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7"/>
              <w:jc w:val="both"/>
              <w:rPr>
                <w:rFonts w:cs="Times New Roman"/>
                <w:sz w:val="20"/>
                <w:szCs w:val="20"/>
              </w:rPr>
            </w:pPr>
            <w:r w:rsidRPr="002470E0">
              <w:rPr>
                <w:rFonts w:cs="Times New Roman"/>
                <w:sz w:val="20"/>
                <w:szCs w:val="20"/>
              </w:rPr>
              <w:t>Treatment with natalizumab within the last 3 months prior to baseline, treatment with mitoxantrone, azathioprine or any other immunosuppressive drugs except prednisolone within the last 6 months prior to baseline.</w:t>
            </w:r>
          </w:p>
          <w:p w14:paraId="5239B744" w14:textId="77777777" w:rsidR="00F7089C" w:rsidRPr="002470E0" w:rsidRDefault="00F7089C" w:rsidP="00F7089C">
            <w:pPr>
              <w:pStyle w:val="Listenabsatz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7"/>
              <w:jc w:val="both"/>
              <w:rPr>
                <w:rFonts w:cs="Times New Roman"/>
                <w:sz w:val="20"/>
                <w:szCs w:val="20"/>
              </w:rPr>
            </w:pPr>
            <w:r w:rsidRPr="002470E0">
              <w:rPr>
                <w:rFonts w:cs="Times New Roman"/>
                <w:sz w:val="20"/>
                <w:szCs w:val="20"/>
              </w:rPr>
              <w:t xml:space="preserve">Patients receiving </w:t>
            </w:r>
            <w:proofErr w:type="spellStart"/>
            <w:r w:rsidRPr="002470E0">
              <w:rPr>
                <w:rFonts w:cs="Times New Roman"/>
                <w:sz w:val="20"/>
                <w:szCs w:val="20"/>
              </w:rPr>
              <w:t>antiarrythmics</w:t>
            </w:r>
            <w:proofErr w:type="spellEnd"/>
            <w:r w:rsidRPr="002470E0">
              <w:rPr>
                <w:rFonts w:cs="Times New Roman"/>
                <w:sz w:val="20"/>
                <w:szCs w:val="20"/>
              </w:rPr>
              <w:t xml:space="preserve"> class </w:t>
            </w:r>
            <w:proofErr w:type="spellStart"/>
            <w:r w:rsidRPr="002470E0">
              <w:rPr>
                <w:rFonts w:cs="Times New Roman"/>
                <w:sz w:val="20"/>
                <w:szCs w:val="20"/>
              </w:rPr>
              <w:t>Ia</w:t>
            </w:r>
            <w:proofErr w:type="spellEnd"/>
            <w:r w:rsidRPr="002470E0">
              <w:rPr>
                <w:rFonts w:cs="Times New Roman"/>
                <w:sz w:val="20"/>
                <w:szCs w:val="20"/>
              </w:rPr>
              <w:t xml:space="preserve"> (e.g. quinidine, disopyramide) or class III (e.g. amiodarone, sotalol) or beta blockers. Patients receiving heart rate lowering calcium channel blockers (e.g. verapamil, diltiazem or ivabradine) or other </w:t>
            </w:r>
            <w:r w:rsidRPr="002470E0">
              <w:rPr>
                <w:rFonts w:cs="Times New Roman"/>
                <w:sz w:val="20"/>
                <w:szCs w:val="20"/>
              </w:rPr>
              <w:lastRenderedPageBreak/>
              <w:t xml:space="preserve">substances which may decrease heart rate (e.g. digoxin, </w:t>
            </w:r>
            <w:proofErr w:type="spellStart"/>
            <w:r w:rsidRPr="002470E0">
              <w:rPr>
                <w:rFonts w:cs="Times New Roman"/>
                <w:sz w:val="20"/>
                <w:szCs w:val="20"/>
              </w:rPr>
              <w:t>anticholinesteratic</w:t>
            </w:r>
            <w:proofErr w:type="spellEnd"/>
            <w:r w:rsidRPr="002470E0">
              <w:rPr>
                <w:rFonts w:cs="Times New Roman"/>
                <w:sz w:val="20"/>
                <w:szCs w:val="20"/>
              </w:rPr>
              <w:t xml:space="preserve"> agents or pilocarpine).</w:t>
            </w:r>
          </w:p>
          <w:p w14:paraId="0B389B6D" w14:textId="77777777" w:rsidR="00F7089C" w:rsidRPr="002470E0" w:rsidRDefault="00F7089C" w:rsidP="00F7089C">
            <w:pPr>
              <w:pStyle w:val="Listenabsatz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7"/>
              <w:jc w:val="both"/>
              <w:rPr>
                <w:rFonts w:cs="Times New Roman"/>
                <w:sz w:val="20"/>
                <w:szCs w:val="20"/>
              </w:rPr>
            </w:pPr>
            <w:r w:rsidRPr="002470E0">
              <w:rPr>
                <w:rFonts w:cs="Times New Roman"/>
                <w:sz w:val="20"/>
                <w:szCs w:val="20"/>
              </w:rPr>
              <w:t>Medical, psychiatric or other conditions that limit the patient’ s ability to understand the patient’s information, to give informed consent or to follow the study protocol</w:t>
            </w:r>
          </w:p>
          <w:p w14:paraId="15AF5168" w14:textId="77777777" w:rsidR="00F7089C" w:rsidRPr="002470E0" w:rsidRDefault="00F7089C" w:rsidP="00F7089C">
            <w:pPr>
              <w:pStyle w:val="Listenabsatz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7"/>
              <w:jc w:val="both"/>
              <w:rPr>
                <w:rFonts w:cs="Times New Roman"/>
                <w:sz w:val="20"/>
                <w:szCs w:val="20"/>
              </w:rPr>
            </w:pPr>
            <w:r w:rsidRPr="002470E0">
              <w:rPr>
                <w:rFonts w:cs="Times New Roman"/>
                <w:sz w:val="20"/>
                <w:szCs w:val="20"/>
              </w:rPr>
              <w:t>Lack of consent to the storage and analysis of pseudonymous data in the context of the clinical trial</w:t>
            </w:r>
          </w:p>
          <w:p w14:paraId="01D2CE17" w14:textId="77777777" w:rsidR="00F7089C" w:rsidRPr="002470E0" w:rsidRDefault="00F7089C" w:rsidP="00F7089C">
            <w:pPr>
              <w:pStyle w:val="Listenabsatz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7"/>
              <w:jc w:val="both"/>
              <w:rPr>
                <w:rFonts w:cs="Times New Roman"/>
                <w:sz w:val="20"/>
                <w:szCs w:val="20"/>
              </w:rPr>
            </w:pPr>
            <w:r w:rsidRPr="002470E0">
              <w:rPr>
                <w:rFonts w:cs="Times New Roman"/>
                <w:sz w:val="20"/>
                <w:szCs w:val="20"/>
              </w:rPr>
              <w:t>Prisoners or patients that are housed in a judicial institution</w:t>
            </w:r>
          </w:p>
        </w:tc>
      </w:tr>
    </w:tbl>
    <w:p w14:paraId="63CA695E" w14:textId="77777777" w:rsidR="005A10F7" w:rsidRDefault="005A10F7"/>
    <w:sectPr w:rsidR="005A10F7" w:rsidSect="00F7089C"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E42A5C"/>
    <w:multiLevelType w:val="hybridMultilevel"/>
    <w:tmpl w:val="AB6A72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89C"/>
    <w:rsid w:val="00245CD9"/>
    <w:rsid w:val="005A10F7"/>
    <w:rsid w:val="008F7FB9"/>
    <w:rsid w:val="00A8713A"/>
    <w:rsid w:val="00AE5B70"/>
    <w:rsid w:val="00B2187C"/>
    <w:rsid w:val="00B95774"/>
    <w:rsid w:val="00F70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DF866"/>
  <w15:chartTrackingRefBased/>
  <w15:docId w15:val="{7970539A-DDB7-4D00-B4D0-92641785A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7089C"/>
    <w:pPr>
      <w:spacing w:line="360" w:lineRule="auto"/>
    </w:pPr>
    <w:rPr>
      <w:rFonts w:ascii="Times New Roman" w:hAnsi="Times New Roman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7089C"/>
    <w:pPr>
      <w:ind w:left="720"/>
      <w:contextualSpacing/>
    </w:pPr>
  </w:style>
  <w:style w:type="table" w:styleId="Tabellenraster">
    <w:name w:val="Table Grid"/>
    <w:basedOn w:val="NormaleTabelle"/>
    <w:uiPriority w:val="39"/>
    <w:rsid w:val="00F7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2717</Characters>
  <Application>Microsoft Office Word</Application>
  <DocSecurity>0</DocSecurity>
  <Lines>22</Lines>
  <Paragraphs>6</Paragraphs>
  <ScaleCrop>false</ScaleCrop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Schwichtenberg, Svenja</dc:creator>
  <cp:keywords/>
  <dc:description/>
  <cp:lastModifiedBy>Schwichtenberg, Svenja</cp:lastModifiedBy>
  <cp:revision>2</cp:revision>
  <dcterms:created xsi:type="dcterms:W3CDTF">2021-07-05T15:59:00Z</dcterms:created>
  <dcterms:modified xsi:type="dcterms:W3CDTF">2021-07-05T15:59:00Z</dcterms:modified>
</cp:coreProperties>
</file>