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27EEE6" w14:textId="77777777" w:rsidR="00654E8F" w:rsidRPr="001549D3" w:rsidRDefault="00654E8F" w:rsidP="00A21CD7">
      <w:pPr>
        <w:pStyle w:val="SupplementaryMaterial"/>
        <w:rPr>
          <w:b w:val="0"/>
        </w:rPr>
      </w:pPr>
      <w:bookmarkStart w:id="0" w:name="_GoBack"/>
      <w:bookmarkEnd w:id="0"/>
      <w:r w:rsidRPr="001549D3">
        <w:t>Supplementary Material</w:t>
      </w:r>
    </w:p>
    <w:p w14:paraId="3BD5A427" w14:textId="0C40422E" w:rsidR="00EA3D3C" w:rsidRDefault="00654E8F" w:rsidP="00A21CD7">
      <w:pPr>
        <w:pStyle w:val="Heading1"/>
      </w:pPr>
      <w:r w:rsidRPr="00994A3D">
        <w:t xml:space="preserve">Supplementary </w:t>
      </w:r>
      <w:r w:rsidR="0076798C">
        <w:t>Methods</w:t>
      </w:r>
    </w:p>
    <w:p w14:paraId="365FBCE0" w14:textId="77777777" w:rsidR="0076798C" w:rsidRPr="00216F7C" w:rsidRDefault="0076798C" w:rsidP="00A21CD7">
      <w:pPr>
        <w:jc w:val="both"/>
        <w:rPr>
          <w:b/>
          <w:bCs/>
        </w:rPr>
      </w:pPr>
      <w:r w:rsidRPr="00216F7C">
        <w:rPr>
          <w:b/>
          <w:bCs/>
        </w:rPr>
        <w:t xml:space="preserve">Western blot analysis of </w:t>
      </w:r>
      <w:r w:rsidRPr="00216F7C">
        <w:rPr>
          <w:b/>
          <w:bCs/>
          <w:i/>
          <w:iCs/>
        </w:rPr>
        <w:t>C. elegans</w:t>
      </w:r>
      <w:r w:rsidRPr="00216F7C">
        <w:rPr>
          <w:b/>
          <w:bCs/>
        </w:rPr>
        <w:t xml:space="preserve"> strains </w:t>
      </w:r>
    </w:p>
    <w:p w14:paraId="11DDB246" w14:textId="34ED588D" w:rsidR="0076798C" w:rsidRDefault="0076798C" w:rsidP="00A21CD7">
      <w:pPr>
        <w:jc w:val="both"/>
      </w:pPr>
      <w:r w:rsidRPr="00E97F69">
        <w:t xml:space="preserve">For </w:t>
      </w:r>
      <w:r>
        <w:t>W</w:t>
      </w:r>
      <w:r w:rsidRPr="00E97F69">
        <w:t>estern</w:t>
      </w:r>
      <w:r w:rsidR="002A5614">
        <w:t xml:space="preserve"> blot</w:t>
      </w:r>
      <w:r w:rsidRPr="00E97F69">
        <w:t xml:space="preserve"> analysis, nematodes were lysed with a crude boiling method: 50</w:t>
      </w:r>
      <w:r>
        <w:t>-100</w:t>
      </w:r>
      <w:r w:rsidRPr="00E97F69">
        <w:t xml:space="preserve"> nematodes were collected in low protein binding tubes and washed 5x with M9 buffer. Supernatant was almost completely removed and 4x</w:t>
      </w:r>
      <w:r>
        <w:t xml:space="preserve">LB </w:t>
      </w:r>
      <w:r w:rsidRPr="00E97F69">
        <w:t>was added to the nematode pellet. Samples were briefly vortexed, spun and then boiled for 15</w:t>
      </w:r>
      <w:r>
        <w:t xml:space="preserve"> </w:t>
      </w:r>
      <w:r w:rsidRPr="00E97F69">
        <w:t>min at 100°C and</w:t>
      </w:r>
      <w:r>
        <w:t xml:space="preserve"> 1400 rpm shaking</w:t>
      </w:r>
      <w:r w:rsidRPr="00E97F69">
        <w:t xml:space="preserve">. Samples were </w:t>
      </w:r>
      <w:r>
        <w:t>subjected to</w:t>
      </w:r>
      <w:r w:rsidRPr="00E97F69">
        <w:t xml:space="preserve"> </w:t>
      </w:r>
      <w:r>
        <w:t>10</w:t>
      </w:r>
      <w:r w:rsidRPr="00E97F69">
        <w:t>% SDS-PAGE gels</w:t>
      </w:r>
      <w:r>
        <w:t xml:space="preserve"> in Tris-Glycine buffer.</w:t>
      </w:r>
      <w:r w:rsidRPr="00E97F69">
        <w:t xml:space="preserve"> </w:t>
      </w:r>
      <w:r>
        <w:t xml:space="preserve">For all strains except ∆N17, proteins were </w:t>
      </w:r>
      <w:r w:rsidRPr="00E97F69">
        <w:t xml:space="preserve">transferred to a nitrocellulose membrane </w:t>
      </w:r>
      <w:r w:rsidRPr="00216F7C">
        <w:rPr>
          <w:rFonts w:eastAsiaTheme="minorEastAsia"/>
        </w:rPr>
        <w:t>via semi-dry blotting (Trans-Blot Turbo System, BioRad)</w:t>
      </w:r>
      <w:r w:rsidRPr="00E97F69">
        <w:t>.</w:t>
      </w:r>
      <w:r>
        <w:t xml:space="preserve"> For ∆N17 strains, proteins were transferred to a PVDF membrane via wet blotting at 90 V for 2 hrs.</w:t>
      </w:r>
      <w:r w:rsidRPr="00E97F69">
        <w:t xml:space="preserve"> </w:t>
      </w:r>
      <w:r>
        <w:t>Membranes were blocked in 5% skim milk in TBS-T for 1 hour at RT</w:t>
      </w:r>
      <w:r w:rsidRPr="00E97F69">
        <w:t xml:space="preserve"> </w:t>
      </w:r>
      <w:r>
        <w:t xml:space="preserve">and then </w:t>
      </w:r>
      <w:r w:rsidRPr="00E97F69">
        <w:t>probed with primary anti-</w:t>
      </w:r>
      <w:r>
        <w:t>HTT</w:t>
      </w:r>
      <w:r w:rsidRPr="00E97F69">
        <w:t xml:space="preserve"> </w:t>
      </w:r>
      <w:r w:rsidRPr="00216F7C">
        <w:rPr>
          <w:rFonts w:eastAsiaTheme="minorEastAsia"/>
        </w:rPr>
        <w:t>EPR5526</w:t>
      </w:r>
      <w:r w:rsidRPr="00E97F69">
        <w:t xml:space="preserve"> (1:1000; Abcam) for control</w:t>
      </w:r>
      <w:r>
        <w:t>s</w:t>
      </w:r>
      <w:r w:rsidRPr="00E97F69">
        <w:t xml:space="preserve">, </w:t>
      </w:r>
      <w:r w:rsidRPr="00E97F69">
        <w:sym w:font="Symbol" w:char="F044"/>
      </w:r>
      <w:r w:rsidRPr="00E97F69">
        <w:t>P</w:t>
      </w:r>
      <w:r>
        <w:t>,</w:t>
      </w:r>
      <w:r w:rsidRPr="00E97F69">
        <w:t xml:space="preserve"> P+</w:t>
      </w:r>
      <w:r>
        <w:t xml:space="preserve"> and ∆P1</w:t>
      </w:r>
      <w:r w:rsidRPr="00E97F69">
        <w:t xml:space="preserve"> strains</w:t>
      </w:r>
      <w:r>
        <w:t>,</w:t>
      </w:r>
      <w:r w:rsidRPr="00E97F69">
        <w:t xml:space="preserve"> or </w:t>
      </w:r>
      <w:r>
        <w:t>anti-HTT 3B5H10</w:t>
      </w:r>
      <w:r w:rsidRPr="00E97F69">
        <w:t xml:space="preserve"> (</w:t>
      </w:r>
      <w:r w:rsidRPr="00216F7C">
        <w:rPr>
          <w:rFonts w:eastAsiaTheme="minorEastAsia"/>
        </w:rPr>
        <w:t>1:1000; Merck)</w:t>
      </w:r>
      <w:r w:rsidR="002A5614">
        <w:rPr>
          <w:rFonts w:eastAsiaTheme="minorEastAsia"/>
        </w:rPr>
        <w:t xml:space="preserve"> </w:t>
      </w:r>
      <w:r w:rsidR="00F22B14">
        <w:rPr>
          <w:rFonts w:eastAsiaTheme="minorEastAsia"/>
        </w:rPr>
        <w:t>antibody</w:t>
      </w:r>
      <w:r w:rsidRPr="00216F7C">
        <w:rPr>
          <w:rFonts w:eastAsiaTheme="minorEastAsia"/>
        </w:rPr>
        <w:t xml:space="preserve"> for </w:t>
      </w:r>
      <w:r w:rsidRPr="00E97F69">
        <w:sym w:font="Symbol" w:char="F044"/>
      </w:r>
      <w:r w:rsidRPr="00E97F69">
        <w:t>N17 strains</w:t>
      </w:r>
      <w:r>
        <w:t xml:space="preserve"> and controls. For secondary antibody,</w:t>
      </w:r>
      <w:r w:rsidRPr="00E97F69">
        <w:t xml:space="preserve"> HRP-conjugates anti-rabbit and anti-mouse antibodies (</w:t>
      </w:r>
      <w:r w:rsidRPr="00216F7C">
        <w:rPr>
          <w:rFonts w:eastAsiaTheme="minorEastAsia"/>
        </w:rPr>
        <w:t>1:10,000, #31460 and #31444, Thermo Fisher) were applied</w:t>
      </w:r>
      <w:r w:rsidRPr="00E97F69">
        <w:t xml:space="preserve">. </w:t>
      </w:r>
      <w:r w:rsidRPr="00216F7C">
        <w:rPr>
          <w:rFonts w:eastAsiaTheme="minorEastAsia"/>
        </w:rPr>
        <w:t>Blots were imaged on a Lumi-Imager F1 system and employing LumiAnalyst software (Boehringer Mannheim GmbH).</w:t>
      </w:r>
    </w:p>
    <w:p w14:paraId="010CD331" w14:textId="77777777" w:rsidR="0076798C" w:rsidRDefault="0076798C" w:rsidP="00A21CD7">
      <w:pPr>
        <w:jc w:val="both"/>
      </w:pPr>
    </w:p>
    <w:p w14:paraId="640EB546" w14:textId="77777777" w:rsidR="0076798C" w:rsidRPr="00216F7C" w:rsidRDefault="0076798C" w:rsidP="00A21CD7">
      <w:pPr>
        <w:jc w:val="both"/>
        <w:rPr>
          <w:b/>
          <w:bCs/>
        </w:rPr>
      </w:pPr>
      <w:r w:rsidRPr="00216F7C">
        <w:rPr>
          <w:b/>
          <w:bCs/>
        </w:rPr>
        <w:t xml:space="preserve">Immunohistochemistry of </w:t>
      </w:r>
      <w:r w:rsidRPr="00216F7C">
        <w:rPr>
          <w:b/>
          <w:bCs/>
          <w:i/>
          <w:iCs/>
        </w:rPr>
        <w:t>C. elegans</w:t>
      </w:r>
      <w:r w:rsidRPr="00216F7C">
        <w:rPr>
          <w:b/>
          <w:bCs/>
        </w:rPr>
        <w:t xml:space="preserve"> </w:t>
      </w:r>
    </w:p>
    <w:p w14:paraId="234D1A4C" w14:textId="64B65DE3" w:rsidR="0076798C" w:rsidRDefault="0076798C" w:rsidP="00A21CD7">
      <w:pPr>
        <w:jc w:val="both"/>
      </w:pPr>
      <w:r w:rsidRPr="00E97F69">
        <w:t xml:space="preserve">Immunohistochemistry of </w:t>
      </w:r>
      <w:r>
        <w:t>HTT</w:t>
      </w:r>
      <w:r w:rsidRPr="00E97F69">
        <w:t xml:space="preserve"> strains was performed as previously described</w:t>
      </w:r>
      <w:r>
        <w:t xml:space="preserve"> </w:t>
      </w:r>
      <w:r>
        <w:fldChar w:fldCharType="begin" w:fldLock="1"/>
      </w:r>
      <w:r>
        <w:instrText>ADDIN CSL_CITATION {"citationItems":[{"id":"ITEM-1","itemData":{"DOI":"10.1016/0092-8674(93)90357-V","ISSN":"00928674","PMID":"8391930","abstract":"Synaptotagmin is an abundant synaptic vesicle-associated protein proposed to be involved in calcium-mediated neurotransmitter release. Our molecular and genetic results demonstrate that, although synaptotagmin is required for the proper function of the presynaptic nerve terminal in C. elegans, some neurotransmitter release persists in synaptogamin mutants. In C. elegans neurons, synaptotagmin is localized to regions known to be rich in synapses and appears to be associated with synaptic vesicles. Mutants defective in the synaptotagmin gene, called snt-1, exhibit severe behavioral abnormalities that are characteristic of deficiencies in synaptic function, including severe locomotion, feeding, and defecation defects. The mutants are defective in exocytosis, since they accumulate acetylcholine, and are resistant to cholinesterase inhibitors, but they nevertheless remain sensitive to cholinergic receptor agonists. In spite of these exocytic defects, snt-1 mutants are capable of coordinated motor movements, indicating that the mutants do not have a complete block of neurotransmitter release. © 1993.","author":[{"dropping-particle":"","family":"Nonet","given":"Michael L.","non-dropping-particle":"","parse-names":false,"suffix":""},{"dropping-particle":"","family":"Grundahl","given":"Kiely","non-dropping-particle":"","parse-names":false,"suffix":""},{"dropping-particle":"","family":"Meyer","given":"Barbara J.","non-dropping-particle":"","parse-names":false,"suffix":""},{"dropping-particle":"","family":"Rand","given":"James B.","non-dropping-particle":"","parse-names":false,"suffix":""}],"container-title":"Cell","id":"ITEM-1","issue":"7","issued":{"date-parts":[["1993","7"]]},"page":"1291-1305","title":"Synaptic function is impaired but not eliminated in C. elegans mutants lacking synaptotagmin","type":"article-journal","volume":"73"},"uris":["http://www.mendeley.com/documents/?uuid=7ec685b7-95c3-4cf0-b7b7-5d2fb992d1ec"]}],"mendeley":{"formattedCitation":"(Nonet et al., 1993)","plainTextFormattedCitation":"(Nonet et al., 1993)","previouslyFormattedCitation":"(Nonet et al., 1993)"},"properties":{"noteIndex":0},"schema":"https://github.com/citation-style-language/schema/raw/master/csl-citation.json"}</w:instrText>
      </w:r>
      <w:r>
        <w:fldChar w:fldCharType="separate"/>
      </w:r>
      <w:r w:rsidRPr="00A601FE">
        <w:rPr>
          <w:noProof/>
        </w:rPr>
        <w:t>(Nonet et al., 1993)</w:t>
      </w:r>
      <w:r>
        <w:fldChar w:fldCharType="end"/>
      </w:r>
      <w:r w:rsidRPr="00E97F69">
        <w:t>, following the collagenase IV method. Treated nematodes were incubated</w:t>
      </w:r>
      <w:r>
        <w:t xml:space="preserve"> for 24 hrs</w:t>
      </w:r>
      <w:r w:rsidRPr="00E97F69">
        <w:t xml:space="preserve"> with primary antibodies against</w:t>
      </w:r>
      <w:r>
        <w:t xml:space="preserve"> </w:t>
      </w:r>
      <w:r w:rsidRPr="00216F7C">
        <w:rPr>
          <w:rFonts w:eastAsiaTheme="minorEastAsia"/>
        </w:rPr>
        <w:t>EPR5526</w:t>
      </w:r>
      <w:r w:rsidRPr="00E97F69">
        <w:t xml:space="preserve"> (1:</w:t>
      </w:r>
      <w:r>
        <w:t>1</w:t>
      </w:r>
      <w:r w:rsidRPr="00E97F69">
        <w:t xml:space="preserve">00; </w:t>
      </w:r>
      <w:r w:rsidRPr="00216F7C">
        <w:rPr>
          <w:rFonts w:eastAsiaTheme="minorEastAsia"/>
        </w:rPr>
        <w:t xml:space="preserve">EPR5526, </w:t>
      </w:r>
      <w:r w:rsidRPr="00E97F69">
        <w:t xml:space="preserve">Abcam) for control, </w:t>
      </w:r>
      <w:r w:rsidRPr="00E97F69">
        <w:sym w:font="Symbol" w:char="F044"/>
      </w:r>
      <w:r w:rsidRPr="00E97F69">
        <w:t>P</w:t>
      </w:r>
      <w:r>
        <w:t>,</w:t>
      </w:r>
      <w:r w:rsidRPr="00E97F69">
        <w:t xml:space="preserve"> P+</w:t>
      </w:r>
      <w:r>
        <w:t xml:space="preserve"> and ∆P1</w:t>
      </w:r>
      <w:r w:rsidRPr="00E97F69">
        <w:t xml:space="preserve"> strains, and </w:t>
      </w:r>
      <w:r>
        <w:t>5TF1-3B5H10</w:t>
      </w:r>
      <w:r w:rsidRPr="00216F7C">
        <w:rPr>
          <w:rFonts w:eastAsiaTheme="minorEastAsia"/>
        </w:rPr>
        <w:t xml:space="preserve"> (1:100; Merck)</w:t>
      </w:r>
      <w:r w:rsidR="002A5614">
        <w:rPr>
          <w:rFonts w:eastAsiaTheme="minorEastAsia"/>
        </w:rPr>
        <w:t xml:space="preserve"> </w:t>
      </w:r>
      <w:r w:rsidRPr="00216F7C">
        <w:rPr>
          <w:rFonts w:eastAsiaTheme="minorEastAsia"/>
        </w:rPr>
        <w:t xml:space="preserve">for controls and </w:t>
      </w:r>
      <w:r w:rsidRPr="00E97F69">
        <w:sym w:font="Symbol" w:char="F044"/>
      </w:r>
      <w:r w:rsidRPr="00E97F69">
        <w:t>N17 strains and probed with Alexa Fluor 647 anti-rabbit or anti-mouse secondary antibodies (1:10</w:t>
      </w:r>
      <w:r>
        <w:t>,</w:t>
      </w:r>
      <w:r w:rsidRPr="00E97F69">
        <w:t xml:space="preserve">000, ab150075 and ab150115, Abcam). Nematodes were embedded in VectaShield media containing DAPI to stain cell nuclei (Vector Laboratories) and imaged on a Leica SP8 with HC PL APO CS2 100×/1.40 NA oil objective (Leica Microsystems) and with a supercontinuum white light laser (NKT Photonics) with excitations/emissions (ex/em) set at 405/440nm, 561/590nm and 637/750nm for DAPI, mScarlet and HTT, respectively. </w:t>
      </w:r>
    </w:p>
    <w:p w14:paraId="18378DFE" w14:textId="0A7999E4" w:rsidR="0076798C" w:rsidRDefault="0076798C" w:rsidP="00A21CD7"/>
    <w:p w14:paraId="76117AA5" w14:textId="6EE22493" w:rsidR="00B56449" w:rsidRPr="00B56449" w:rsidRDefault="00B56449" w:rsidP="00A21CD7">
      <w:pPr>
        <w:rPr>
          <w:b/>
          <w:bCs/>
        </w:rPr>
      </w:pPr>
      <w:r w:rsidRPr="00B56449">
        <w:rPr>
          <w:b/>
          <w:bCs/>
        </w:rPr>
        <w:t>References</w:t>
      </w:r>
    </w:p>
    <w:p w14:paraId="2AECE3B9" w14:textId="12516A94" w:rsidR="006D3DEC" w:rsidRPr="006D3DEC" w:rsidRDefault="006D3DEC" w:rsidP="006D3DEC">
      <w:pPr>
        <w:widowControl w:val="0"/>
        <w:autoSpaceDE w:val="0"/>
        <w:autoSpaceDN w:val="0"/>
        <w:adjustRightInd w:val="0"/>
        <w:ind w:left="480" w:hanging="480"/>
        <w:rPr>
          <w:rFonts w:cs="Times New Roman"/>
          <w:noProof/>
        </w:rPr>
      </w:pPr>
      <w:r>
        <w:fldChar w:fldCharType="begin" w:fldLock="1"/>
      </w:r>
      <w:r>
        <w:instrText xml:space="preserve">ADDIN Mendeley Bibliography CSL_BIBLIOGRAPHY </w:instrText>
      </w:r>
      <w:r>
        <w:fldChar w:fldCharType="separate"/>
      </w:r>
      <w:r w:rsidRPr="006D3DEC">
        <w:rPr>
          <w:rFonts w:cs="Times New Roman"/>
          <w:noProof/>
          <w:lang w:val="en-GB"/>
        </w:rPr>
        <w:t xml:space="preserve">Nonet, M. L., Grundahl, K., Meyer, B. J., and Rand, J. B. (1993). Synaptic function is impaired but not eliminated in C. elegans mutants lacking synaptotagmin. </w:t>
      </w:r>
      <w:r w:rsidRPr="006D3DEC">
        <w:rPr>
          <w:rFonts w:cs="Times New Roman"/>
          <w:i/>
          <w:iCs/>
          <w:noProof/>
          <w:lang w:val="en-GB"/>
        </w:rPr>
        <w:t>Cell</w:t>
      </w:r>
      <w:r w:rsidRPr="006D3DEC">
        <w:rPr>
          <w:rFonts w:cs="Times New Roman"/>
          <w:noProof/>
          <w:lang w:val="en-GB"/>
        </w:rPr>
        <w:t xml:space="preserve"> 73, 1291–1305. doi:10.1016/0092-8674(93)90357-V.</w:t>
      </w:r>
    </w:p>
    <w:p w14:paraId="179C9A8D" w14:textId="5D47ABDD" w:rsidR="00F85599" w:rsidRDefault="006D3DEC" w:rsidP="00A21CD7">
      <w:r>
        <w:fldChar w:fldCharType="end"/>
      </w:r>
    </w:p>
    <w:p w14:paraId="219928A9" w14:textId="77777777" w:rsidR="006D3DEC" w:rsidRDefault="006D3DEC" w:rsidP="00A21CD7"/>
    <w:p w14:paraId="68750A38" w14:textId="77777777" w:rsidR="00F85599" w:rsidRPr="0076798C" w:rsidRDefault="00F85599" w:rsidP="00A21CD7"/>
    <w:p w14:paraId="4D059444" w14:textId="77777777" w:rsidR="00994A3D" w:rsidRPr="00994A3D" w:rsidRDefault="00654E8F" w:rsidP="00A21CD7">
      <w:pPr>
        <w:pStyle w:val="Heading1"/>
      </w:pPr>
      <w:r w:rsidRPr="00994A3D">
        <w:lastRenderedPageBreak/>
        <w:t>Supplementary Figures and Tables</w:t>
      </w:r>
    </w:p>
    <w:p w14:paraId="368DED29" w14:textId="1C5FD96B" w:rsidR="00AC44DC" w:rsidRDefault="00043531" w:rsidP="00A21CD7">
      <w:pPr>
        <w:jc w:val="both"/>
        <w:rPr>
          <w:rFonts w:cs="Times New Roman"/>
          <w:b/>
        </w:rPr>
      </w:pPr>
      <w:r w:rsidRPr="00043531">
        <w:rPr>
          <w:rFonts w:cs="Times New Roman"/>
          <w:b/>
        </w:rPr>
        <w:t xml:space="preserve">Supplementary Table </w:t>
      </w:r>
      <w:r>
        <w:rPr>
          <w:rFonts w:cs="Times New Roman"/>
          <w:b/>
        </w:rPr>
        <w:t>S</w:t>
      </w:r>
      <w:r w:rsidRPr="00043531">
        <w:rPr>
          <w:rFonts w:cs="Times New Roman"/>
          <w:b/>
        </w:rPr>
        <w:t xml:space="preserve">1. </w:t>
      </w:r>
    </w:p>
    <w:p w14:paraId="76BA2DAA" w14:textId="50FCC5AE" w:rsidR="00043531" w:rsidRPr="00043531" w:rsidRDefault="00043531" w:rsidP="00A21CD7">
      <w:pPr>
        <w:jc w:val="both"/>
        <w:rPr>
          <w:rFonts w:cs="Times New Roman"/>
          <w:b/>
        </w:rPr>
      </w:pPr>
      <w:r w:rsidRPr="00043531">
        <w:rPr>
          <w:rFonts w:cs="Times New Roman"/>
          <w:b/>
          <w:i/>
          <w:iCs/>
        </w:rPr>
        <w:t>C. elegans</w:t>
      </w:r>
      <w:r>
        <w:rPr>
          <w:rFonts w:cs="Times New Roman"/>
          <w:b/>
        </w:rPr>
        <w:t xml:space="preserve"> Huntington´s disease models</w:t>
      </w:r>
    </w:p>
    <w:tbl>
      <w:tblPr>
        <w:tblStyle w:val="TableGridLight"/>
        <w:tblpPr w:leftFromText="180" w:rightFromText="180" w:vertAnchor="page" w:horzAnchor="margin" w:tblpY="3028"/>
        <w:tblW w:w="0" w:type="auto"/>
        <w:tblLayout w:type="fixed"/>
        <w:tblLook w:val="04A0" w:firstRow="1" w:lastRow="0" w:firstColumn="1" w:lastColumn="0" w:noHBand="0" w:noVBand="1"/>
      </w:tblPr>
      <w:tblGrid>
        <w:gridCol w:w="2122"/>
        <w:gridCol w:w="7645"/>
      </w:tblGrid>
      <w:tr w:rsidR="00043531" w14:paraId="3CB641E9" w14:textId="77777777" w:rsidTr="00043531">
        <w:trPr>
          <w:trHeight w:hRule="exact" w:val="624"/>
        </w:trPr>
        <w:tc>
          <w:tcPr>
            <w:tcW w:w="2122" w:type="dxa"/>
            <w:tcBorders>
              <w:top w:val="nil"/>
              <w:left w:val="nil"/>
              <w:bottom w:val="double" w:sz="4" w:space="0" w:color="auto"/>
              <w:right w:val="single" w:sz="4" w:space="0" w:color="auto"/>
            </w:tcBorders>
          </w:tcPr>
          <w:p w14:paraId="34EE479A" w14:textId="77777777" w:rsidR="00043531" w:rsidRPr="001A31B6" w:rsidRDefault="00043531" w:rsidP="00043531">
            <w:pPr>
              <w:spacing w:before="240"/>
              <w:rPr>
                <w:rFonts w:cs="Times New Roman"/>
                <w:b/>
                <w:i/>
                <w:iCs/>
              </w:rPr>
            </w:pPr>
            <w:r w:rsidRPr="001A31B6">
              <w:rPr>
                <w:rFonts w:cs="Times New Roman"/>
                <w:b/>
                <w:i/>
                <w:iCs/>
              </w:rPr>
              <w:t>C. elegans Strain</w:t>
            </w:r>
          </w:p>
        </w:tc>
        <w:tc>
          <w:tcPr>
            <w:tcW w:w="7645" w:type="dxa"/>
            <w:tcBorders>
              <w:top w:val="nil"/>
              <w:left w:val="single" w:sz="4" w:space="0" w:color="auto"/>
              <w:bottom w:val="double" w:sz="4" w:space="0" w:color="auto"/>
              <w:right w:val="nil"/>
            </w:tcBorders>
          </w:tcPr>
          <w:p w14:paraId="343DAA2D" w14:textId="77777777" w:rsidR="00043531" w:rsidRPr="001A31B6" w:rsidRDefault="00043531" w:rsidP="00043531">
            <w:pPr>
              <w:spacing w:before="240"/>
              <w:rPr>
                <w:rFonts w:cs="Times New Roman"/>
                <w:b/>
                <w:i/>
                <w:iCs/>
              </w:rPr>
            </w:pPr>
            <w:r>
              <w:rPr>
                <w:rFonts w:cs="Times New Roman"/>
                <w:b/>
                <w:i/>
                <w:iCs/>
              </w:rPr>
              <w:t>Genotype</w:t>
            </w:r>
          </w:p>
        </w:tc>
      </w:tr>
      <w:tr w:rsidR="00043531" w14:paraId="652CFCD7" w14:textId="77777777" w:rsidTr="00043531">
        <w:trPr>
          <w:trHeight w:hRule="exact" w:val="567"/>
        </w:trPr>
        <w:tc>
          <w:tcPr>
            <w:tcW w:w="2122" w:type="dxa"/>
            <w:tcBorders>
              <w:top w:val="double" w:sz="4" w:space="0" w:color="auto"/>
              <w:left w:val="nil"/>
              <w:bottom w:val="single" w:sz="4" w:space="0" w:color="auto"/>
              <w:right w:val="single" w:sz="4" w:space="0" w:color="auto"/>
            </w:tcBorders>
            <w:shd w:val="clear" w:color="auto" w:fill="F2F2F2" w:themeFill="background1" w:themeFillShade="F2"/>
          </w:tcPr>
          <w:p w14:paraId="370B5F03" w14:textId="77777777" w:rsidR="00043531" w:rsidRPr="003067F8" w:rsidRDefault="00043531" w:rsidP="00043531">
            <w:pPr>
              <w:spacing w:before="240"/>
              <w:rPr>
                <w:rFonts w:cs="Times New Roman"/>
                <w:b/>
                <w:sz w:val="22"/>
              </w:rPr>
            </w:pPr>
            <w:r w:rsidRPr="003067F8">
              <w:rPr>
                <w:rFonts w:cs="Times New Roman"/>
                <w:b/>
                <w:sz w:val="22"/>
              </w:rPr>
              <w:t>mScarlet</w:t>
            </w:r>
          </w:p>
        </w:tc>
        <w:tc>
          <w:tcPr>
            <w:tcW w:w="7645" w:type="dxa"/>
            <w:tcBorders>
              <w:top w:val="double" w:sz="4" w:space="0" w:color="auto"/>
              <w:left w:val="single" w:sz="4" w:space="0" w:color="auto"/>
              <w:bottom w:val="single" w:sz="4" w:space="0" w:color="auto"/>
              <w:right w:val="nil"/>
            </w:tcBorders>
            <w:shd w:val="clear" w:color="auto" w:fill="F2F2F2" w:themeFill="background1" w:themeFillShade="F2"/>
          </w:tcPr>
          <w:p w14:paraId="4A48C7FC" w14:textId="77777777" w:rsidR="00043531" w:rsidRPr="003067F8" w:rsidRDefault="00043531" w:rsidP="00043531">
            <w:pPr>
              <w:spacing w:before="240"/>
              <w:rPr>
                <w:rFonts w:cs="Times New Roman"/>
                <w:bCs/>
                <w:i/>
                <w:iCs/>
                <w:sz w:val="22"/>
              </w:rPr>
            </w:pPr>
            <w:r w:rsidRPr="003067F8">
              <w:rPr>
                <w:rFonts w:cs="Times New Roman"/>
                <w:bCs/>
                <w:i/>
                <w:iCs/>
                <w:sz w:val="22"/>
              </w:rPr>
              <w:t>ppD95_rgef-1::SM-IRES-mSCA-NP::unc54-3’UTR</w:t>
            </w:r>
          </w:p>
        </w:tc>
      </w:tr>
      <w:tr w:rsidR="00043531" w14:paraId="1795A4E4" w14:textId="77777777" w:rsidTr="00043531">
        <w:trPr>
          <w:trHeight w:hRule="exact" w:val="567"/>
        </w:trPr>
        <w:tc>
          <w:tcPr>
            <w:tcW w:w="2122" w:type="dxa"/>
            <w:tcBorders>
              <w:top w:val="single" w:sz="4" w:space="0" w:color="auto"/>
              <w:left w:val="nil"/>
              <w:bottom w:val="single" w:sz="4" w:space="0" w:color="auto"/>
              <w:right w:val="single" w:sz="4" w:space="0" w:color="auto"/>
            </w:tcBorders>
          </w:tcPr>
          <w:p w14:paraId="09ECAC56" w14:textId="77777777" w:rsidR="00043531" w:rsidRPr="003067F8" w:rsidRDefault="00043531" w:rsidP="00043531">
            <w:pPr>
              <w:spacing w:before="240"/>
              <w:rPr>
                <w:rFonts w:cs="Times New Roman"/>
                <w:b/>
                <w:sz w:val="22"/>
              </w:rPr>
            </w:pPr>
            <w:r w:rsidRPr="003067F8">
              <w:rPr>
                <w:rFonts w:cs="Times New Roman"/>
                <w:b/>
                <w:sz w:val="22"/>
              </w:rPr>
              <w:t>Q23*</w:t>
            </w:r>
          </w:p>
        </w:tc>
        <w:tc>
          <w:tcPr>
            <w:tcW w:w="7645" w:type="dxa"/>
            <w:tcBorders>
              <w:top w:val="single" w:sz="4" w:space="0" w:color="auto"/>
              <w:left w:val="single" w:sz="4" w:space="0" w:color="auto"/>
              <w:bottom w:val="single" w:sz="4" w:space="0" w:color="auto"/>
              <w:right w:val="nil"/>
            </w:tcBorders>
          </w:tcPr>
          <w:p w14:paraId="579C05C1" w14:textId="77777777" w:rsidR="00043531" w:rsidRPr="003067F8" w:rsidRDefault="00043531" w:rsidP="00043531">
            <w:pPr>
              <w:spacing w:before="240"/>
              <w:rPr>
                <w:rFonts w:cs="Times New Roman"/>
                <w:bCs/>
                <w:i/>
                <w:iCs/>
                <w:sz w:val="22"/>
              </w:rPr>
            </w:pPr>
            <w:r w:rsidRPr="003067F8">
              <w:rPr>
                <w:rFonts w:cs="Times New Roman"/>
                <w:bCs/>
                <w:i/>
                <w:iCs/>
                <w:sz w:val="22"/>
              </w:rPr>
              <w:t>pPD_95-rgef-1::HTTQ23*-IRES-mSCA:: HTTQ23*-unc54-3’UTR</w:t>
            </w:r>
          </w:p>
        </w:tc>
      </w:tr>
      <w:tr w:rsidR="00043531" w14:paraId="6A961414" w14:textId="77777777" w:rsidTr="00043531">
        <w:trPr>
          <w:trHeight w:hRule="exact" w:val="567"/>
        </w:trPr>
        <w:tc>
          <w:tcPr>
            <w:tcW w:w="2122" w:type="dxa"/>
            <w:tcBorders>
              <w:top w:val="single" w:sz="4" w:space="0" w:color="auto"/>
              <w:left w:val="nil"/>
              <w:bottom w:val="single" w:sz="4" w:space="0" w:color="auto"/>
              <w:right w:val="single" w:sz="4" w:space="0" w:color="auto"/>
            </w:tcBorders>
            <w:shd w:val="clear" w:color="auto" w:fill="F2F2F2" w:themeFill="background1" w:themeFillShade="F2"/>
          </w:tcPr>
          <w:p w14:paraId="62E38842" w14:textId="77777777" w:rsidR="00043531" w:rsidRPr="003067F8" w:rsidRDefault="00043531" w:rsidP="00043531">
            <w:pPr>
              <w:spacing w:before="240"/>
              <w:rPr>
                <w:rFonts w:cs="Times New Roman"/>
                <w:b/>
                <w:sz w:val="22"/>
              </w:rPr>
            </w:pPr>
            <w:r w:rsidRPr="003067F8">
              <w:rPr>
                <w:rFonts w:cs="Times New Roman"/>
                <w:b/>
                <w:sz w:val="22"/>
              </w:rPr>
              <w:t>Q48*</w:t>
            </w:r>
          </w:p>
        </w:tc>
        <w:tc>
          <w:tcPr>
            <w:tcW w:w="7645" w:type="dxa"/>
            <w:tcBorders>
              <w:top w:val="single" w:sz="4" w:space="0" w:color="auto"/>
              <w:left w:val="single" w:sz="4" w:space="0" w:color="auto"/>
              <w:bottom w:val="single" w:sz="4" w:space="0" w:color="auto"/>
              <w:right w:val="nil"/>
            </w:tcBorders>
            <w:shd w:val="clear" w:color="auto" w:fill="F2F2F2" w:themeFill="background1" w:themeFillShade="F2"/>
          </w:tcPr>
          <w:p w14:paraId="4DEF261D" w14:textId="77777777" w:rsidR="00043531" w:rsidRPr="003067F8" w:rsidRDefault="00043531" w:rsidP="00043531">
            <w:pPr>
              <w:spacing w:before="240"/>
              <w:rPr>
                <w:rFonts w:cs="Times New Roman"/>
                <w:bCs/>
                <w:i/>
                <w:iCs/>
                <w:sz w:val="22"/>
              </w:rPr>
            </w:pPr>
            <w:r w:rsidRPr="003067F8">
              <w:rPr>
                <w:rFonts w:cs="Times New Roman"/>
                <w:bCs/>
                <w:i/>
                <w:iCs/>
                <w:sz w:val="22"/>
              </w:rPr>
              <w:t>pPD_95-rgef-1::HTTQ48*-IRES-mSCA:: HTTQ48*-unc54-3’UTR</w:t>
            </w:r>
          </w:p>
        </w:tc>
      </w:tr>
      <w:tr w:rsidR="00043531" w14:paraId="4DECA2CD" w14:textId="77777777" w:rsidTr="00043531">
        <w:trPr>
          <w:trHeight w:hRule="exact" w:val="567"/>
        </w:trPr>
        <w:tc>
          <w:tcPr>
            <w:tcW w:w="2122" w:type="dxa"/>
            <w:tcBorders>
              <w:top w:val="single" w:sz="4" w:space="0" w:color="auto"/>
              <w:left w:val="nil"/>
              <w:bottom w:val="single" w:sz="4" w:space="0" w:color="auto"/>
              <w:right w:val="single" w:sz="4" w:space="0" w:color="auto"/>
            </w:tcBorders>
          </w:tcPr>
          <w:p w14:paraId="1A8D3289" w14:textId="77777777" w:rsidR="00043531" w:rsidRPr="003067F8" w:rsidRDefault="00043531" w:rsidP="00043531">
            <w:pPr>
              <w:spacing w:before="240"/>
              <w:rPr>
                <w:rFonts w:cs="Times New Roman"/>
                <w:b/>
                <w:sz w:val="22"/>
              </w:rPr>
            </w:pPr>
            <w:r w:rsidRPr="003067F8">
              <w:rPr>
                <w:rFonts w:cs="Times New Roman"/>
                <w:b/>
                <w:sz w:val="22"/>
              </w:rPr>
              <w:t>Q23∆P</w:t>
            </w:r>
          </w:p>
        </w:tc>
        <w:tc>
          <w:tcPr>
            <w:tcW w:w="7645" w:type="dxa"/>
            <w:tcBorders>
              <w:top w:val="single" w:sz="4" w:space="0" w:color="auto"/>
              <w:left w:val="single" w:sz="4" w:space="0" w:color="auto"/>
              <w:bottom w:val="single" w:sz="4" w:space="0" w:color="auto"/>
              <w:right w:val="nil"/>
            </w:tcBorders>
          </w:tcPr>
          <w:p w14:paraId="35D8817F" w14:textId="77777777" w:rsidR="00043531" w:rsidRPr="003067F8" w:rsidRDefault="00043531" w:rsidP="00043531">
            <w:pPr>
              <w:spacing w:before="240"/>
              <w:rPr>
                <w:rFonts w:cs="Times New Roman"/>
                <w:bCs/>
                <w:i/>
                <w:iCs/>
                <w:sz w:val="22"/>
              </w:rPr>
            </w:pPr>
            <w:r w:rsidRPr="003067F8">
              <w:rPr>
                <w:rFonts w:cs="Times New Roman"/>
                <w:bCs/>
                <w:i/>
                <w:iCs/>
                <w:sz w:val="22"/>
              </w:rPr>
              <w:t>pPD_95-rgef-1::HTTQ23∆P-IRES-mSCA:: HTTQ23∆P-unc54-3’UTR</w:t>
            </w:r>
          </w:p>
        </w:tc>
      </w:tr>
      <w:tr w:rsidR="00043531" w14:paraId="18F87A3F" w14:textId="77777777" w:rsidTr="00043531">
        <w:trPr>
          <w:trHeight w:hRule="exact" w:val="567"/>
        </w:trPr>
        <w:tc>
          <w:tcPr>
            <w:tcW w:w="2122" w:type="dxa"/>
            <w:tcBorders>
              <w:top w:val="single" w:sz="4" w:space="0" w:color="auto"/>
              <w:left w:val="nil"/>
              <w:bottom w:val="single" w:sz="4" w:space="0" w:color="auto"/>
              <w:right w:val="single" w:sz="4" w:space="0" w:color="auto"/>
            </w:tcBorders>
            <w:shd w:val="clear" w:color="auto" w:fill="F2F2F2" w:themeFill="background1" w:themeFillShade="F2"/>
          </w:tcPr>
          <w:p w14:paraId="0A2E7F1F" w14:textId="77777777" w:rsidR="00043531" w:rsidRPr="003067F8" w:rsidRDefault="00043531" w:rsidP="00043531">
            <w:pPr>
              <w:spacing w:before="240"/>
              <w:rPr>
                <w:rFonts w:cs="Times New Roman"/>
                <w:bCs/>
                <w:i/>
                <w:iCs/>
                <w:sz w:val="22"/>
              </w:rPr>
            </w:pPr>
            <w:r w:rsidRPr="003067F8">
              <w:rPr>
                <w:rFonts w:cs="Times New Roman"/>
                <w:b/>
                <w:sz w:val="22"/>
              </w:rPr>
              <w:t>Q48∆P</w:t>
            </w:r>
          </w:p>
        </w:tc>
        <w:tc>
          <w:tcPr>
            <w:tcW w:w="7645" w:type="dxa"/>
            <w:tcBorders>
              <w:top w:val="single" w:sz="4" w:space="0" w:color="auto"/>
              <w:left w:val="single" w:sz="4" w:space="0" w:color="auto"/>
              <w:bottom w:val="single" w:sz="4" w:space="0" w:color="auto"/>
              <w:right w:val="nil"/>
            </w:tcBorders>
            <w:shd w:val="clear" w:color="auto" w:fill="F2F2F2" w:themeFill="background1" w:themeFillShade="F2"/>
          </w:tcPr>
          <w:p w14:paraId="34CF8A46" w14:textId="77777777" w:rsidR="00043531" w:rsidRPr="003067F8" w:rsidRDefault="00043531" w:rsidP="00043531">
            <w:pPr>
              <w:spacing w:before="240"/>
              <w:rPr>
                <w:rFonts w:cs="Times New Roman"/>
                <w:bCs/>
                <w:i/>
                <w:iCs/>
                <w:sz w:val="22"/>
              </w:rPr>
            </w:pPr>
            <w:r w:rsidRPr="003067F8">
              <w:rPr>
                <w:rFonts w:cs="Times New Roman"/>
                <w:bCs/>
                <w:i/>
                <w:iCs/>
                <w:sz w:val="22"/>
              </w:rPr>
              <w:t>pPD_95-rgef-1::HTTQ48∆P-IRES-mSCA:: HTTQ48∆P-unc54-3’UTR</w:t>
            </w:r>
          </w:p>
        </w:tc>
      </w:tr>
      <w:tr w:rsidR="00043531" w14:paraId="4C849495" w14:textId="77777777" w:rsidTr="00043531">
        <w:trPr>
          <w:trHeight w:hRule="exact" w:val="567"/>
        </w:trPr>
        <w:tc>
          <w:tcPr>
            <w:tcW w:w="2122" w:type="dxa"/>
            <w:tcBorders>
              <w:top w:val="single" w:sz="4" w:space="0" w:color="auto"/>
              <w:left w:val="nil"/>
              <w:bottom w:val="single" w:sz="4" w:space="0" w:color="auto"/>
              <w:right w:val="single" w:sz="4" w:space="0" w:color="auto"/>
            </w:tcBorders>
          </w:tcPr>
          <w:p w14:paraId="0F767C0F" w14:textId="77777777" w:rsidR="00043531" w:rsidRPr="003067F8" w:rsidRDefault="00043531" w:rsidP="00043531">
            <w:pPr>
              <w:spacing w:before="240"/>
              <w:rPr>
                <w:rFonts w:cs="Times New Roman"/>
                <w:bCs/>
                <w:i/>
                <w:iCs/>
                <w:sz w:val="22"/>
              </w:rPr>
            </w:pPr>
            <w:r w:rsidRPr="003067F8">
              <w:rPr>
                <w:rFonts w:cs="Times New Roman"/>
                <w:b/>
                <w:sz w:val="22"/>
              </w:rPr>
              <w:t>Q23P+</w:t>
            </w:r>
          </w:p>
        </w:tc>
        <w:tc>
          <w:tcPr>
            <w:tcW w:w="7645" w:type="dxa"/>
            <w:tcBorders>
              <w:top w:val="single" w:sz="4" w:space="0" w:color="auto"/>
              <w:left w:val="single" w:sz="4" w:space="0" w:color="auto"/>
              <w:bottom w:val="single" w:sz="4" w:space="0" w:color="auto"/>
              <w:right w:val="nil"/>
            </w:tcBorders>
          </w:tcPr>
          <w:p w14:paraId="4F8215A1" w14:textId="77777777" w:rsidR="00043531" w:rsidRPr="003067F8" w:rsidRDefault="00043531" w:rsidP="00043531">
            <w:pPr>
              <w:spacing w:before="240"/>
              <w:rPr>
                <w:rFonts w:cs="Times New Roman"/>
                <w:bCs/>
                <w:i/>
                <w:iCs/>
                <w:sz w:val="22"/>
              </w:rPr>
            </w:pPr>
            <w:r w:rsidRPr="003067F8">
              <w:rPr>
                <w:rFonts w:cs="Times New Roman"/>
                <w:bCs/>
                <w:i/>
                <w:iCs/>
                <w:sz w:val="22"/>
              </w:rPr>
              <w:t>pPD_95-rgef-1::HTTQ23P+-IRES-mSCA:: HTTQ23P+-unc54-3’UTR</w:t>
            </w:r>
          </w:p>
        </w:tc>
      </w:tr>
      <w:tr w:rsidR="00043531" w14:paraId="3B85B1FE" w14:textId="77777777" w:rsidTr="00043531">
        <w:trPr>
          <w:trHeight w:hRule="exact" w:val="567"/>
        </w:trPr>
        <w:tc>
          <w:tcPr>
            <w:tcW w:w="2122" w:type="dxa"/>
            <w:tcBorders>
              <w:top w:val="single" w:sz="4" w:space="0" w:color="auto"/>
              <w:left w:val="nil"/>
              <w:bottom w:val="single" w:sz="4" w:space="0" w:color="auto"/>
              <w:right w:val="single" w:sz="4" w:space="0" w:color="auto"/>
            </w:tcBorders>
            <w:shd w:val="clear" w:color="auto" w:fill="F2F2F2" w:themeFill="background1" w:themeFillShade="F2"/>
          </w:tcPr>
          <w:p w14:paraId="154502D4" w14:textId="77777777" w:rsidR="00043531" w:rsidRPr="003067F8" w:rsidRDefault="00043531" w:rsidP="00043531">
            <w:pPr>
              <w:spacing w:before="240"/>
              <w:rPr>
                <w:rFonts w:cs="Times New Roman"/>
                <w:bCs/>
                <w:i/>
                <w:iCs/>
                <w:sz w:val="22"/>
              </w:rPr>
            </w:pPr>
            <w:r w:rsidRPr="003067F8">
              <w:rPr>
                <w:rFonts w:cs="Times New Roman"/>
                <w:b/>
                <w:sz w:val="22"/>
              </w:rPr>
              <w:t>Q48P+</w:t>
            </w:r>
          </w:p>
        </w:tc>
        <w:tc>
          <w:tcPr>
            <w:tcW w:w="7645" w:type="dxa"/>
            <w:tcBorders>
              <w:top w:val="single" w:sz="4" w:space="0" w:color="auto"/>
              <w:left w:val="single" w:sz="4" w:space="0" w:color="auto"/>
              <w:bottom w:val="single" w:sz="4" w:space="0" w:color="auto"/>
              <w:right w:val="nil"/>
            </w:tcBorders>
            <w:shd w:val="clear" w:color="auto" w:fill="F2F2F2" w:themeFill="background1" w:themeFillShade="F2"/>
          </w:tcPr>
          <w:p w14:paraId="138A4BAC" w14:textId="77777777" w:rsidR="00043531" w:rsidRPr="003067F8" w:rsidRDefault="00043531" w:rsidP="00043531">
            <w:pPr>
              <w:spacing w:before="240"/>
              <w:rPr>
                <w:rFonts w:cs="Times New Roman"/>
                <w:bCs/>
                <w:i/>
                <w:iCs/>
                <w:sz w:val="22"/>
              </w:rPr>
            </w:pPr>
            <w:r w:rsidRPr="003067F8">
              <w:rPr>
                <w:rFonts w:cs="Times New Roman"/>
                <w:bCs/>
                <w:i/>
                <w:iCs/>
                <w:sz w:val="22"/>
              </w:rPr>
              <w:t>pPD_95-rgef-1::HTTQ48P+-IRES-mSCA:: HTTQ48P+-unc54-3’UTR</w:t>
            </w:r>
          </w:p>
        </w:tc>
      </w:tr>
      <w:tr w:rsidR="00043531" w14:paraId="4052E58C" w14:textId="77777777" w:rsidTr="00043531">
        <w:trPr>
          <w:trHeight w:hRule="exact" w:val="567"/>
        </w:trPr>
        <w:tc>
          <w:tcPr>
            <w:tcW w:w="2122" w:type="dxa"/>
            <w:tcBorders>
              <w:top w:val="single" w:sz="4" w:space="0" w:color="auto"/>
              <w:left w:val="nil"/>
              <w:bottom w:val="single" w:sz="4" w:space="0" w:color="auto"/>
              <w:right w:val="single" w:sz="4" w:space="0" w:color="auto"/>
            </w:tcBorders>
          </w:tcPr>
          <w:p w14:paraId="130A3312" w14:textId="77777777" w:rsidR="00043531" w:rsidRPr="003067F8" w:rsidRDefault="00043531" w:rsidP="00043531">
            <w:pPr>
              <w:spacing w:before="240"/>
              <w:rPr>
                <w:rFonts w:cs="Times New Roman"/>
                <w:b/>
                <w:sz w:val="22"/>
              </w:rPr>
            </w:pPr>
            <w:r w:rsidRPr="003067F8">
              <w:rPr>
                <w:rFonts w:cs="Times New Roman"/>
                <w:b/>
                <w:sz w:val="22"/>
              </w:rPr>
              <w:t>Q23∆P1</w:t>
            </w:r>
          </w:p>
        </w:tc>
        <w:tc>
          <w:tcPr>
            <w:tcW w:w="7645" w:type="dxa"/>
            <w:tcBorders>
              <w:top w:val="single" w:sz="4" w:space="0" w:color="auto"/>
              <w:left w:val="single" w:sz="4" w:space="0" w:color="auto"/>
              <w:bottom w:val="single" w:sz="4" w:space="0" w:color="auto"/>
              <w:right w:val="nil"/>
            </w:tcBorders>
          </w:tcPr>
          <w:p w14:paraId="0955EC32" w14:textId="77777777" w:rsidR="00043531" w:rsidRPr="003067F8" w:rsidRDefault="00043531" w:rsidP="00043531">
            <w:pPr>
              <w:spacing w:before="240"/>
              <w:rPr>
                <w:rFonts w:cs="Times New Roman"/>
                <w:bCs/>
                <w:i/>
                <w:iCs/>
                <w:sz w:val="22"/>
              </w:rPr>
            </w:pPr>
            <w:r w:rsidRPr="003067F8">
              <w:rPr>
                <w:rFonts w:cs="Times New Roman"/>
                <w:bCs/>
                <w:i/>
                <w:iCs/>
                <w:sz w:val="22"/>
              </w:rPr>
              <w:t>pPD_95-rgef-1::HTTQ23∆P1-IRES-mSCA:: HTTQ23∆P1-unc54-3’UTR</w:t>
            </w:r>
          </w:p>
        </w:tc>
      </w:tr>
      <w:tr w:rsidR="00043531" w14:paraId="0B6E29E8" w14:textId="77777777" w:rsidTr="00043531">
        <w:trPr>
          <w:trHeight w:hRule="exact" w:val="567"/>
        </w:trPr>
        <w:tc>
          <w:tcPr>
            <w:tcW w:w="2122" w:type="dxa"/>
            <w:tcBorders>
              <w:top w:val="single" w:sz="4" w:space="0" w:color="auto"/>
              <w:left w:val="nil"/>
              <w:bottom w:val="single" w:sz="4" w:space="0" w:color="auto"/>
              <w:right w:val="single" w:sz="4" w:space="0" w:color="auto"/>
            </w:tcBorders>
            <w:shd w:val="clear" w:color="auto" w:fill="F2F2F2" w:themeFill="background1" w:themeFillShade="F2"/>
          </w:tcPr>
          <w:p w14:paraId="473D0C38" w14:textId="77777777" w:rsidR="00043531" w:rsidRPr="003067F8" w:rsidRDefault="00043531" w:rsidP="00043531">
            <w:pPr>
              <w:spacing w:before="240"/>
              <w:rPr>
                <w:rFonts w:cs="Times New Roman"/>
                <w:b/>
                <w:sz w:val="22"/>
              </w:rPr>
            </w:pPr>
            <w:r w:rsidRPr="003067F8">
              <w:rPr>
                <w:rFonts w:cs="Times New Roman"/>
                <w:b/>
                <w:sz w:val="22"/>
              </w:rPr>
              <w:t>Q48∆P1</w:t>
            </w:r>
          </w:p>
        </w:tc>
        <w:tc>
          <w:tcPr>
            <w:tcW w:w="7645" w:type="dxa"/>
            <w:tcBorders>
              <w:top w:val="single" w:sz="4" w:space="0" w:color="auto"/>
              <w:left w:val="single" w:sz="4" w:space="0" w:color="auto"/>
              <w:bottom w:val="single" w:sz="4" w:space="0" w:color="auto"/>
              <w:right w:val="nil"/>
            </w:tcBorders>
            <w:shd w:val="clear" w:color="auto" w:fill="F2F2F2" w:themeFill="background1" w:themeFillShade="F2"/>
          </w:tcPr>
          <w:p w14:paraId="0C0A8A74" w14:textId="77777777" w:rsidR="00043531" w:rsidRPr="003067F8" w:rsidRDefault="00043531" w:rsidP="00043531">
            <w:pPr>
              <w:spacing w:before="240"/>
              <w:rPr>
                <w:rFonts w:cs="Times New Roman"/>
                <w:bCs/>
                <w:i/>
                <w:iCs/>
                <w:sz w:val="22"/>
              </w:rPr>
            </w:pPr>
            <w:r w:rsidRPr="003067F8">
              <w:rPr>
                <w:rFonts w:cs="Times New Roman"/>
                <w:bCs/>
                <w:i/>
                <w:iCs/>
                <w:sz w:val="22"/>
              </w:rPr>
              <w:t>pPD_95-rgef-1::HTTQ48∆P1-IRES-mSCA:: HTTQ48∆P1-unc54-3’UTR</w:t>
            </w:r>
          </w:p>
        </w:tc>
      </w:tr>
      <w:tr w:rsidR="00043531" w14:paraId="0E746C95" w14:textId="77777777" w:rsidTr="00043531">
        <w:trPr>
          <w:trHeight w:hRule="exact" w:val="567"/>
        </w:trPr>
        <w:tc>
          <w:tcPr>
            <w:tcW w:w="2122" w:type="dxa"/>
            <w:tcBorders>
              <w:top w:val="single" w:sz="4" w:space="0" w:color="auto"/>
              <w:left w:val="nil"/>
              <w:bottom w:val="single" w:sz="4" w:space="0" w:color="auto"/>
              <w:right w:val="single" w:sz="4" w:space="0" w:color="auto"/>
            </w:tcBorders>
          </w:tcPr>
          <w:p w14:paraId="1C4A71BD" w14:textId="77777777" w:rsidR="00043531" w:rsidRPr="003067F8" w:rsidRDefault="00043531" w:rsidP="00043531">
            <w:pPr>
              <w:spacing w:before="240"/>
              <w:rPr>
                <w:rFonts w:cs="Times New Roman"/>
                <w:b/>
                <w:sz w:val="22"/>
              </w:rPr>
            </w:pPr>
            <w:r w:rsidRPr="003067F8">
              <w:rPr>
                <w:rFonts w:cs="Times New Roman"/>
                <w:b/>
                <w:sz w:val="22"/>
              </w:rPr>
              <w:t>Q23∆N17</w:t>
            </w:r>
          </w:p>
        </w:tc>
        <w:tc>
          <w:tcPr>
            <w:tcW w:w="7645" w:type="dxa"/>
            <w:tcBorders>
              <w:top w:val="single" w:sz="4" w:space="0" w:color="auto"/>
              <w:left w:val="single" w:sz="4" w:space="0" w:color="auto"/>
              <w:bottom w:val="single" w:sz="4" w:space="0" w:color="auto"/>
              <w:right w:val="nil"/>
            </w:tcBorders>
          </w:tcPr>
          <w:p w14:paraId="6EFA2BEF" w14:textId="77777777" w:rsidR="00043531" w:rsidRPr="003067F8" w:rsidRDefault="00043531" w:rsidP="00043531">
            <w:pPr>
              <w:spacing w:before="240"/>
              <w:rPr>
                <w:rFonts w:cs="Times New Roman"/>
                <w:bCs/>
                <w:i/>
                <w:iCs/>
                <w:sz w:val="22"/>
              </w:rPr>
            </w:pPr>
            <w:r w:rsidRPr="003067F8">
              <w:rPr>
                <w:rFonts w:cs="Times New Roman"/>
                <w:bCs/>
                <w:i/>
                <w:iCs/>
                <w:sz w:val="22"/>
              </w:rPr>
              <w:t>pPD_95-rgef-1::HTTQ23∆N17-IRES-mSCA:: HTTQ23∆N17-unc54-3’UTR</w:t>
            </w:r>
          </w:p>
        </w:tc>
      </w:tr>
      <w:tr w:rsidR="00043531" w14:paraId="164DE44E" w14:textId="77777777" w:rsidTr="00043531">
        <w:trPr>
          <w:trHeight w:hRule="exact" w:val="567"/>
        </w:trPr>
        <w:tc>
          <w:tcPr>
            <w:tcW w:w="2122" w:type="dxa"/>
            <w:tcBorders>
              <w:top w:val="single" w:sz="4" w:space="0" w:color="auto"/>
              <w:left w:val="nil"/>
              <w:bottom w:val="nil"/>
              <w:right w:val="single" w:sz="4" w:space="0" w:color="auto"/>
            </w:tcBorders>
            <w:shd w:val="clear" w:color="auto" w:fill="F2F2F2" w:themeFill="background1" w:themeFillShade="F2"/>
          </w:tcPr>
          <w:p w14:paraId="2376543E" w14:textId="77777777" w:rsidR="00043531" w:rsidRPr="003067F8" w:rsidRDefault="00043531" w:rsidP="00043531">
            <w:pPr>
              <w:spacing w:before="240"/>
              <w:rPr>
                <w:rFonts w:cs="Times New Roman"/>
                <w:b/>
                <w:sz w:val="22"/>
              </w:rPr>
            </w:pPr>
            <w:r>
              <w:rPr>
                <w:rFonts w:cs="Times New Roman"/>
                <w:b/>
                <w:sz w:val="22"/>
              </w:rPr>
              <w:t>Q48∆N17</w:t>
            </w:r>
          </w:p>
        </w:tc>
        <w:tc>
          <w:tcPr>
            <w:tcW w:w="7645" w:type="dxa"/>
            <w:tcBorders>
              <w:top w:val="single" w:sz="4" w:space="0" w:color="auto"/>
              <w:left w:val="single" w:sz="4" w:space="0" w:color="auto"/>
              <w:bottom w:val="nil"/>
              <w:right w:val="nil"/>
            </w:tcBorders>
            <w:shd w:val="clear" w:color="auto" w:fill="F2F2F2" w:themeFill="background1" w:themeFillShade="F2"/>
          </w:tcPr>
          <w:p w14:paraId="0D8A8646" w14:textId="77777777" w:rsidR="00043531" w:rsidRPr="003067F8" w:rsidRDefault="00043531" w:rsidP="00043531">
            <w:pPr>
              <w:spacing w:before="240"/>
              <w:rPr>
                <w:rFonts w:cs="Times New Roman"/>
                <w:bCs/>
                <w:i/>
                <w:iCs/>
                <w:sz w:val="22"/>
              </w:rPr>
            </w:pPr>
            <w:r w:rsidRPr="003067F8">
              <w:rPr>
                <w:rFonts w:cs="Times New Roman"/>
                <w:bCs/>
                <w:i/>
                <w:iCs/>
                <w:sz w:val="22"/>
              </w:rPr>
              <w:t>pPD_95-rgef-1::HTTQ48∆N17-IRES-mSCA:: HTTQ48∆N17-unc54-3’UTR</w:t>
            </w:r>
          </w:p>
        </w:tc>
      </w:tr>
    </w:tbl>
    <w:p w14:paraId="6658B955" w14:textId="77777777" w:rsidR="00043531" w:rsidRDefault="00043531" w:rsidP="00A21CD7">
      <w:pPr>
        <w:jc w:val="both"/>
        <w:rPr>
          <w:rFonts w:cs="Times New Roman"/>
          <w:bCs/>
        </w:rPr>
      </w:pPr>
    </w:p>
    <w:p w14:paraId="6CC17686" w14:textId="005E87CC" w:rsidR="00043531" w:rsidRPr="00043531" w:rsidRDefault="00043531" w:rsidP="00A21CD7">
      <w:pPr>
        <w:jc w:val="both"/>
        <w:rPr>
          <w:rFonts w:cs="Times New Roman"/>
          <w:bCs/>
        </w:rPr>
      </w:pPr>
      <w:r>
        <w:rPr>
          <w:rFonts w:cs="Times New Roman"/>
          <w:bCs/>
        </w:rPr>
        <w:t xml:space="preserve">List of genotypes of </w:t>
      </w:r>
      <w:r w:rsidRPr="00043531">
        <w:rPr>
          <w:rFonts w:cs="Times New Roman"/>
          <w:bCs/>
          <w:i/>
          <w:iCs/>
        </w:rPr>
        <w:t>C.</w:t>
      </w:r>
      <w:r w:rsidR="00F22B14">
        <w:rPr>
          <w:rFonts w:cs="Times New Roman"/>
          <w:bCs/>
          <w:i/>
          <w:iCs/>
        </w:rPr>
        <w:t xml:space="preserve"> </w:t>
      </w:r>
      <w:r w:rsidRPr="00043531">
        <w:rPr>
          <w:rFonts w:cs="Times New Roman"/>
          <w:bCs/>
          <w:i/>
          <w:iCs/>
        </w:rPr>
        <w:t>elegans</w:t>
      </w:r>
      <w:r>
        <w:rPr>
          <w:rFonts w:cs="Times New Roman"/>
          <w:bCs/>
        </w:rPr>
        <w:t xml:space="preserve"> expressing HTTEx1 mutants. (*) denominates non-variated HTTEx1. Each HTTEx1 moiety terminates with a stop codon. </w:t>
      </w:r>
    </w:p>
    <w:p w14:paraId="214E3881" w14:textId="77777777" w:rsidR="00043531" w:rsidRDefault="00043531" w:rsidP="00A21CD7">
      <w:pPr>
        <w:jc w:val="both"/>
        <w:rPr>
          <w:rFonts w:cs="Times New Roman"/>
          <w:b/>
        </w:rPr>
      </w:pPr>
    </w:p>
    <w:p w14:paraId="373315FA" w14:textId="386BD890" w:rsidR="00F85599" w:rsidRDefault="00F85599" w:rsidP="00A21CD7">
      <w:pPr>
        <w:jc w:val="both"/>
        <w:rPr>
          <w:rFonts w:cs="Times New Roman"/>
          <w:b/>
        </w:rPr>
      </w:pPr>
      <w:r>
        <w:rPr>
          <w:rFonts w:cs="Times New Roman"/>
          <w:b/>
        </w:rPr>
        <w:t>Supplementary Tables</w:t>
      </w:r>
      <w:r w:rsidR="00043531">
        <w:rPr>
          <w:rFonts w:cs="Times New Roman"/>
          <w:b/>
        </w:rPr>
        <w:t xml:space="preserve"> S2 – S3 – S4</w:t>
      </w:r>
    </w:p>
    <w:p w14:paraId="7CE64F74" w14:textId="65A8D006" w:rsidR="00F85599" w:rsidRPr="00F85599" w:rsidRDefault="00F85599" w:rsidP="00A21CD7">
      <w:pPr>
        <w:jc w:val="both"/>
        <w:rPr>
          <w:rFonts w:cs="Times New Roman"/>
          <w:bCs/>
        </w:rPr>
      </w:pPr>
      <w:r>
        <w:rPr>
          <w:rFonts w:cs="Times New Roman"/>
          <w:bCs/>
        </w:rPr>
        <w:t xml:space="preserve">Please refer to the </w:t>
      </w:r>
      <w:r w:rsidR="00043531">
        <w:rPr>
          <w:rFonts w:cs="Times New Roman"/>
          <w:bCs/>
        </w:rPr>
        <w:t>E</w:t>
      </w:r>
      <w:r>
        <w:rPr>
          <w:rFonts w:cs="Times New Roman"/>
          <w:bCs/>
        </w:rPr>
        <w:t xml:space="preserve">xcel sheets for Supplementary Tables </w:t>
      </w:r>
      <w:r w:rsidR="00AC44DC">
        <w:rPr>
          <w:rFonts w:cs="Times New Roman"/>
          <w:bCs/>
        </w:rPr>
        <w:t>S</w:t>
      </w:r>
      <w:r>
        <w:rPr>
          <w:rFonts w:cs="Times New Roman"/>
          <w:bCs/>
        </w:rPr>
        <w:t xml:space="preserve">2, </w:t>
      </w:r>
      <w:r w:rsidR="00AC44DC">
        <w:rPr>
          <w:rFonts w:cs="Times New Roman"/>
          <w:bCs/>
        </w:rPr>
        <w:t>S</w:t>
      </w:r>
      <w:r>
        <w:rPr>
          <w:rFonts w:cs="Times New Roman"/>
          <w:bCs/>
        </w:rPr>
        <w:t xml:space="preserve">3 and </w:t>
      </w:r>
      <w:r w:rsidR="00AC44DC">
        <w:rPr>
          <w:rFonts w:cs="Times New Roman"/>
          <w:bCs/>
        </w:rPr>
        <w:t>S</w:t>
      </w:r>
      <w:r>
        <w:rPr>
          <w:rFonts w:cs="Times New Roman"/>
          <w:bCs/>
        </w:rPr>
        <w:t xml:space="preserve">4. </w:t>
      </w:r>
    </w:p>
    <w:p w14:paraId="19C5DFFB" w14:textId="74CAD202" w:rsidR="004B4930" w:rsidRDefault="004B4930" w:rsidP="00A21CD7">
      <w:pPr>
        <w:jc w:val="both"/>
        <w:rPr>
          <w:rFonts w:cs="Times New Roman"/>
          <w:b/>
        </w:rPr>
      </w:pPr>
    </w:p>
    <w:p w14:paraId="23E798A7" w14:textId="77777777" w:rsidR="00043531" w:rsidRDefault="00043531" w:rsidP="00A21CD7">
      <w:pPr>
        <w:jc w:val="both"/>
        <w:rPr>
          <w:rFonts w:cs="Times New Roman"/>
          <w:b/>
        </w:rPr>
      </w:pPr>
    </w:p>
    <w:p w14:paraId="2AD00397" w14:textId="617159E5" w:rsidR="004B4930" w:rsidRDefault="004B4930" w:rsidP="00A21CD7">
      <w:pPr>
        <w:jc w:val="both"/>
        <w:rPr>
          <w:rFonts w:cs="Times New Roman"/>
          <w:b/>
        </w:rPr>
      </w:pPr>
    </w:p>
    <w:p w14:paraId="39799B11" w14:textId="5379B9B9" w:rsidR="00630E3A" w:rsidRPr="00070D4E" w:rsidRDefault="005B608B" w:rsidP="00A21CD7">
      <w:pPr>
        <w:jc w:val="both"/>
        <w:rPr>
          <w:rFonts w:cs="Times New Roman"/>
          <w:b/>
        </w:rPr>
      </w:pPr>
      <w:r>
        <w:rPr>
          <w:rFonts w:cs="Times New Roman"/>
          <w:b/>
        </w:rPr>
        <w:lastRenderedPageBreak/>
        <w:t xml:space="preserve">Supplementary Figure S1. </w:t>
      </w:r>
    </w:p>
    <w:p w14:paraId="43D2EB36" w14:textId="0AFBCABA" w:rsidR="00630E3A" w:rsidRDefault="001E43AE" w:rsidP="00A21CD7">
      <w:pPr>
        <w:jc w:val="both"/>
        <w:rPr>
          <w:b/>
        </w:rPr>
      </w:pPr>
      <w:r>
        <w:rPr>
          <w:b/>
          <w:noProof/>
        </w:rPr>
        <w:drawing>
          <wp:inline distT="0" distB="0" distL="0" distR="0" wp14:anchorId="789CE9BB" wp14:editId="0B7F3487">
            <wp:extent cx="6157609" cy="7461312"/>
            <wp:effectExtent l="0" t="0" r="1905" b="635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rotWithShape="1">
                    <a:blip r:embed="rId8" cstate="print">
                      <a:extLst>
                        <a:ext uri="{28A0092B-C50C-407E-A947-70E740481C1C}">
                          <a14:useLocalDpi xmlns:a14="http://schemas.microsoft.com/office/drawing/2010/main" val="0"/>
                        </a:ext>
                      </a:extLst>
                    </a:blip>
                    <a:srcRect l="15512" t="3453" r="10059"/>
                    <a:stretch/>
                  </pic:blipFill>
                  <pic:spPr bwMode="auto">
                    <a:xfrm>
                      <a:off x="0" y="0"/>
                      <a:ext cx="6181261" cy="7489971"/>
                    </a:xfrm>
                    <a:prstGeom prst="rect">
                      <a:avLst/>
                    </a:prstGeom>
                    <a:ln>
                      <a:noFill/>
                    </a:ln>
                    <a:extLst>
                      <a:ext uri="{53640926-AAD7-44D8-BBD7-CCE9431645EC}">
                        <a14:shadowObscured xmlns:a14="http://schemas.microsoft.com/office/drawing/2010/main"/>
                      </a:ext>
                    </a:extLst>
                  </pic:spPr>
                </pic:pic>
              </a:graphicData>
            </a:graphic>
          </wp:inline>
        </w:drawing>
      </w:r>
    </w:p>
    <w:p w14:paraId="40915DFD" w14:textId="77777777" w:rsidR="00630E3A" w:rsidRDefault="00630E3A" w:rsidP="00A21CD7">
      <w:pPr>
        <w:jc w:val="both"/>
        <w:rPr>
          <w:b/>
        </w:rPr>
      </w:pPr>
    </w:p>
    <w:p w14:paraId="1D63193D" w14:textId="48A21C48" w:rsidR="005B608B" w:rsidRPr="00083C3F" w:rsidRDefault="005B608B" w:rsidP="00A21CD7">
      <w:pPr>
        <w:jc w:val="both"/>
        <w:rPr>
          <w:rFonts w:cs="Times New Roman"/>
          <w:bCs/>
          <w:szCs w:val="24"/>
        </w:rPr>
      </w:pPr>
      <w:r w:rsidRPr="00630E3A">
        <w:rPr>
          <w:b/>
          <w:szCs w:val="24"/>
        </w:rPr>
        <w:lastRenderedPageBreak/>
        <w:t>A.</w:t>
      </w:r>
      <w:r w:rsidRPr="00630E3A">
        <w:rPr>
          <w:bCs/>
          <w:szCs w:val="24"/>
        </w:rPr>
        <w:t xml:space="preserve"> SDS-PAGE of GST-tagged purified Q48 (left panels) and Q23 HTT mutant proteins</w:t>
      </w:r>
      <w:r w:rsidR="0084234D">
        <w:rPr>
          <w:bCs/>
          <w:szCs w:val="24"/>
        </w:rPr>
        <w:t xml:space="preserve"> (right panels)</w:t>
      </w:r>
      <w:r w:rsidRPr="00630E3A">
        <w:rPr>
          <w:bCs/>
          <w:szCs w:val="24"/>
        </w:rPr>
        <w:t>. Top panels show non-cleaved proteins, stained with InstantBlue Coomassie stain. Bottom panels show Western blots of HTT</w:t>
      </w:r>
      <w:r w:rsidR="0084234D">
        <w:rPr>
          <w:bCs/>
          <w:szCs w:val="24"/>
        </w:rPr>
        <w:t>Ex1</w:t>
      </w:r>
      <w:r w:rsidRPr="00630E3A">
        <w:rPr>
          <w:bCs/>
          <w:szCs w:val="24"/>
        </w:rPr>
        <w:t xml:space="preserve"> constructs 4 hours after addition of PP. Blotting was performed with the polyQ specific 5TF1-1C2 antibody for Q48 constructs and with both the EPR5526 and MW8 antibodies for Q23 constructs. Asterisks represent the un-cleaved (top) and cleaved HTT moieties, but likely truncated species were also detected by the antibodies. </w:t>
      </w:r>
      <w:r w:rsidRPr="00630E3A">
        <w:rPr>
          <w:b/>
          <w:bCs/>
          <w:szCs w:val="24"/>
        </w:rPr>
        <w:t>B.</w:t>
      </w:r>
      <w:r w:rsidRPr="00630E3A">
        <w:rPr>
          <w:bCs/>
          <w:szCs w:val="24"/>
        </w:rPr>
        <w:t xml:space="preserve"> SDS-PAGE of GST- and CyPet- or YPet- tagged purified HTT proteins. Top panels represent Q48 constructs, lower panels represent Q23 constructs. For Q23 only the ∆P1</w:t>
      </w:r>
      <w:r w:rsidR="0084234D">
        <w:rPr>
          <w:bCs/>
          <w:szCs w:val="24"/>
        </w:rPr>
        <w:t>,</w:t>
      </w:r>
      <w:r w:rsidRPr="00630E3A">
        <w:rPr>
          <w:bCs/>
          <w:szCs w:val="24"/>
        </w:rPr>
        <w:t xml:space="preserve"> P+ and non variated exon 1 constructs were analyzed. InstantBlue stained gels represent HTT</w:t>
      </w:r>
      <w:r w:rsidR="0084234D">
        <w:rPr>
          <w:bCs/>
          <w:szCs w:val="24"/>
        </w:rPr>
        <w:t>Ex1</w:t>
      </w:r>
      <w:r w:rsidRPr="00630E3A">
        <w:rPr>
          <w:bCs/>
          <w:szCs w:val="24"/>
        </w:rPr>
        <w:t xml:space="preserve"> mutant proteins in the absence of PP, while Western blots depict HTT</w:t>
      </w:r>
      <w:r w:rsidR="0084234D">
        <w:rPr>
          <w:bCs/>
          <w:szCs w:val="24"/>
        </w:rPr>
        <w:t>Ex1</w:t>
      </w:r>
      <w:r w:rsidRPr="00630E3A">
        <w:rPr>
          <w:bCs/>
          <w:szCs w:val="24"/>
        </w:rPr>
        <w:t xml:space="preserve"> mutants cleaved by PP for 4 hours. Q48 is blotted against the 5TF1-1C2 antibody, while Q23 constructs are blotted against EPR5526 antibody. </w:t>
      </w:r>
      <w:r w:rsidRPr="00630E3A">
        <w:rPr>
          <w:b/>
          <w:szCs w:val="24"/>
        </w:rPr>
        <w:t>C.</w:t>
      </w:r>
      <w:r w:rsidRPr="00630E3A">
        <w:rPr>
          <w:bCs/>
          <w:szCs w:val="24"/>
        </w:rPr>
        <w:t xml:space="preserve"> Schematic of HTTEx1 and the epitopes recognized by the antibodies utilized in this study. EPR5526 binds the N17 domain, 3B5H10, MW4 and 5TF1-1C2 bind the expanded glutamine stretch, MW7 binds both polyproline regions, EM48 and MW8 bind the terminal amino acids of the exon 1. No single antibody, either used or researched in the literature, was able to recognize all HTT</w:t>
      </w:r>
      <w:r w:rsidR="0084234D">
        <w:rPr>
          <w:bCs/>
          <w:szCs w:val="24"/>
        </w:rPr>
        <w:t>Ex1</w:t>
      </w:r>
      <w:r w:rsidRPr="00630E3A">
        <w:rPr>
          <w:bCs/>
          <w:szCs w:val="24"/>
        </w:rPr>
        <w:t xml:space="preserve"> mutants at the same time. </w:t>
      </w:r>
      <w:r w:rsidR="001E43AE" w:rsidRPr="001E43AE">
        <w:rPr>
          <w:b/>
          <w:szCs w:val="24"/>
        </w:rPr>
        <w:t>D.</w:t>
      </w:r>
      <w:r w:rsidR="001E43AE">
        <w:rPr>
          <w:bCs/>
          <w:szCs w:val="24"/>
        </w:rPr>
        <w:t xml:space="preserve"> </w:t>
      </w:r>
      <w:r w:rsidR="00D74007">
        <w:rPr>
          <w:bCs/>
          <w:szCs w:val="24"/>
        </w:rPr>
        <w:t xml:space="preserve">SDS stability assay performed by </w:t>
      </w:r>
      <w:r w:rsidR="00D74007">
        <w:rPr>
          <w:rFonts w:cs="Times New Roman"/>
          <w:bCs/>
        </w:rPr>
        <w:t>Western blot analysis and quantification. Blots represent</w:t>
      </w:r>
      <w:r w:rsidR="00D74007" w:rsidRPr="00360E43">
        <w:rPr>
          <w:rFonts w:cs="Times New Roman"/>
          <w:b/>
        </w:rPr>
        <w:t xml:space="preserve"> </w:t>
      </w:r>
      <w:r w:rsidR="00D74007" w:rsidRPr="00360E43">
        <w:rPr>
          <w:rFonts w:cs="Times New Roman"/>
        </w:rPr>
        <w:t>the amount of soluble HTT</w:t>
      </w:r>
      <w:r w:rsidR="00D74007">
        <w:rPr>
          <w:rFonts w:cs="Times New Roman"/>
        </w:rPr>
        <w:t>Ex1</w:t>
      </w:r>
      <w:r w:rsidR="00D74007" w:rsidRPr="00360E43">
        <w:rPr>
          <w:rFonts w:cs="Times New Roman"/>
        </w:rPr>
        <w:t xml:space="preserve"> present upon treatment with </w:t>
      </w:r>
      <w:r w:rsidR="00D74007">
        <w:rPr>
          <w:rFonts w:cs="Times New Roman"/>
        </w:rPr>
        <w:t>1</w:t>
      </w:r>
      <w:r w:rsidR="00D74007" w:rsidRPr="00360E43">
        <w:rPr>
          <w:rFonts w:cs="Times New Roman"/>
        </w:rPr>
        <w:t>% SDS after 24 hours of aggregation. Immunoblot stained for the poly</w:t>
      </w:r>
      <w:r w:rsidR="00D74007">
        <w:rPr>
          <w:rFonts w:cs="Times New Roman"/>
        </w:rPr>
        <w:t>Q-</w:t>
      </w:r>
      <w:r w:rsidR="00D74007" w:rsidRPr="00360E43">
        <w:rPr>
          <w:rFonts w:cs="Times New Roman"/>
        </w:rPr>
        <w:t xml:space="preserve">specific </w:t>
      </w:r>
      <w:r w:rsidR="00D74007" w:rsidRPr="00E97F69">
        <w:rPr>
          <w:rFonts w:eastAsiaTheme="minorEastAsia" w:cs="Times New Roman"/>
        </w:rPr>
        <w:t>5TF1</w:t>
      </w:r>
      <w:r w:rsidR="00D74007">
        <w:rPr>
          <w:rFonts w:eastAsiaTheme="minorEastAsia" w:cs="Times New Roman"/>
        </w:rPr>
        <w:t>-</w:t>
      </w:r>
      <w:r w:rsidR="00D74007" w:rsidRPr="00360E43">
        <w:rPr>
          <w:rFonts w:cs="Times New Roman"/>
        </w:rPr>
        <w:t xml:space="preserve">1C2 antibody. </w:t>
      </w:r>
      <w:r w:rsidR="00D74007">
        <w:rPr>
          <w:rFonts w:cs="Times New Roman"/>
        </w:rPr>
        <w:t>Band</w:t>
      </w:r>
      <w:r w:rsidR="00F22B14">
        <w:rPr>
          <w:rFonts w:cs="Times New Roman"/>
        </w:rPr>
        <w:t>s</w:t>
      </w:r>
      <w:r w:rsidR="00D74007">
        <w:rPr>
          <w:rFonts w:cs="Times New Roman"/>
        </w:rPr>
        <w:t xml:space="preserve"> utilized for quantification are boxed; l</w:t>
      </w:r>
      <w:r w:rsidR="00D74007" w:rsidRPr="00360E43">
        <w:rPr>
          <w:rFonts w:cs="Times New Roman"/>
        </w:rPr>
        <w:t xml:space="preserve">ower bands represent truncated species and </w:t>
      </w:r>
      <w:r w:rsidR="00D74007">
        <w:rPr>
          <w:rFonts w:cs="Times New Roman"/>
        </w:rPr>
        <w:t>we</w:t>
      </w:r>
      <w:r w:rsidR="00D74007" w:rsidRPr="00360E43">
        <w:rPr>
          <w:rFonts w:cs="Times New Roman"/>
        </w:rPr>
        <w:t>re not quantified. Shown here is one of three independent repeats.</w:t>
      </w:r>
      <w:r w:rsidR="001E43AE">
        <w:rPr>
          <w:bCs/>
          <w:szCs w:val="24"/>
        </w:rPr>
        <w:t xml:space="preserve"> </w:t>
      </w:r>
      <w:r w:rsidR="001E43AE">
        <w:rPr>
          <w:b/>
          <w:szCs w:val="24"/>
        </w:rPr>
        <w:t>E</w:t>
      </w:r>
      <w:r w:rsidRPr="00630E3A">
        <w:rPr>
          <w:b/>
          <w:szCs w:val="24"/>
        </w:rPr>
        <w:t xml:space="preserve">. </w:t>
      </w:r>
      <w:r w:rsidRPr="00630E3A">
        <w:rPr>
          <w:bCs/>
          <w:szCs w:val="24"/>
        </w:rPr>
        <w:t>FRET assay representing the aggregation of the Q48∆P-CyPet/</w:t>
      </w:r>
      <w:proofErr w:type="spellStart"/>
      <w:r w:rsidRPr="00630E3A">
        <w:rPr>
          <w:bCs/>
          <w:szCs w:val="24"/>
        </w:rPr>
        <w:t>YPet</w:t>
      </w:r>
      <w:proofErr w:type="spellEnd"/>
      <w:r w:rsidRPr="00630E3A">
        <w:rPr>
          <w:bCs/>
          <w:szCs w:val="24"/>
        </w:rPr>
        <w:t xml:space="preserve"> (blue lines) or pure nakedQ48-CyPet/</w:t>
      </w:r>
      <w:proofErr w:type="spellStart"/>
      <w:r w:rsidRPr="00630E3A">
        <w:rPr>
          <w:bCs/>
          <w:szCs w:val="24"/>
        </w:rPr>
        <w:t>YPet</w:t>
      </w:r>
      <w:proofErr w:type="spellEnd"/>
      <w:r w:rsidRPr="00630E3A">
        <w:rPr>
          <w:bCs/>
          <w:szCs w:val="24"/>
        </w:rPr>
        <w:t xml:space="preserve"> pair (red lines), compared to Q48-CyPet/</w:t>
      </w:r>
      <w:proofErr w:type="spellStart"/>
      <w:r w:rsidRPr="00630E3A">
        <w:rPr>
          <w:bCs/>
          <w:szCs w:val="24"/>
        </w:rPr>
        <w:t>YPet</w:t>
      </w:r>
      <w:proofErr w:type="spellEnd"/>
      <w:r w:rsidRPr="00630E3A">
        <w:rPr>
          <w:bCs/>
          <w:szCs w:val="24"/>
        </w:rPr>
        <w:t xml:space="preserve"> control (gray line). Neither Q48∆P nor a nakedQ48, a pure polyQ construct devoid of flanking regions, aggregated, over extended time or at double concentration, due to the steric hindrance imposed by the fluorophores, which prevent the polyQs from forming a </w:t>
      </w:r>
      <w:r w:rsidR="008B5D7E">
        <w:rPr>
          <w:bCs/>
          <w:szCs w:val="24"/>
        </w:rPr>
        <w:t>polar</w:t>
      </w:r>
      <w:r w:rsidR="008B5D7E" w:rsidRPr="00630E3A">
        <w:rPr>
          <w:bCs/>
          <w:szCs w:val="24"/>
        </w:rPr>
        <w:t xml:space="preserve"> </w:t>
      </w:r>
      <w:r w:rsidRPr="00630E3A">
        <w:rPr>
          <w:bCs/>
          <w:szCs w:val="24"/>
        </w:rPr>
        <w:t xml:space="preserve">zipper. </w:t>
      </w:r>
      <w:r w:rsidR="00F82ECE">
        <w:rPr>
          <w:b/>
          <w:szCs w:val="24"/>
        </w:rPr>
        <w:t xml:space="preserve">E. </w:t>
      </w:r>
      <w:r w:rsidR="00083C3F">
        <w:rPr>
          <w:bCs/>
          <w:szCs w:val="24"/>
        </w:rPr>
        <w:t xml:space="preserve">FRET assay representing the aggregation kinetics of Q23 mutant at increasing concentration. </w:t>
      </w:r>
      <w:r w:rsidR="001727B1">
        <w:rPr>
          <w:bCs/>
          <w:szCs w:val="24"/>
        </w:rPr>
        <w:t>At the same</w:t>
      </w:r>
      <w:r w:rsidR="008B5D7E">
        <w:rPr>
          <w:bCs/>
          <w:szCs w:val="24"/>
        </w:rPr>
        <w:t xml:space="preserve"> 3µM</w:t>
      </w:r>
      <w:r w:rsidR="001727B1">
        <w:rPr>
          <w:bCs/>
          <w:szCs w:val="24"/>
        </w:rPr>
        <w:t xml:space="preserve"> concentration of the Q48 </w:t>
      </w:r>
      <w:r w:rsidR="008B5D7E">
        <w:rPr>
          <w:bCs/>
          <w:szCs w:val="24"/>
        </w:rPr>
        <w:t xml:space="preserve">control </w:t>
      </w:r>
      <w:r w:rsidR="001727B1">
        <w:rPr>
          <w:bCs/>
          <w:szCs w:val="24"/>
        </w:rPr>
        <w:t xml:space="preserve">(dark gray line), no signal is recorded after 600 hours for any of the Q23 mutants. At 10µM concentration the Q23∆P1 mutant (pink line) stats aggregating at approx. 250 hours, while only a beginning of aggregation is visible for Q23* (light gray line) and Q23P+ (light orange line). </w:t>
      </w:r>
      <w:r w:rsidR="000E4429">
        <w:rPr>
          <w:bCs/>
          <w:szCs w:val="24"/>
        </w:rPr>
        <w:t>At further increasing concentration</w:t>
      </w:r>
      <w:r w:rsidR="00B9116E">
        <w:rPr>
          <w:bCs/>
          <w:szCs w:val="24"/>
        </w:rPr>
        <w:t xml:space="preserve"> of 20µM (and 40µM – Fig.</w:t>
      </w:r>
      <w:r w:rsidR="008B5D7E">
        <w:rPr>
          <w:bCs/>
          <w:szCs w:val="24"/>
        </w:rPr>
        <w:t xml:space="preserve"> </w:t>
      </w:r>
      <w:r w:rsidR="00B9116E">
        <w:rPr>
          <w:bCs/>
          <w:szCs w:val="24"/>
        </w:rPr>
        <w:t>3E)</w:t>
      </w:r>
      <w:r w:rsidR="000E4429">
        <w:rPr>
          <w:bCs/>
          <w:szCs w:val="24"/>
        </w:rPr>
        <w:t xml:space="preserve">, full kinetics of aggregation </w:t>
      </w:r>
      <w:r w:rsidR="00B9116E">
        <w:rPr>
          <w:bCs/>
          <w:szCs w:val="24"/>
        </w:rPr>
        <w:t xml:space="preserve">are </w:t>
      </w:r>
      <w:r w:rsidR="000E4429">
        <w:rPr>
          <w:bCs/>
          <w:szCs w:val="24"/>
        </w:rPr>
        <w:t>finally visible</w:t>
      </w:r>
      <w:r w:rsidR="00B9116E">
        <w:rPr>
          <w:bCs/>
          <w:szCs w:val="24"/>
        </w:rPr>
        <w:t xml:space="preserve">. </w:t>
      </w:r>
    </w:p>
    <w:p w14:paraId="021A671E" w14:textId="77777777" w:rsidR="00630E3A" w:rsidRDefault="00630E3A" w:rsidP="00A21CD7">
      <w:pPr>
        <w:jc w:val="both"/>
        <w:rPr>
          <w:rFonts w:cs="Times New Roman"/>
          <w:b/>
        </w:rPr>
      </w:pPr>
    </w:p>
    <w:p w14:paraId="6D8B83DD" w14:textId="77777777" w:rsidR="00630E3A" w:rsidRDefault="00630E3A" w:rsidP="00A21CD7">
      <w:pPr>
        <w:jc w:val="both"/>
        <w:rPr>
          <w:rFonts w:cs="Times New Roman"/>
          <w:b/>
        </w:rPr>
      </w:pPr>
    </w:p>
    <w:p w14:paraId="16690956" w14:textId="77777777" w:rsidR="00630E3A" w:rsidRDefault="00630E3A" w:rsidP="00A21CD7">
      <w:pPr>
        <w:jc w:val="both"/>
        <w:rPr>
          <w:rFonts w:cs="Times New Roman"/>
          <w:b/>
        </w:rPr>
      </w:pPr>
    </w:p>
    <w:p w14:paraId="1A453AFA" w14:textId="77777777" w:rsidR="00630E3A" w:rsidRDefault="00630E3A" w:rsidP="00A21CD7">
      <w:pPr>
        <w:jc w:val="both"/>
        <w:rPr>
          <w:rFonts w:cs="Times New Roman"/>
          <w:b/>
        </w:rPr>
      </w:pPr>
    </w:p>
    <w:p w14:paraId="4DF9CD8F" w14:textId="77777777" w:rsidR="00630E3A" w:rsidRDefault="00630E3A" w:rsidP="00A21CD7">
      <w:pPr>
        <w:jc w:val="both"/>
        <w:rPr>
          <w:rFonts w:cs="Times New Roman"/>
          <w:b/>
        </w:rPr>
      </w:pPr>
    </w:p>
    <w:p w14:paraId="19D2D863" w14:textId="77777777" w:rsidR="00630E3A" w:rsidRDefault="00630E3A" w:rsidP="00A21CD7">
      <w:pPr>
        <w:jc w:val="both"/>
        <w:rPr>
          <w:rFonts w:cs="Times New Roman"/>
          <w:b/>
        </w:rPr>
      </w:pPr>
    </w:p>
    <w:p w14:paraId="107DC64E" w14:textId="77777777" w:rsidR="00630E3A" w:rsidRDefault="00630E3A" w:rsidP="00A21CD7">
      <w:pPr>
        <w:jc w:val="both"/>
        <w:rPr>
          <w:rFonts w:cs="Times New Roman"/>
          <w:b/>
        </w:rPr>
      </w:pPr>
    </w:p>
    <w:p w14:paraId="785BB852" w14:textId="77777777" w:rsidR="00630E3A" w:rsidRDefault="00630E3A" w:rsidP="00A21CD7">
      <w:pPr>
        <w:jc w:val="both"/>
        <w:rPr>
          <w:rFonts w:cs="Times New Roman"/>
          <w:b/>
        </w:rPr>
      </w:pPr>
    </w:p>
    <w:p w14:paraId="36E9881A" w14:textId="77777777" w:rsidR="00630E3A" w:rsidRDefault="00630E3A" w:rsidP="00A21CD7">
      <w:pPr>
        <w:jc w:val="both"/>
        <w:rPr>
          <w:rFonts w:cs="Times New Roman"/>
          <w:b/>
        </w:rPr>
      </w:pPr>
    </w:p>
    <w:p w14:paraId="2C068A69" w14:textId="1DFABB20" w:rsidR="005B608B" w:rsidRDefault="005B608B" w:rsidP="00A21CD7">
      <w:pPr>
        <w:jc w:val="both"/>
        <w:rPr>
          <w:bCs/>
        </w:rPr>
      </w:pPr>
      <w:r>
        <w:rPr>
          <w:rFonts w:cs="Times New Roman"/>
          <w:b/>
        </w:rPr>
        <w:lastRenderedPageBreak/>
        <w:t>Supplementary Figure S2.</w:t>
      </w:r>
    </w:p>
    <w:p w14:paraId="4A9BC7FB" w14:textId="4D643270" w:rsidR="00A21CD7" w:rsidRDefault="00AE6FE8" w:rsidP="00A21CD7">
      <w:pPr>
        <w:jc w:val="both"/>
        <w:rPr>
          <w:rFonts w:cs="Times New Roman"/>
          <w:b/>
        </w:rPr>
      </w:pPr>
      <w:r>
        <w:rPr>
          <w:rFonts w:cs="Times New Roman"/>
          <w:b/>
          <w:noProof/>
        </w:rPr>
        <w:drawing>
          <wp:inline distT="0" distB="0" distL="0" distR="0" wp14:anchorId="17EFD9B7" wp14:editId="65ABF64A">
            <wp:extent cx="5882781" cy="7924800"/>
            <wp:effectExtent l="0" t="0" r="0" b="0"/>
            <wp:docPr id="4" name="Picture 4"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background pattern&#10;&#10;Description automatically generated"/>
                    <pic:cNvPicPr/>
                  </pic:nvPicPr>
                  <pic:blipFill rotWithShape="1">
                    <a:blip r:embed="rId9" cstate="print">
                      <a:extLst>
                        <a:ext uri="{28A0092B-C50C-407E-A947-70E740481C1C}">
                          <a14:useLocalDpi xmlns:a14="http://schemas.microsoft.com/office/drawing/2010/main" val="0"/>
                        </a:ext>
                      </a:extLst>
                    </a:blip>
                    <a:srcRect t="2727"/>
                    <a:stretch/>
                  </pic:blipFill>
                  <pic:spPr bwMode="auto">
                    <a:xfrm>
                      <a:off x="0" y="0"/>
                      <a:ext cx="5891243" cy="7936200"/>
                    </a:xfrm>
                    <a:prstGeom prst="rect">
                      <a:avLst/>
                    </a:prstGeom>
                    <a:ln>
                      <a:noFill/>
                    </a:ln>
                    <a:extLst>
                      <a:ext uri="{53640926-AAD7-44D8-BBD7-CCE9431645EC}">
                        <a14:shadowObscured xmlns:a14="http://schemas.microsoft.com/office/drawing/2010/main"/>
                      </a:ext>
                    </a:extLst>
                  </pic:spPr>
                </pic:pic>
              </a:graphicData>
            </a:graphic>
          </wp:inline>
        </w:drawing>
      </w:r>
    </w:p>
    <w:p w14:paraId="6A7713D8" w14:textId="77E9466B" w:rsidR="005B608B" w:rsidRPr="00630E3A" w:rsidRDefault="005B608B" w:rsidP="00A21CD7">
      <w:pPr>
        <w:jc w:val="both"/>
        <w:rPr>
          <w:rFonts w:cs="Times New Roman"/>
          <w:szCs w:val="24"/>
        </w:rPr>
      </w:pPr>
      <w:r w:rsidRPr="00630E3A">
        <w:rPr>
          <w:rFonts w:cs="Times New Roman"/>
          <w:b/>
          <w:szCs w:val="24"/>
        </w:rPr>
        <w:lastRenderedPageBreak/>
        <w:t>A.</w:t>
      </w:r>
      <w:r w:rsidRPr="00630E3A">
        <w:rPr>
          <w:rFonts w:cs="Times New Roman"/>
          <w:szCs w:val="24"/>
        </w:rPr>
        <w:t xml:space="preserve"> Western blot of HTTEx1 mutant </w:t>
      </w:r>
      <w:r w:rsidRPr="00630E3A">
        <w:rPr>
          <w:rFonts w:cs="Times New Roman"/>
          <w:i/>
          <w:szCs w:val="24"/>
        </w:rPr>
        <w:t xml:space="preserve">C. elegans </w:t>
      </w:r>
      <w:r w:rsidRPr="00630E3A">
        <w:rPr>
          <w:rFonts w:cs="Times New Roman"/>
          <w:szCs w:val="24"/>
        </w:rPr>
        <w:t>strains generated for this study confirms the double presence of HTT</w:t>
      </w:r>
      <w:r w:rsidR="00A42D49">
        <w:rPr>
          <w:rFonts w:cs="Times New Roman"/>
          <w:szCs w:val="24"/>
        </w:rPr>
        <w:t>Ex1</w:t>
      </w:r>
      <w:r w:rsidRPr="00630E3A">
        <w:rPr>
          <w:rFonts w:cs="Times New Roman"/>
          <w:szCs w:val="24"/>
        </w:rPr>
        <w:t>, tagged and untagged. Left blot shows the wildtype N2 nematode, the mScarlet control and all HTT</w:t>
      </w:r>
      <w:r w:rsidR="00A42D49">
        <w:rPr>
          <w:rFonts w:cs="Times New Roman"/>
          <w:szCs w:val="24"/>
        </w:rPr>
        <w:t>Ex1</w:t>
      </w:r>
      <w:r w:rsidRPr="00630E3A">
        <w:rPr>
          <w:rFonts w:cs="Times New Roman"/>
          <w:szCs w:val="24"/>
        </w:rPr>
        <w:t xml:space="preserve"> mutants except the ∆N17 variants. Right blot shows the </w:t>
      </w:r>
      <w:r w:rsidR="00A42D49">
        <w:rPr>
          <w:rFonts w:cs="Times New Roman"/>
          <w:szCs w:val="24"/>
        </w:rPr>
        <w:t xml:space="preserve">N2 and </w:t>
      </w:r>
      <w:proofErr w:type="spellStart"/>
      <w:r w:rsidR="00A42D49">
        <w:rPr>
          <w:rFonts w:cs="Times New Roman"/>
          <w:szCs w:val="24"/>
        </w:rPr>
        <w:t>mScarlet</w:t>
      </w:r>
      <w:proofErr w:type="spellEnd"/>
      <w:r w:rsidR="00A42D49">
        <w:rPr>
          <w:rFonts w:cs="Times New Roman"/>
          <w:szCs w:val="24"/>
        </w:rPr>
        <w:t xml:space="preserve"> </w:t>
      </w:r>
      <w:r w:rsidRPr="00630E3A">
        <w:rPr>
          <w:rFonts w:cs="Times New Roman"/>
          <w:szCs w:val="24"/>
        </w:rPr>
        <w:t>control</w:t>
      </w:r>
      <w:r w:rsidR="00A42D49">
        <w:rPr>
          <w:rFonts w:cs="Times New Roman"/>
          <w:szCs w:val="24"/>
        </w:rPr>
        <w:t>s</w:t>
      </w:r>
      <w:r w:rsidRPr="00630E3A">
        <w:rPr>
          <w:rFonts w:cs="Times New Roman"/>
          <w:szCs w:val="24"/>
        </w:rPr>
        <w:t xml:space="preserve"> alongside the Q23∆N17 and Q48∆N17 nematode strains. Left blot was stained against HTT</w:t>
      </w:r>
      <w:r w:rsidR="00A42D49">
        <w:rPr>
          <w:rFonts w:cs="Times New Roman"/>
          <w:szCs w:val="24"/>
        </w:rPr>
        <w:t>Ex1</w:t>
      </w:r>
      <w:r w:rsidRPr="00630E3A">
        <w:rPr>
          <w:rFonts w:cs="Times New Roman"/>
          <w:szCs w:val="24"/>
        </w:rPr>
        <w:t xml:space="preserve"> with the EPR5526 antibody and right blot with the 3B5H10 antibody. Untagged HTT</w:t>
      </w:r>
      <w:r w:rsidR="00A42D49">
        <w:rPr>
          <w:rFonts w:cs="Times New Roman"/>
          <w:szCs w:val="24"/>
        </w:rPr>
        <w:t>Ex1</w:t>
      </w:r>
      <w:r w:rsidRPr="00630E3A">
        <w:rPr>
          <w:rFonts w:cs="Times New Roman"/>
          <w:szCs w:val="24"/>
        </w:rPr>
        <w:t xml:space="preserve"> is indicated with a blue asterisk, while </w:t>
      </w:r>
      <w:proofErr w:type="spellStart"/>
      <w:r w:rsidRPr="00630E3A">
        <w:rPr>
          <w:rFonts w:cs="Times New Roman"/>
          <w:szCs w:val="24"/>
        </w:rPr>
        <w:t>mScarlet</w:t>
      </w:r>
      <w:proofErr w:type="spellEnd"/>
      <w:r w:rsidRPr="00630E3A">
        <w:rPr>
          <w:rFonts w:cs="Times New Roman"/>
          <w:szCs w:val="24"/>
        </w:rPr>
        <w:t>-fused HTT</w:t>
      </w:r>
      <w:r w:rsidR="00A42D49">
        <w:rPr>
          <w:rFonts w:cs="Times New Roman"/>
          <w:szCs w:val="24"/>
        </w:rPr>
        <w:t>Ex1</w:t>
      </w:r>
      <w:r w:rsidRPr="00630E3A">
        <w:rPr>
          <w:rFonts w:cs="Times New Roman"/>
          <w:szCs w:val="24"/>
        </w:rPr>
        <w:t xml:space="preserve"> is indicated with a red asterisk. Unspecific bands appear around 70 kDa, and above, for both antibodies. The contrast of the blots was increased to facilitate visualization. </w:t>
      </w:r>
      <w:r w:rsidRPr="00630E3A">
        <w:rPr>
          <w:rFonts w:cs="Times New Roman"/>
          <w:b/>
          <w:bCs/>
          <w:szCs w:val="24"/>
        </w:rPr>
        <w:t xml:space="preserve">B-C. </w:t>
      </w:r>
      <w:r w:rsidRPr="00630E3A">
        <w:rPr>
          <w:rFonts w:cs="Times New Roman"/>
          <w:szCs w:val="24"/>
        </w:rPr>
        <w:t xml:space="preserve">Immunohistochemistry of </w:t>
      </w:r>
      <w:r w:rsidRPr="00630E3A">
        <w:rPr>
          <w:rFonts w:cs="Times New Roman"/>
          <w:i/>
          <w:iCs/>
          <w:szCs w:val="24"/>
        </w:rPr>
        <w:t>C. elegans</w:t>
      </w:r>
      <w:r w:rsidRPr="00630E3A">
        <w:rPr>
          <w:rFonts w:cs="Times New Roman"/>
          <w:szCs w:val="24"/>
        </w:rPr>
        <w:t xml:space="preserve"> strains confirmed the presence of HTT</w:t>
      </w:r>
      <w:r w:rsidR="000A6051">
        <w:rPr>
          <w:rFonts w:cs="Times New Roman"/>
          <w:szCs w:val="24"/>
        </w:rPr>
        <w:t>Ex1</w:t>
      </w:r>
      <w:r w:rsidRPr="00630E3A">
        <w:rPr>
          <w:rFonts w:cs="Times New Roman"/>
          <w:szCs w:val="24"/>
        </w:rPr>
        <w:t xml:space="preserve"> in head neurons, for the control, ∆P, P+ and ∆P1 strains (B). For the ∆N17 mutant strains immunohistochemistry against HTT</w:t>
      </w:r>
      <w:r w:rsidR="000A6051">
        <w:rPr>
          <w:rFonts w:cs="Times New Roman"/>
          <w:szCs w:val="24"/>
        </w:rPr>
        <w:t>Ex1</w:t>
      </w:r>
      <w:r w:rsidRPr="00630E3A">
        <w:rPr>
          <w:rFonts w:cs="Times New Roman"/>
          <w:szCs w:val="24"/>
        </w:rPr>
        <w:t xml:space="preserve"> was unable to detect the protein in the neurons, and unspecific binding, as present in the control, was instead recognized (C). First row illustrates the DAPI-stained nuclei (cyan), second row illustrates the endogenous mScarlet (red), third row shows the HTT signal (yellow), and final row represents the merge of all channels. Non-tagged HTT</w:t>
      </w:r>
      <w:r w:rsidR="000A6051">
        <w:rPr>
          <w:rFonts w:cs="Times New Roman"/>
          <w:szCs w:val="24"/>
        </w:rPr>
        <w:t>Ex1</w:t>
      </w:r>
      <w:r w:rsidRPr="00630E3A">
        <w:rPr>
          <w:rFonts w:cs="Times New Roman"/>
          <w:szCs w:val="24"/>
        </w:rPr>
        <w:t xml:space="preserve"> was stained either with anti-HTT</w:t>
      </w:r>
      <w:r w:rsidR="000A6051">
        <w:rPr>
          <w:rFonts w:cs="Times New Roman"/>
          <w:szCs w:val="24"/>
        </w:rPr>
        <w:t>Ex1</w:t>
      </w:r>
      <w:r w:rsidRPr="00630E3A">
        <w:rPr>
          <w:rFonts w:cs="Times New Roman"/>
          <w:szCs w:val="24"/>
        </w:rPr>
        <w:t xml:space="preserve"> EPR5526 or 3B5H10 antibodies and does not appear in the mScarlet control. Unspecific staining is present with the 3B5H10 antibody, as demonstrated in the control mScarlet image. A test utilizing the MW8</w:t>
      </w:r>
      <w:r w:rsidR="000A6051">
        <w:rPr>
          <w:rFonts w:cs="Times New Roman"/>
          <w:szCs w:val="24"/>
        </w:rPr>
        <w:t xml:space="preserve"> or </w:t>
      </w:r>
      <w:r w:rsidR="000A6051" w:rsidRPr="00630E3A">
        <w:rPr>
          <w:bCs/>
          <w:szCs w:val="24"/>
        </w:rPr>
        <w:t>5TF1-1C2</w:t>
      </w:r>
      <w:r w:rsidRPr="00630E3A">
        <w:rPr>
          <w:rFonts w:cs="Times New Roman"/>
          <w:szCs w:val="24"/>
        </w:rPr>
        <w:t xml:space="preserve"> antibod</w:t>
      </w:r>
      <w:r w:rsidR="000A6051">
        <w:rPr>
          <w:rFonts w:cs="Times New Roman"/>
          <w:szCs w:val="24"/>
        </w:rPr>
        <w:t>ies</w:t>
      </w:r>
      <w:r w:rsidRPr="00630E3A">
        <w:rPr>
          <w:rFonts w:cs="Times New Roman"/>
          <w:szCs w:val="24"/>
        </w:rPr>
        <w:t xml:space="preserve"> could also not detect the ∆N17 HTT</w:t>
      </w:r>
      <w:r w:rsidR="000A6051">
        <w:rPr>
          <w:rFonts w:cs="Times New Roman"/>
          <w:szCs w:val="24"/>
        </w:rPr>
        <w:t>Ex1</w:t>
      </w:r>
      <w:r w:rsidRPr="00630E3A">
        <w:rPr>
          <w:rFonts w:cs="Times New Roman"/>
          <w:szCs w:val="24"/>
        </w:rPr>
        <w:t xml:space="preserve"> constructs (data not shown). Scale bar is 10 µm. Contrast of images was increased for better visualization. </w:t>
      </w:r>
      <w:r w:rsidRPr="00630E3A">
        <w:rPr>
          <w:rFonts w:cs="Times New Roman"/>
          <w:b/>
          <w:bCs/>
          <w:szCs w:val="24"/>
        </w:rPr>
        <w:t xml:space="preserve">D. </w:t>
      </w:r>
      <w:r w:rsidRPr="00630E3A">
        <w:rPr>
          <w:rFonts w:cs="Times New Roman"/>
          <w:szCs w:val="24"/>
        </w:rPr>
        <w:t xml:space="preserve">Table showing the </w:t>
      </w:r>
      <w:r w:rsidR="00F22B14" w:rsidRPr="00630E3A">
        <w:rPr>
          <w:rFonts w:cs="Times New Roman"/>
          <w:szCs w:val="24"/>
        </w:rPr>
        <w:t>Pearson’s</w:t>
      </w:r>
      <w:r w:rsidRPr="00630E3A">
        <w:rPr>
          <w:rFonts w:cs="Times New Roman"/>
          <w:szCs w:val="24"/>
        </w:rPr>
        <w:t xml:space="preserve"> correlation and overlap coefficients for the mScarlet-HTT</w:t>
      </w:r>
      <w:r w:rsidR="000A6051">
        <w:rPr>
          <w:rFonts w:cs="Times New Roman"/>
          <w:szCs w:val="24"/>
        </w:rPr>
        <w:t>Ex1</w:t>
      </w:r>
      <w:r w:rsidRPr="00630E3A">
        <w:rPr>
          <w:rFonts w:cs="Times New Roman"/>
          <w:szCs w:val="24"/>
        </w:rPr>
        <w:t xml:space="preserve"> and antibody-detected HTT signals. Coefficients demonstrate a strong (r ≥ 70) or very strong (r ≥ 90) colocalization for the non-variated, ∆P, P+ and ∆P1 strains, while a weak or moderate correlation for the ∆N17 Q23 and Q48 strains respectively. Analysis was performed using the JACoP plugin in Fiji/ImageJ.</w:t>
      </w:r>
    </w:p>
    <w:p w14:paraId="0C52A042" w14:textId="5AD1879C" w:rsidR="005B608B" w:rsidRDefault="005B608B" w:rsidP="00A21CD7">
      <w:pPr>
        <w:jc w:val="both"/>
        <w:rPr>
          <w:bCs/>
        </w:rPr>
      </w:pPr>
    </w:p>
    <w:p w14:paraId="334C4D4E" w14:textId="113E76D1" w:rsidR="00A21CD7" w:rsidRDefault="00A21CD7" w:rsidP="00A21CD7">
      <w:pPr>
        <w:jc w:val="both"/>
        <w:rPr>
          <w:bCs/>
        </w:rPr>
      </w:pPr>
    </w:p>
    <w:p w14:paraId="2460DC5C" w14:textId="32F2843F" w:rsidR="00A21CD7" w:rsidRDefault="00A21CD7" w:rsidP="00A21CD7">
      <w:pPr>
        <w:jc w:val="both"/>
        <w:rPr>
          <w:bCs/>
        </w:rPr>
      </w:pPr>
    </w:p>
    <w:p w14:paraId="1CC84206" w14:textId="4999B18D" w:rsidR="00A21CD7" w:rsidRDefault="00A21CD7" w:rsidP="00A21CD7">
      <w:pPr>
        <w:jc w:val="both"/>
        <w:rPr>
          <w:bCs/>
        </w:rPr>
      </w:pPr>
    </w:p>
    <w:p w14:paraId="283D521B" w14:textId="53838E27" w:rsidR="00A21CD7" w:rsidRDefault="00A21CD7" w:rsidP="00A21CD7">
      <w:pPr>
        <w:jc w:val="both"/>
        <w:rPr>
          <w:bCs/>
        </w:rPr>
      </w:pPr>
    </w:p>
    <w:p w14:paraId="78F15EC8" w14:textId="5ECE1F15" w:rsidR="00A21CD7" w:rsidRDefault="00A21CD7" w:rsidP="00A21CD7">
      <w:pPr>
        <w:jc w:val="both"/>
        <w:rPr>
          <w:bCs/>
        </w:rPr>
      </w:pPr>
    </w:p>
    <w:p w14:paraId="248B4F5C" w14:textId="0F703106" w:rsidR="00A21CD7" w:rsidRDefault="00A21CD7" w:rsidP="00A21CD7">
      <w:pPr>
        <w:jc w:val="both"/>
        <w:rPr>
          <w:bCs/>
        </w:rPr>
      </w:pPr>
    </w:p>
    <w:p w14:paraId="5E157A49" w14:textId="79012AD1" w:rsidR="00A21CD7" w:rsidRDefault="00A21CD7" w:rsidP="00A21CD7">
      <w:pPr>
        <w:jc w:val="both"/>
        <w:rPr>
          <w:bCs/>
        </w:rPr>
      </w:pPr>
    </w:p>
    <w:p w14:paraId="3CD48E22" w14:textId="415D9215" w:rsidR="00A21CD7" w:rsidRDefault="00A21CD7" w:rsidP="00A21CD7">
      <w:pPr>
        <w:jc w:val="both"/>
        <w:rPr>
          <w:bCs/>
        </w:rPr>
      </w:pPr>
    </w:p>
    <w:p w14:paraId="55E0E020" w14:textId="77777777" w:rsidR="00A21CD7" w:rsidRDefault="00A21CD7" w:rsidP="00A21CD7">
      <w:pPr>
        <w:jc w:val="both"/>
        <w:rPr>
          <w:rFonts w:cs="Times New Roman"/>
          <w:b/>
          <w:bCs/>
        </w:rPr>
      </w:pPr>
    </w:p>
    <w:p w14:paraId="475321D8" w14:textId="77777777" w:rsidR="00630E3A" w:rsidRDefault="00630E3A" w:rsidP="00A21CD7">
      <w:pPr>
        <w:jc w:val="both"/>
        <w:rPr>
          <w:rFonts w:cs="Times New Roman"/>
          <w:b/>
          <w:bCs/>
        </w:rPr>
      </w:pPr>
    </w:p>
    <w:p w14:paraId="7EBD37C6" w14:textId="77777777" w:rsidR="00630E3A" w:rsidRDefault="00630E3A" w:rsidP="00A21CD7">
      <w:pPr>
        <w:jc w:val="both"/>
        <w:rPr>
          <w:rFonts w:cs="Times New Roman"/>
          <w:b/>
          <w:bCs/>
        </w:rPr>
      </w:pPr>
    </w:p>
    <w:p w14:paraId="38071ADC" w14:textId="77777777" w:rsidR="00630E3A" w:rsidRDefault="00630E3A" w:rsidP="00A21CD7">
      <w:pPr>
        <w:jc w:val="both"/>
        <w:rPr>
          <w:rFonts w:cs="Times New Roman"/>
          <w:b/>
          <w:bCs/>
        </w:rPr>
      </w:pPr>
    </w:p>
    <w:p w14:paraId="638CFE31" w14:textId="27C47D49" w:rsidR="00A21CD7" w:rsidRDefault="00F01E0D" w:rsidP="00A21CD7">
      <w:pPr>
        <w:jc w:val="both"/>
        <w:rPr>
          <w:rFonts w:cs="Times New Roman"/>
          <w:b/>
          <w:bCs/>
        </w:rPr>
      </w:pPr>
      <w:r>
        <w:rPr>
          <w:rFonts w:cs="Times New Roman"/>
          <w:b/>
          <w:bCs/>
        </w:rPr>
        <w:lastRenderedPageBreak/>
        <w:t>Supplementary Fig. S3</w:t>
      </w:r>
    </w:p>
    <w:p w14:paraId="1FFDC378" w14:textId="61F0878C" w:rsidR="00A21CD7" w:rsidRDefault="00A21CD7" w:rsidP="00A21CD7">
      <w:pPr>
        <w:jc w:val="both"/>
        <w:rPr>
          <w:rFonts w:cs="Times New Roman"/>
          <w:b/>
          <w:bCs/>
        </w:rPr>
      </w:pPr>
      <w:r>
        <w:rPr>
          <w:rFonts w:cs="Times New Roman"/>
          <w:b/>
          <w:bCs/>
          <w:noProof/>
        </w:rPr>
        <w:drawing>
          <wp:inline distT="0" distB="0" distL="0" distR="0" wp14:anchorId="59111FFD" wp14:editId="0F00B066">
            <wp:extent cx="4239528" cy="7931217"/>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10" cstate="print">
                      <a:extLst>
                        <a:ext uri="{28A0092B-C50C-407E-A947-70E740481C1C}">
                          <a14:useLocalDpi xmlns:a14="http://schemas.microsoft.com/office/drawing/2010/main" val="0"/>
                        </a:ext>
                      </a:extLst>
                    </a:blip>
                    <a:srcRect t="2682"/>
                    <a:stretch/>
                  </pic:blipFill>
                  <pic:spPr bwMode="auto">
                    <a:xfrm>
                      <a:off x="0" y="0"/>
                      <a:ext cx="4245993" cy="7943312"/>
                    </a:xfrm>
                    <a:prstGeom prst="rect">
                      <a:avLst/>
                    </a:prstGeom>
                    <a:ln>
                      <a:noFill/>
                    </a:ln>
                    <a:extLst>
                      <a:ext uri="{53640926-AAD7-44D8-BBD7-CCE9431645EC}">
                        <a14:shadowObscured xmlns:a14="http://schemas.microsoft.com/office/drawing/2010/main"/>
                      </a:ext>
                    </a:extLst>
                  </pic:spPr>
                </pic:pic>
              </a:graphicData>
            </a:graphic>
          </wp:inline>
        </w:drawing>
      </w:r>
    </w:p>
    <w:p w14:paraId="4965C04B" w14:textId="6682088A" w:rsidR="00F01E0D" w:rsidRPr="008659DA" w:rsidRDefault="00F01E0D" w:rsidP="00A21CD7">
      <w:pPr>
        <w:jc w:val="both"/>
        <w:rPr>
          <w:rFonts w:cs="Times New Roman"/>
        </w:rPr>
      </w:pPr>
      <w:r w:rsidRPr="008659DA">
        <w:rPr>
          <w:rFonts w:cs="Times New Roman"/>
          <w:b/>
          <w:bCs/>
        </w:rPr>
        <w:lastRenderedPageBreak/>
        <w:t>A.</w:t>
      </w:r>
      <w:r>
        <w:rPr>
          <w:rFonts w:cs="Times New Roman"/>
          <w:b/>
          <w:bCs/>
        </w:rPr>
        <w:t xml:space="preserve"> </w:t>
      </w:r>
      <w:r>
        <w:rPr>
          <w:rFonts w:cs="Times New Roman"/>
        </w:rPr>
        <w:t xml:space="preserve">Truncated violin plots representing the average lifetime values of all </w:t>
      </w:r>
      <w:r w:rsidRPr="00FC5751">
        <w:rPr>
          <w:rFonts w:cs="Times New Roman"/>
          <w:i/>
          <w:iCs/>
        </w:rPr>
        <w:t>C. elegans</w:t>
      </w:r>
      <w:r>
        <w:rPr>
          <w:rFonts w:cs="Times New Roman"/>
        </w:rPr>
        <w:t xml:space="preserve"> HTT</w:t>
      </w:r>
      <w:r w:rsidR="00BE2AC3">
        <w:rPr>
          <w:rFonts w:cs="Times New Roman"/>
        </w:rPr>
        <w:t>Ex1</w:t>
      </w:r>
      <w:r>
        <w:rPr>
          <w:rFonts w:cs="Times New Roman"/>
        </w:rPr>
        <w:t xml:space="preserve"> strains and </w:t>
      </w:r>
      <w:proofErr w:type="spellStart"/>
      <w:r>
        <w:rPr>
          <w:rFonts w:cs="Times New Roman"/>
        </w:rPr>
        <w:t>mScarlet</w:t>
      </w:r>
      <w:proofErr w:type="spellEnd"/>
      <w:r>
        <w:rPr>
          <w:rFonts w:cs="Times New Roman"/>
        </w:rPr>
        <w:t xml:space="preserve"> control, compared between day 4 and day 10. All strains show a significant fluorescence lifetime reduction, indicating increased aggregation, between day 4 and day 10, except for Q48P+. Significance of the grouped analysis was calculated with a two-way ANOVA followed by a Sidak correction test and assuming a 95% confidence interval (ns = non-significant). </w:t>
      </w:r>
      <w:r w:rsidRPr="002D1A43">
        <w:rPr>
          <w:rFonts w:cs="Times New Roman"/>
          <w:b/>
          <w:bCs/>
        </w:rPr>
        <w:t>B.</w:t>
      </w:r>
      <w:r>
        <w:rPr>
          <w:rFonts w:cs="Times New Roman"/>
        </w:rPr>
        <w:t xml:space="preserve"> </w:t>
      </w:r>
      <w:r w:rsidRPr="008659DA">
        <w:rPr>
          <w:rFonts w:cs="Times New Roman"/>
          <w:bCs/>
        </w:rPr>
        <w:t xml:space="preserve">Lifespan assay, illustrated with a Kaplan-Mayer plot, of all </w:t>
      </w:r>
      <w:r w:rsidRPr="008659DA">
        <w:rPr>
          <w:rFonts w:cs="Times New Roman"/>
          <w:bCs/>
          <w:i/>
          <w:iCs/>
        </w:rPr>
        <w:t>C. elegans</w:t>
      </w:r>
      <w:r w:rsidRPr="008659DA">
        <w:rPr>
          <w:rFonts w:cs="Times New Roman"/>
          <w:bCs/>
        </w:rPr>
        <w:t xml:space="preserve"> HTT</w:t>
      </w:r>
      <w:r>
        <w:rPr>
          <w:rFonts w:cs="Times New Roman"/>
          <w:bCs/>
        </w:rPr>
        <w:t>Ex1</w:t>
      </w:r>
      <w:r w:rsidRPr="008659DA">
        <w:rPr>
          <w:rFonts w:cs="Times New Roman"/>
          <w:bCs/>
        </w:rPr>
        <w:t xml:space="preserve"> mutant strains alongside the mScarlet control strain</w:t>
      </w:r>
      <w:r w:rsidRPr="008659DA">
        <w:rPr>
          <w:rFonts w:cs="Times New Roman"/>
        </w:rPr>
        <w:t xml:space="preserve">. Survival curves of all </w:t>
      </w:r>
      <w:r w:rsidRPr="002D1A43">
        <w:rPr>
          <w:rFonts w:cs="Times New Roman"/>
          <w:i/>
        </w:rPr>
        <w:t>C. elegans</w:t>
      </w:r>
      <w:r w:rsidRPr="008659DA">
        <w:rPr>
          <w:rFonts w:cs="Times New Roman"/>
        </w:rPr>
        <w:t xml:space="preserve"> strains are compared here and the mean and standard error, and maximum lifespan are represented on the left.</w:t>
      </w:r>
      <w:r w:rsidRPr="008659DA">
        <w:rPr>
          <w:rFonts w:cs="Times New Roman"/>
          <w:b/>
          <w:bCs/>
        </w:rPr>
        <w:t xml:space="preserve"> </w:t>
      </w:r>
      <w:r>
        <w:rPr>
          <w:rFonts w:cs="Times New Roman"/>
          <w:b/>
          <w:bCs/>
        </w:rPr>
        <w:t>C</w:t>
      </w:r>
      <w:r w:rsidRPr="008659DA">
        <w:rPr>
          <w:rFonts w:cs="Times New Roman"/>
          <w:b/>
          <w:bCs/>
        </w:rPr>
        <w:t xml:space="preserve">. </w:t>
      </w:r>
      <w:r w:rsidRPr="008659DA">
        <w:rPr>
          <w:rFonts w:cs="Times New Roman"/>
          <w:bCs/>
        </w:rPr>
        <w:t xml:space="preserve">Scatter dot plot with bar of the progeny assay performed for all </w:t>
      </w:r>
      <w:r w:rsidRPr="008659DA">
        <w:rPr>
          <w:rFonts w:cs="Times New Roman"/>
          <w:bCs/>
          <w:i/>
          <w:iCs/>
        </w:rPr>
        <w:t>C. elegans</w:t>
      </w:r>
      <w:r w:rsidRPr="008659DA">
        <w:rPr>
          <w:rFonts w:cs="Times New Roman"/>
          <w:bCs/>
        </w:rPr>
        <w:t xml:space="preserve"> HTT</w:t>
      </w:r>
      <w:r>
        <w:rPr>
          <w:rFonts w:cs="Times New Roman"/>
          <w:bCs/>
        </w:rPr>
        <w:t>Ex1</w:t>
      </w:r>
      <w:r w:rsidRPr="008659DA">
        <w:rPr>
          <w:rFonts w:cs="Times New Roman"/>
          <w:bCs/>
        </w:rPr>
        <w:t xml:space="preserve"> strains and mScarlet control.</w:t>
      </w:r>
      <w:r w:rsidRPr="008659DA">
        <w:rPr>
          <w:rFonts w:cs="Times New Roman"/>
          <w:b/>
          <w:bCs/>
        </w:rPr>
        <w:t xml:space="preserve"> </w:t>
      </w:r>
      <w:r>
        <w:rPr>
          <w:rFonts w:cs="Times New Roman"/>
          <w:b/>
          <w:bCs/>
        </w:rPr>
        <w:t>D</w:t>
      </w:r>
      <w:r w:rsidRPr="008659DA">
        <w:rPr>
          <w:rFonts w:cs="Times New Roman"/>
          <w:b/>
          <w:bCs/>
        </w:rPr>
        <w:t xml:space="preserve">. </w:t>
      </w:r>
      <w:r w:rsidRPr="008659DA">
        <w:rPr>
          <w:rFonts w:cs="Times New Roman"/>
          <w:bCs/>
        </w:rPr>
        <w:t xml:space="preserve">Grouped bar plot of chemotactic assay performed on all </w:t>
      </w:r>
      <w:r w:rsidRPr="008659DA">
        <w:rPr>
          <w:rFonts w:cs="Times New Roman"/>
          <w:bCs/>
          <w:i/>
          <w:iCs/>
        </w:rPr>
        <w:t>C. elegans</w:t>
      </w:r>
      <w:r w:rsidRPr="008659DA">
        <w:rPr>
          <w:rFonts w:cs="Times New Roman"/>
          <w:bCs/>
        </w:rPr>
        <w:t xml:space="preserve"> HTT</w:t>
      </w:r>
      <w:r>
        <w:rPr>
          <w:rFonts w:cs="Times New Roman"/>
          <w:bCs/>
        </w:rPr>
        <w:t>Ex1</w:t>
      </w:r>
      <w:r w:rsidRPr="008659DA">
        <w:rPr>
          <w:rFonts w:cs="Times New Roman"/>
          <w:bCs/>
        </w:rPr>
        <w:t xml:space="preserve"> mutant strains alongside the mScarlet control strain.</w:t>
      </w:r>
      <w:r w:rsidRPr="008659DA">
        <w:rPr>
          <w:rFonts w:cs="Times New Roman"/>
          <w:b/>
          <w:bCs/>
        </w:rPr>
        <w:t xml:space="preserve"> </w:t>
      </w:r>
      <w:r>
        <w:rPr>
          <w:rFonts w:cs="Times New Roman"/>
          <w:b/>
          <w:bCs/>
        </w:rPr>
        <w:t>E</w:t>
      </w:r>
      <w:r w:rsidRPr="008659DA">
        <w:rPr>
          <w:rFonts w:cs="Times New Roman"/>
          <w:b/>
          <w:bCs/>
        </w:rPr>
        <w:t xml:space="preserve">. </w:t>
      </w:r>
      <w:r w:rsidRPr="008659DA">
        <w:rPr>
          <w:rFonts w:cs="Times New Roman"/>
          <w:bCs/>
        </w:rPr>
        <w:t xml:space="preserve">Scatter dot plot of the thrashing assay performed on all </w:t>
      </w:r>
      <w:r w:rsidRPr="008659DA">
        <w:rPr>
          <w:rFonts w:cs="Times New Roman"/>
          <w:bCs/>
          <w:i/>
          <w:iCs/>
        </w:rPr>
        <w:t>C. elegans</w:t>
      </w:r>
      <w:r w:rsidRPr="008659DA">
        <w:rPr>
          <w:rFonts w:cs="Times New Roman"/>
          <w:bCs/>
        </w:rPr>
        <w:t xml:space="preserve"> HTT</w:t>
      </w:r>
      <w:r>
        <w:rPr>
          <w:rFonts w:cs="Times New Roman"/>
          <w:bCs/>
        </w:rPr>
        <w:t>Ex1</w:t>
      </w:r>
      <w:r w:rsidRPr="008659DA">
        <w:rPr>
          <w:rFonts w:cs="Times New Roman"/>
          <w:bCs/>
        </w:rPr>
        <w:t xml:space="preserve"> strains and mScarlet control strain, on young day 4 and on old day 10 nematodes.</w:t>
      </w:r>
      <w:r w:rsidRPr="008659DA">
        <w:rPr>
          <w:rFonts w:cs="Times New Roman"/>
          <w:b/>
          <w:bCs/>
        </w:rPr>
        <w:t xml:space="preserve"> </w:t>
      </w:r>
      <w:r w:rsidRPr="008659DA">
        <w:rPr>
          <w:rFonts w:cs="Times New Roman"/>
        </w:rPr>
        <w:t xml:space="preserve">For all assays here depicted significance was assessed as described in figure 5 for the respective assays. Significance values are reported in Supplementary table </w:t>
      </w:r>
      <w:r>
        <w:rPr>
          <w:rFonts w:cs="Times New Roman"/>
        </w:rPr>
        <w:t>3</w:t>
      </w:r>
      <w:r w:rsidRPr="008659DA">
        <w:rPr>
          <w:rFonts w:cs="Times New Roman"/>
        </w:rPr>
        <w:t xml:space="preserve"> for lifespans, and Supplementary table </w:t>
      </w:r>
      <w:r>
        <w:rPr>
          <w:rFonts w:cs="Times New Roman"/>
        </w:rPr>
        <w:t>4</w:t>
      </w:r>
      <w:r w:rsidRPr="008659DA">
        <w:rPr>
          <w:rFonts w:cs="Times New Roman"/>
        </w:rPr>
        <w:t xml:space="preserve"> for all other phenotypic assays. </w:t>
      </w:r>
    </w:p>
    <w:p w14:paraId="4B3E0347" w14:textId="77777777" w:rsidR="005B608B" w:rsidRDefault="005B608B" w:rsidP="00A21CD7">
      <w:pPr>
        <w:jc w:val="both"/>
        <w:rPr>
          <w:bCs/>
        </w:rPr>
      </w:pPr>
    </w:p>
    <w:p w14:paraId="333FC610" w14:textId="77777777" w:rsidR="00A21CD7" w:rsidRDefault="00A21CD7" w:rsidP="00A21CD7">
      <w:pPr>
        <w:jc w:val="both"/>
        <w:rPr>
          <w:rFonts w:cs="Times New Roman"/>
          <w:b/>
          <w:bCs/>
        </w:rPr>
      </w:pPr>
    </w:p>
    <w:p w14:paraId="3ED73683" w14:textId="77777777" w:rsidR="00A21CD7" w:rsidRDefault="00A21CD7" w:rsidP="00A21CD7">
      <w:pPr>
        <w:jc w:val="both"/>
        <w:rPr>
          <w:rFonts w:cs="Times New Roman"/>
          <w:b/>
          <w:bCs/>
        </w:rPr>
      </w:pPr>
    </w:p>
    <w:p w14:paraId="4DA70FC0" w14:textId="77777777" w:rsidR="00A21CD7" w:rsidRDefault="00A21CD7" w:rsidP="00A21CD7">
      <w:pPr>
        <w:jc w:val="both"/>
        <w:rPr>
          <w:rFonts w:cs="Times New Roman"/>
          <w:b/>
          <w:bCs/>
        </w:rPr>
      </w:pPr>
    </w:p>
    <w:p w14:paraId="27DA685B" w14:textId="77777777" w:rsidR="00A21CD7" w:rsidRDefault="00A21CD7" w:rsidP="00A21CD7">
      <w:pPr>
        <w:jc w:val="both"/>
        <w:rPr>
          <w:rFonts w:cs="Times New Roman"/>
          <w:b/>
          <w:bCs/>
        </w:rPr>
      </w:pPr>
    </w:p>
    <w:p w14:paraId="7F0D702D" w14:textId="77777777" w:rsidR="00A21CD7" w:rsidRDefault="00A21CD7" w:rsidP="00A21CD7">
      <w:pPr>
        <w:jc w:val="both"/>
        <w:rPr>
          <w:rFonts w:cs="Times New Roman"/>
          <w:b/>
          <w:bCs/>
        </w:rPr>
      </w:pPr>
    </w:p>
    <w:p w14:paraId="1E8ADFD2" w14:textId="77777777" w:rsidR="00A21CD7" w:rsidRDefault="00A21CD7" w:rsidP="00A21CD7">
      <w:pPr>
        <w:jc w:val="both"/>
        <w:rPr>
          <w:rFonts w:cs="Times New Roman"/>
          <w:b/>
          <w:bCs/>
        </w:rPr>
      </w:pPr>
    </w:p>
    <w:p w14:paraId="6B01C9D9" w14:textId="77777777" w:rsidR="00A21CD7" w:rsidRDefault="00A21CD7" w:rsidP="00A21CD7">
      <w:pPr>
        <w:jc w:val="both"/>
        <w:rPr>
          <w:rFonts w:cs="Times New Roman"/>
          <w:b/>
          <w:bCs/>
        </w:rPr>
      </w:pPr>
    </w:p>
    <w:p w14:paraId="060510EB" w14:textId="77777777" w:rsidR="00A21CD7" w:rsidRDefault="00A21CD7" w:rsidP="00A21CD7">
      <w:pPr>
        <w:jc w:val="both"/>
        <w:rPr>
          <w:rFonts w:cs="Times New Roman"/>
          <w:b/>
          <w:bCs/>
        </w:rPr>
      </w:pPr>
    </w:p>
    <w:p w14:paraId="7FB90163" w14:textId="77777777" w:rsidR="00A21CD7" w:rsidRDefault="00A21CD7" w:rsidP="00A21CD7">
      <w:pPr>
        <w:jc w:val="both"/>
        <w:rPr>
          <w:rFonts w:cs="Times New Roman"/>
          <w:b/>
          <w:bCs/>
        </w:rPr>
      </w:pPr>
    </w:p>
    <w:p w14:paraId="3368A4FE" w14:textId="77777777" w:rsidR="00A21CD7" w:rsidRDefault="00A21CD7" w:rsidP="00A21CD7">
      <w:pPr>
        <w:jc w:val="both"/>
        <w:rPr>
          <w:rFonts w:cs="Times New Roman"/>
          <w:b/>
          <w:bCs/>
        </w:rPr>
      </w:pPr>
    </w:p>
    <w:p w14:paraId="03278BA1" w14:textId="77777777" w:rsidR="00A21CD7" w:rsidRDefault="00A21CD7" w:rsidP="00A21CD7">
      <w:pPr>
        <w:jc w:val="both"/>
        <w:rPr>
          <w:rFonts w:cs="Times New Roman"/>
          <w:b/>
          <w:bCs/>
        </w:rPr>
      </w:pPr>
    </w:p>
    <w:p w14:paraId="4E30EF2F" w14:textId="77777777" w:rsidR="00A21CD7" w:rsidRDefault="00A21CD7" w:rsidP="00A21CD7">
      <w:pPr>
        <w:jc w:val="both"/>
        <w:rPr>
          <w:rFonts w:cs="Times New Roman"/>
          <w:b/>
          <w:bCs/>
        </w:rPr>
      </w:pPr>
    </w:p>
    <w:p w14:paraId="395D11FC" w14:textId="77777777" w:rsidR="00A21CD7" w:rsidRDefault="00A21CD7" w:rsidP="00A21CD7">
      <w:pPr>
        <w:jc w:val="both"/>
        <w:rPr>
          <w:rFonts w:cs="Times New Roman"/>
          <w:b/>
          <w:bCs/>
        </w:rPr>
      </w:pPr>
    </w:p>
    <w:p w14:paraId="6D947355" w14:textId="77777777" w:rsidR="00A21CD7" w:rsidRDefault="00A21CD7" w:rsidP="00A21CD7">
      <w:pPr>
        <w:jc w:val="both"/>
        <w:rPr>
          <w:rFonts w:cs="Times New Roman"/>
          <w:b/>
          <w:bCs/>
        </w:rPr>
      </w:pPr>
    </w:p>
    <w:p w14:paraId="352F087A" w14:textId="77777777" w:rsidR="00A21CD7" w:rsidRDefault="00A21CD7" w:rsidP="00A21CD7">
      <w:pPr>
        <w:jc w:val="both"/>
        <w:rPr>
          <w:rFonts w:cs="Times New Roman"/>
          <w:b/>
          <w:bCs/>
        </w:rPr>
      </w:pPr>
    </w:p>
    <w:p w14:paraId="06972054" w14:textId="77777777" w:rsidR="00A21CD7" w:rsidRDefault="00A21CD7" w:rsidP="00A21CD7">
      <w:pPr>
        <w:jc w:val="both"/>
        <w:rPr>
          <w:rFonts w:cs="Times New Roman"/>
          <w:b/>
          <w:bCs/>
        </w:rPr>
      </w:pPr>
    </w:p>
    <w:p w14:paraId="63EADF65" w14:textId="686505A9" w:rsidR="00F01E0D" w:rsidRPr="008659DA" w:rsidRDefault="00F01E0D" w:rsidP="00A21CD7">
      <w:pPr>
        <w:jc w:val="both"/>
        <w:rPr>
          <w:rFonts w:cs="Times New Roman"/>
          <w:b/>
          <w:bCs/>
        </w:rPr>
      </w:pPr>
      <w:r w:rsidRPr="00773BAA">
        <w:rPr>
          <w:rFonts w:cs="Times New Roman"/>
          <w:b/>
          <w:bCs/>
        </w:rPr>
        <w:lastRenderedPageBreak/>
        <w:t>Supplementary</w:t>
      </w:r>
      <w:r>
        <w:rPr>
          <w:rFonts w:cs="Times New Roman"/>
          <w:b/>
          <w:bCs/>
        </w:rPr>
        <w:t xml:space="preserve"> Figure S4. </w:t>
      </w:r>
    </w:p>
    <w:p w14:paraId="55FEAA3C" w14:textId="26302263" w:rsidR="00A21CD7" w:rsidRDefault="00A21CD7" w:rsidP="00A21CD7">
      <w:pPr>
        <w:jc w:val="both"/>
        <w:rPr>
          <w:rFonts w:cs="Times New Roman"/>
          <w:b/>
          <w:bCs/>
        </w:rPr>
      </w:pPr>
      <w:r>
        <w:rPr>
          <w:rFonts w:cs="Times New Roman"/>
          <w:b/>
          <w:bCs/>
          <w:noProof/>
        </w:rPr>
        <w:drawing>
          <wp:inline distT="0" distB="0" distL="0" distR="0" wp14:anchorId="1FA3E458" wp14:editId="699A6069">
            <wp:extent cx="6208395" cy="4831314"/>
            <wp:effectExtent l="0" t="0" r="1905" b="0"/>
            <wp:docPr id="6" name="Picture 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10;&#10;Description automatically generated with medium confidence"/>
                    <pic:cNvPicPr/>
                  </pic:nvPicPr>
                  <pic:blipFill rotWithShape="1">
                    <a:blip r:embed="rId11" cstate="print">
                      <a:extLst>
                        <a:ext uri="{28A0092B-C50C-407E-A947-70E740481C1C}">
                          <a14:useLocalDpi xmlns:a14="http://schemas.microsoft.com/office/drawing/2010/main" val="0"/>
                        </a:ext>
                      </a:extLst>
                    </a:blip>
                    <a:srcRect t="7722"/>
                    <a:stretch/>
                  </pic:blipFill>
                  <pic:spPr bwMode="auto">
                    <a:xfrm>
                      <a:off x="0" y="0"/>
                      <a:ext cx="6208395" cy="4831314"/>
                    </a:xfrm>
                    <a:prstGeom prst="rect">
                      <a:avLst/>
                    </a:prstGeom>
                    <a:ln>
                      <a:noFill/>
                    </a:ln>
                    <a:extLst>
                      <a:ext uri="{53640926-AAD7-44D8-BBD7-CCE9431645EC}">
                        <a14:shadowObscured xmlns:a14="http://schemas.microsoft.com/office/drawing/2010/main"/>
                      </a:ext>
                    </a:extLst>
                  </pic:spPr>
                </pic:pic>
              </a:graphicData>
            </a:graphic>
          </wp:inline>
        </w:drawing>
      </w:r>
    </w:p>
    <w:p w14:paraId="448917F5" w14:textId="7231F2C9" w:rsidR="00F01E0D" w:rsidRPr="008659DA" w:rsidRDefault="00F01E0D" w:rsidP="00A21CD7">
      <w:pPr>
        <w:jc w:val="both"/>
      </w:pPr>
      <w:r w:rsidRPr="008659DA">
        <w:rPr>
          <w:rFonts w:cs="Times New Roman"/>
          <w:b/>
          <w:bCs/>
        </w:rPr>
        <w:t>A.</w:t>
      </w:r>
      <w:r>
        <w:rPr>
          <w:rFonts w:cs="Times New Roman"/>
        </w:rPr>
        <w:t xml:space="preserve"> </w:t>
      </w:r>
      <w:r w:rsidRPr="008659DA">
        <w:rPr>
          <w:rFonts w:cs="Times New Roman"/>
        </w:rPr>
        <w:t xml:space="preserve">Summary of both the aggregation propensities for the </w:t>
      </w:r>
      <w:r w:rsidRPr="008659DA">
        <w:rPr>
          <w:rFonts w:cs="Times New Roman"/>
          <w:i/>
          <w:iCs/>
        </w:rPr>
        <w:t>in vitro</w:t>
      </w:r>
      <w:r w:rsidRPr="008659DA">
        <w:rPr>
          <w:rFonts w:cs="Times New Roman"/>
        </w:rPr>
        <w:t xml:space="preserve"> HTT</w:t>
      </w:r>
      <w:r>
        <w:rPr>
          <w:rFonts w:cs="Times New Roman"/>
        </w:rPr>
        <w:t>Ex1</w:t>
      </w:r>
      <w:r w:rsidRPr="008659DA">
        <w:rPr>
          <w:rFonts w:cs="Times New Roman"/>
        </w:rPr>
        <w:t xml:space="preserve"> mutants, and of the FLIM analysis and phenotypic assays of the </w:t>
      </w:r>
      <w:r w:rsidRPr="008659DA">
        <w:rPr>
          <w:rFonts w:cs="Times New Roman"/>
          <w:i/>
          <w:iCs/>
        </w:rPr>
        <w:t>in vivo</w:t>
      </w:r>
      <w:r w:rsidRPr="008659DA">
        <w:rPr>
          <w:rFonts w:cs="Times New Roman"/>
        </w:rPr>
        <w:t xml:space="preserve"> HTT</w:t>
      </w:r>
      <w:r>
        <w:rPr>
          <w:rFonts w:cs="Times New Roman"/>
        </w:rPr>
        <w:t>Ex1</w:t>
      </w:r>
      <w:r w:rsidRPr="008659DA">
        <w:rPr>
          <w:rFonts w:cs="Times New Roman"/>
        </w:rPr>
        <w:t xml:space="preserve"> </w:t>
      </w:r>
      <w:r w:rsidRPr="008659DA">
        <w:rPr>
          <w:rFonts w:cs="Times New Roman"/>
          <w:i/>
          <w:iCs/>
        </w:rPr>
        <w:t xml:space="preserve">C. elegans </w:t>
      </w:r>
      <w:r w:rsidRPr="008659DA">
        <w:rPr>
          <w:rFonts w:cs="Times New Roman"/>
        </w:rPr>
        <w:t xml:space="preserve">strains. Blue arrows represent aggregation, </w:t>
      </w:r>
      <w:r>
        <w:rPr>
          <w:rFonts w:cs="Times New Roman"/>
        </w:rPr>
        <w:t>magenta</w:t>
      </w:r>
      <w:r w:rsidRPr="008659DA">
        <w:rPr>
          <w:rFonts w:cs="Times New Roman"/>
        </w:rPr>
        <w:t xml:space="preserve"> arrows represent solubility. Number of arrows present per mutant represent the degree of aggregation/solubility. Similarly, green plus sign represents organismal advantage or positive phenotypic outcome, while black minus sign represents negative, deleterious results. Highlighted i</w:t>
      </w:r>
      <w:r>
        <w:rPr>
          <w:rFonts w:cs="Times New Roman"/>
        </w:rPr>
        <w:t>n a</w:t>
      </w:r>
      <w:r w:rsidRPr="008659DA">
        <w:rPr>
          <w:rFonts w:cs="Times New Roman"/>
        </w:rPr>
        <w:t xml:space="preserve"> pink</w:t>
      </w:r>
      <w:r>
        <w:rPr>
          <w:rFonts w:cs="Times New Roman"/>
        </w:rPr>
        <w:t xml:space="preserve"> undertone</w:t>
      </w:r>
      <w:r w:rsidRPr="008659DA">
        <w:rPr>
          <w:rFonts w:cs="Times New Roman"/>
        </w:rPr>
        <w:t xml:space="preserve"> are the unexpected results of the P+ mutants.</w:t>
      </w:r>
      <w:r>
        <w:rPr>
          <w:rFonts w:cs="Times New Roman"/>
        </w:rPr>
        <w:t xml:space="preserve"> </w:t>
      </w:r>
    </w:p>
    <w:p w14:paraId="5B82DA61" w14:textId="460095AD" w:rsidR="005B608B" w:rsidRDefault="005B608B" w:rsidP="00A21CD7">
      <w:pPr>
        <w:jc w:val="both"/>
        <w:rPr>
          <w:bCs/>
        </w:rPr>
      </w:pPr>
    </w:p>
    <w:p w14:paraId="1F7AF0E8" w14:textId="4A78ACB4" w:rsidR="005B608B" w:rsidRDefault="005B608B" w:rsidP="00A21CD7">
      <w:pPr>
        <w:jc w:val="both"/>
        <w:rPr>
          <w:bCs/>
        </w:rPr>
      </w:pPr>
    </w:p>
    <w:p w14:paraId="1286469E" w14:textId="444FCAFA" w:rsidR="005B608B" w:rsidRDefault="005B608B" w:rsidP="00A21CD7">
      <w:pPr>
        <w:jc w:val="both"/>
        <w:rPr>
          <w:bCs/>
        </w:rPr>
      </w:pPr>
    </w:p>
    <w:p w14:paraId="442ABFC6" w14:textId="77777777" w:rsidR="005B608B" w:rsidRPr="005B608B" w:rsidRDefault="005B608B" w:rsidP="00A21CD7">
      <w:pPr>
        <w:jc w:val="both"/>
        <w:rPr>
          <w:bCs/>
        </w:rPr>
      </w:pPr>
    </w:p>
    <w:p w14:paraId="4B9CA576" w14:textId="77777777" w:rsidR="005B608B" w:rsidRPr="005B608B" w:rsidRDefault="005B608B" w:rsidP="00A21CD7">
      <w:pPr>
        <w:spacing w:before="240"/>
        <w:rPr>
          <w:rFonts w:cs="Times New Roman"/>
          <w:bCs/>
        </w:rPr>
      </w:pPr>
    </w:p>
    <w:sectPr w:rsidR="005B608B" w:rsidRPr="005B608B" w:rsidSect="00EC60D0">
      <w:headerReference w:type="even" r:id="rId12"/>
      <w:footerReference w:type="even" r:id="rId13"/>
      <w:footerReference w:type="default" r:id="rId14"/>
      <w:headerReference w:type="first" r:id="rId15"/>
      <w:pgSz w:w="12240" w:h="15840"/>
      <w:pgMar w:top="1140" w:right="1179" w:bottom="1140" w:left="128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2017C9" w14:textId="77777777" w:rsidR="00C93BED" w:rsidRDefault="00C93BED" w:rsidP="00117666">
      <w:pPr>
        <w:spacing w:after="0"/>
      </w:pPr>
      <w:r>
        <w:separator/>
      </w:r>
    </w:p>
  </w:endnote>
  <w:endnote w:type="continuationSeparator" w:id="0">
    <w:p w14:paraId="0C8D47AC" w14:textId="77777777" w:rsidR="00C93BED" w:rsidRDefault="00C93BED" w:rsidP="001176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93025F" w14:textId="77777777" w:rsidR="00995F6A" w:rsidRPr="00577C4C" w:rsidRDefault="00C52A7B">
    <w:pPr>
      <w:rPr>
        <w:color w:val="C00000"/>
        <w:szCs w:val="24"/>
      </w:rPr>
    </w:pPr>
    <w:r>
      <w:rPr>
        <w:noProof/>
        <w:lang w:val="en-GB" w:eastAsia="en-GB"/>
      </w:rPr>
      <mc:AlternateContent>
        <mc:Choice Requires="wps">
          <w:drawing>
            <wp:anchor distT="0" distB="0" distL="114300" distR="114300" simplePos="0" relativeHeight="251659264" behindDoc="0" locked="0" layoutInCell="1" allowOverlap="1" wp14:anchorId="382EAD14" wp14:editId="71B2BC98">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50BC4D33"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2B4A57">
                            <w:rPr>
                              <w:noProof/>
                              <w:color w:val="000000" w:themeColor="text1"/>
                              <w:szCs w:val="40"/>
                            </w:rPr>
                            <w:t>2</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82EAD14" id="_x0000_t202" coordsize="21600,21600" o:spt="202" path="m,l,21600r21600,l21600,xe">
              <v:stroke joinstyle="miter"/>
              <v:path gradientshapeok="t" o:connecttype="rect"/>
            </v:shapetype>
            <v:shape id="Text Box 1" o:spid="_x0000_s1026" type="#_x0000_t202" style="position:absolute;margin-left:67.6pt;margin-top:0;width:118.8pt;height:31.15pt;z-index:251659264;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" filled="f" stroked="f" strokeweight=".5pt">
              <v:textbox style="mso-fit-shape-to-text:t">
                <w:txbxContent>
                  <w:p w14:paraId="50BC4D33"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2B4A57">
                      <w:rPr>
                        <w:noProof/>
                        <w:color w:val="000000" w:themeColor="text1"/>
                        <w:szCs w:val="40"/>
                      </w:rPr>
                      <w:t>2</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4D6A35" w14:textId="77777777" w:rsidR="00995F6A" w:rsidRPr="00577C4C" w:rsidRDefault="00C52A7B">
    <w:pPr>
      <w:rPr>
        <w:b/>
        <w:sz w:val="20"/>
        <w:szCs w:val="24"/>
      </w:rPr>
    </w:pPr>
    <w:r>
      <w:rPr>
        <w:noProof/>
        <w:lang w:val="en-GB" w:eastAsia="en-GB"/>
      </w:rPr>
      <mc:AlternateContent>
        <mc:Choice Requires="wps">
          <w:drawing>
            <wp:anchor distT="0" distB="0" distL="114300" distR="114300" simplePos="0" relativeHeight="251646976" behindDoc="0" locked="0" layoutInCell="1" allowOverlap="1" wp14:anchorId="70F9F55F" wp14:editId="40473BEB">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570F0D09"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994A3D">
                            <w:rPr>
                              <w:noProof/>
                              <w:color w:val="000000" w:themeColor="text1"/>
                              <w:szCs w:val="40"/>
                            </w:rPr>
                            <w:t>3</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0F9F55F" id="_x0000_t202" coordsize="21600,21600" o:spt="202" path="m,l,21600r21600,l21600,xe">
              <v:stroke joinstyle="miter"/>
              <v:path gradientshapeok="t" o:connecttype="rect"/>
            </v:shapetype>
            <v:shape id="Text Box 56" o:spid="_x0000_s1027" type="#_x0000_t202" style="position:absolute;margin-left:67.6pt;margin-top:0;width:118.8pt;height:31.15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" filled="f" stroked="f" strokeweight=".5pt">
              <v:textbox style="mso-fit-shape-to-text:t">
                <w:txbxContent>
                  <w:p w14:paraId="570F0D09"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994A3D">
                      <w:rPr>
                        <w:noProof/>
                        <w:color w:val="000000" w:themeColor="text1"/>
                        <w:szCs w:val="40"/>
                      </w:rPr>
                      <w:t>3</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126A25" w14:textId="77777777" w:rsidR="00C93BED" w:rsidRDefault="00C93BED" w:rsidP="00117666">
      <w:pPr>
        <w:spacing w:after="0"/>
      </w:pPr>
      <w:r>
        <w:separator/>
      </w:r>
    </w:p>
  </w:footnote>
  <w:footnote w:type="continuationSeparator" w:id="0">
    <w:p w14:paraId="6E5F4AA6" w14:textId="77777777" w:rsidR="00C93BED" w:rsidRDefault="00C93BED" w:rsidP="0011766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EF00C" w14:textId="77777777" w:rsidR="00995F6A" w:rsidRPr="009151AA" w:rsidRDefault="00C52A7B">
    <w:pPr>
      <w:rPr>
        <w:rFonts w:cs="Times New Roman"/>
      </w:rPr>
    </w:pPr>
    <w:r w:rsidRPr="009151AA">
      <w:rPr>
        <w:rFonts w:cs="Times New Roman"/>
      </w:rPr>
      <w:ptab w:relativeTo="margin" w:alignment="center" w:leader="none"/>
    </w:r>
    <w:r w:rsidRPr="009151AA">
      <w:rPr>
        <w:rFonts w:cs="Times New Roman"/>
      </w:rPr>
      <w:ptab w:relativeTo="margin" w:alignment="right" w:leader="none"/>
    </w:r>
    <w:r w:rsidR="001549D3" w:rsidRPr="009151AA">
      <w:rPr>
        <w:rFonts w:cs="Times New Roman"/>
      </w:rPr>
      <w:t>Supplementary Material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1D68C6" w14:textId="77777777" w:rsidR="00995F6A" w:rsidRDefault="0093429D" w:rsidP="0093429D">
    <w:r w:rsidRPr="005A1D84">
      <w:rPr>
        <w:b/>
        <w:noProof/>
        <w:color w:val="A6A6A6" w:themeColor="background1" w:themeShade="A6"/>
        <w:lang w:val="en-GB" w:eastAsia="en-GB"/>
      </w:rPr>
      <w:drawing>
        <wp:inline distT="0" distB="0" distL="0" distR="0" wp14:anchorId="07D26A56" wp14:editId="2E460F0E">
          <wp:extent cx="1382534" cy="497091"/>
          <wp:effectExtent l="0" t="0" r="0" b="0"/>
          <wp:docPr id="3" name="Picture 3"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rsidR="00C52A7B" w:rsidRPr="007E3148">
      <w:rPr>
        <w:b/>
      </w:rPr>
      <w:ptab w:relativeTo="margin" w:alignment="center" w:leader="none"/>
    </w:r>
    <w:r w:rsidR="00C52A7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B7666"/>
    <w:multiLevelType w:val="multilevel"/>
    <w:tmpl w:val="615EAD26"/>
    <w:lvl w:ilvl="0">
      <w:start w:val="1"/>
      <w:numFmt w:val="decimal"/>
      <w:lvlText w:val="%1."/>
      <w:lvlJc w:val="left"/>
      <w:pPr>
        <w:ind w:left="0" w:firstLine="0"/>
      </w:pPr>
      <w:rPr>
        <w:rFonts w:hint="default"/>
        <w:b/>
        <w:lang w:val="en-GB"/>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C0601A"/>
    <w:multiLevelType w:val="multilevel"/>
    <w:tmpl w:val="2D740DBE"/>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567"/>
        </w:tabs>
        <w:ind w:left="567" w:hanging="567"/>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3" w15:restartNumberingAfterBreak="0">
    <w:nsid w:val="225305B5"/>
    <w:multiLevelType w:val="hybridMultilevel"/>
    <w:tmpl w:val="4F8C24FA"/>
    <w:lvl w:ilvl="0" w:tplc="A9DCD718">
      <w:start w:val="1"/>
      <w:numFmt w:val="bullet"/>
      <w:pStyle w:val="ListParagraph"/>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3840363E"/>
    <w:multiLevelType w:val="hybridMultilevel"/>
    <w:tmpl w:val="A3CC711E"/>
    <w:lvl w:ilvl="0" w:tplc="F2043B6A">
      <w:start w:val="1"/>
      <w:numFmt w:val="upp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A173C1D"/>
    <w:multiLevelType w:val="multilevel"/>
    <w:tmpl w:val="61DCC3B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567"/>
        </w:tabs>
        <w:ind w:left="567" w:hanging="567"/>
      </w:pPr>
      <w:rPr>
        <w:rFonts w:hint="default"/>
      </w:rPr>
    </w:lvl>
    <w:lvl w:ilvl="4">
      <w:start w:val="1"/>
      <w:numFmt w:val="decimal"/>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8" w15:restartNumberingAfterBreak="0">
    <w:nsid w:val="7B0D687C"/>
    <w:multiLevelType w:val="hybridMultilevel"/>
    <w:tmpl w:val="4C8AA268"/>
    <w:lvl w:ilvl="0" w:tplc="F9FE13A0">
      <w:start w:val="1"/>
      <w:numFmt w:val="upperLetter"/>
      <w:lvlText w:val="%1."/>
      <w:lvlJc w:val="left"/>
      <w:pPr>
        <w:ind w:left="720" w:hanging="360"/>
      </w:pPr>
      <w:rPr>
        <w:rFonts w:cstheme="minorBidi"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5"/>
  </w:num>
  <w:num w:numId="3">
    <w:abstractNumId w:val="1"/>
  </w:num>
  <w:num w:numId="4">
    <w:abstractNumId w:val="6"/>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7"/>
  </w:num>
  <w:num w:numId="8">
    <w:abstractNumId w:val="7"/>
  </w:num>
  <w:num w:numId="9">
    <w:abstractNumId w:val="7"/>
  </w:num>
  <w:num w:numId="10">
    <w:abstractNumId w:val="7"/>
  </w:num>
  <w:num w:numId="11">
    <w:abstractNumId w:val="7"/>
  </w:num>
  <w:num w:numId="12">
    <w:abstractNumId w:val="7"/>
  </w:num>
  <w:num w:numId="13">
    <w:abstractNumId w:val="3"/>
  </w:num>
  <w:num w:numId="14">
    <w:abstractNumId w:val="2"/>
  </w:num>
  <w:num w:numId="15">
    <w:abstractNumId w:val="2"/>
  </w:num>
  <w:num w:numId="16">
    <w:abstractNumId w:val="2"/>
  </w:num>
  <w:num w:numId="17">
    <w:abstractNumId w:val="2"/>
  </w:num>
  <w:num w:numId="18">
    <w:abstractNumId w:val="2"/>
  </w:num>
  <w:num w:numId="19">
    <w:abstractNumId w:val="2"/>
  </w:num>
  <w:num w:numId="20">
    <w:abstractNumId w:val="4"/>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5"/>
  <w:proofState w:spelling="clean" w:grammar="clean"/>
  <w:attachedTemplate r:id="rId1"/>
  <w:trackRevisions/>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20B5"/>
    <w:rsid w:val="0001436A"/>
    <w:rsid w:val="00027787"/>
    <w:rsid w:val="00034304"/>
    <w:rsid w:val="00035434"/>
    <w:rsid w:val="00043531"/>
    <w:rsid w:val="00052A14"/>
    <w:rsid w:val="00070D4E"/>
    <w:rsid w:val="00077D53"/>
    <w:rsid w:val="00083C3F"/>
    <w:rsid w:val="000A6051"/>
    <w:rsid w:val="000E4429"/>
    <w:rsid w:val="00105FD9"/>
    <w:rsid w:val="00117666"/>
    <w:rsid w:val="001549D3"/>
    <w:rsid w:val="00160065"/>
    <w:rsid w:val="001727B1"/>
    <w:rsid w:val="00177D84"/>
    <w:rsid w:val="001A31B6"/>
    <w:rsid w:val="001C3172"/>
    <w:rsid w:val="001E43AE"/>
    <w:rsid w:val="00213B0A"/>
    <w:rsid w:val="00267D18"/>
    <w:rsid w:val="00274347"/>
    <w:rsid w:val="002868E2"/>
    <w:rsid w:val="002869C3"/>
    <w:rsid w:val="002936E4"/>
    <w:rsid w:val="00294F25"/>
    <w:rsid w:val="002A5614"/>
    <w:rsid w:val="002B4A57"/>
    <w:rsid w:val="002C74CA"/>
    <w:rsid w:val="002C771E"/>
    <w:rsid w:val="002D09BE"/>
    <w:rsid w:val="003067F8"/>
    <w:rsid w:val="003123F4"/>
    <w:rsid w:val="003470DB"/>
    <w:rsid w:val="003544FB"/>
    <w:rsid w:val="003D2F2D"/>
    <w:rsid w:val="003E0C73"/>
    <w:rsid w:val="00401590"/>
    <w:rsid w:val="00447801"/>
    <w:rsid w:val="00452E9C"/>
    <w:rsid w:val="0047108A"/>
    <w:rsid w:val="004735C8"/>
    <w:rsid w:val="004947A6"/>
    <w:rsid w:val="004961FF"/>
    <w:rsid w:val="004B0EBD"/>
    <w:rsid w:val="004B4930"/>
    <w:rsid w:val="004F15AC"/>
    <w:rsid w:val="00517A89"/>
    <w:rsid w:val="005250F2"/>
    <w:rsid w:val="00593EEA"/>
    <w:rsid w:val="005A5EEE"/>
    <w:rsid w:val="005B608B"/>
    <w:rsid w:val="005C0638"/>
    <w:rsid w:val="00630E3A"/>
    <w:rsid w:val="006375C7"/>
    <w:rsid w:val="00654E8F"/>
    <w:rsid w:val="00660D05"/>
    <w:rsid w:val="006820B1"/>
    <w:rsid w:val="0069024C"/>
    <w:rsid w:val="006B7D14"/>
    <w:rsid w:val="006D3DEC"/>
    <w:rsid w:val="00701727"/>
    <w:rsid w:val="0070566C"/>
    <w:rsid w:val="00714C50"/>
    <w:rsid w:val="00725A7D"/>
    <w:rsid w:val="007501BE"/>
    <w:rsid w:val="0076798C"/>
    <w:rsid w:val="00790BB3"/>
    <w:rsid w:val="007C206C"/>
    <w:rsid w:val="0081322B"/>
    <w:rsid w:val="00817DD6"/>
    <w:rsid w:val="0083759F"/>
    <w:rsid w:val="0084234D"/>
    <w:rsid w:val="00885156"/>
    <w:rsid w:val="008B5D7E"/>
    <w:rsid w:val="009151AA"/>
    <w:rsid w:val="0093429D"/>
    <w:rsid w:val="00943573"/>
    <w:rsid w:val="009519B2"/>
    <w:rsid w:val="00964134"/>
    <w:rsid w:val="00970F7D"/>
    <w:rsid w:val="00994A3D"/>
    <w:rsid w:val="009C2B12"/>
    <w:rsid w:val="009F6721"/>
    <w:rsid w:val="00A1606D"/>
    <w:rsid w:val="00A174D9"/>
    <w:rsid w:val="00A21CD7"/>
    <w:rsid w:val="00A42D49"/>
    <w:rsid w:val="00A4554E"/>
    <w:rsid w:val="00A52C34"/>
    <w:rsid w:val="00AA4D24"/>
    <w:rsid w:val="00AB6715"/>
    <w:rsid w:val="00AC44DC"/>
    <w:rsid w:val="00AD615C"/>
    <w:rsid w:val="00AE6FE8"/>
    <w:rsid w:val="00B03FD5"/>
    <w:rsid w:val="00B1671E"/>
    <w:rsid w:val="00B25EB8"/>
    <w:rsid w:val="00B37F4D"/>
    <w:rsid w:val="00B56449"/>
    <w:rsid w:val="00B9116E"/>
    <w:rsid w:val="00BE2AC3"/>
    <w:rsid w:val="00C52A7B"/>
    <w:rsid w:val="00C56BAF"/>
    <w:rsid w:val="00C679AA"/>
    <w:rsid w:val="00C75972"/>
    <w:rsid w:val="00C93BED"/>
    <w:rsid w:val="00CB4482"/>
    <w:rsid w:val="00CD066B"/>
    <w:rsid w:val="00CE4FEE"/>
    <w:rsid w:val="00CF5CB0"/>
    <w:rsid w:val="00D060CF"/>
    <w:rsid w:val="00D74007"/>
    <w:rsid w:val="00DB59C3"/>
    <w:rsid w:val="00DC259A"/>
    <w:rsid w:val="00DE23E8"/>
    <w:rsid w:val="00DE6B58"/>
    <w:rsid w:val="00E074FC"/>
    <w:rsid w:val="00E52377"/>
    <w:rsid w:val="00E537AD"/>
    <w:rsid w:val="00E64E17"/>
    <w:rsid w:val="00E866C9"/>
    <w:rsid w:val="00E91510"/>
    <w:rsid w:val="00EA3D3C"/>
    <w:rsid w:val="00EC090A"/>
    <w:rsid w:val="00EC60D0"/>
    <w:rsid w:val="00ED20B5"/>
    <w:rsid w:val="00ED464F"/>
    <w:rsid w:val="00F01E0D"/>
    <w:rsid w:val="00F22B14"/>
    <w:rsid w:val="00F46900"/>
    <w:rsid w:val="00F61D89"/>
    <w:rsid w:val="00F82ECE"/>
    <w:rsid w:val="00F85599"/>
    <w:rsid w:val="00FD55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6DB94A"/>
  <w15:docId w15:val="{88748FF8-5D22-488D-A39B-60AD93690E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B6715"/>
    <w:pPr>
      <w:spacing w:before="120" w:after="240" w:line="240" w:lineRule="auto"/>
    </w:pPr>
    <w:rPr>
      <w:rFonts w:ascii="Times New Roman" w:hAnsi="Times New Roman"/>
      <w:sz w:val="24"/>
    </w:rPr>
  </w:style>
  <w:style w:type="paragraph" w:styleId="Heading1">
    <w:name w:val="heading 1"/>
    <w:basedOn w:val="ListParagraph"/>
    <w:next w:val="Normal"/>
    <w:link w:val="Heading1Char"/>
    <w:uiPriority w:val="2"/>
    <w:qFormat/>
    <w:rsid w:val="00AB6715"/>
    <w:pPr>
      <w:numPr>
        <w:numId w:val="19"/>
      </w:numPr>
      <w:spacing w:before="240"/>
      <w:contextualSpacing w:val="0"/>
      <w:outlineLvl w:val="0"/>
    </w:pPr>
    <w:rPr>
      <w:b/>
    </w:rPr>
  </w:style>
  <w:style w:type="paragraph" w:styleId="Heading2">
    <w:name w:val="heading 2"/>
    <w:basedOn w:val="Heading1"/>
    <w:next w:val="Normal"/>
    <w:link w:val="Heading2Char"/>
    <w:uiPriority w:val="2"/>
    <w:qFormat/>
    <w:rsid w:val="00AB6715"/>
    <w:pPr>
      <w:numPr>
        <w:ilvl w:val="1"/>
      </w:numPr>
      <w:spacing w:after="200"/>
      <w:outlineLvl w:val="1"/>
    </w:pPr>
  </w:style>
  <w:style w:type="paragraph" w:styleId="Heading3">
    <w:name w:val="heading 3"/>
    <w:basedOn w:val="Normal"/>
    <w:next w:val="Normal"/>
    <w:link w:val="Heading3Char"/>
    <w:uiPriority w:val="2"/>
    <w:qFormat/>
    <w:rsid w:val="00AB6715"/>
    <w:pPr>
      <w:keepNext/>
      <w:keepLines/>
      <w:numPr>
        <w:ilvl w:val="2"/>
        <w:numId w:val="19"/>
      </w:numPr>
      <w:spacing w:before="40" w:after="120"/>
      <w:outlineLvl w:val="2"/>
    </w:pPr>
    <w:rPr>
      <w:rFonts w:eastAsiaTheme="majorEastAsia" w:cstheme="majorBidi"/>
      <w:b/>
      <w:szCs w:val="24"/>
    </w:rPr>
  </w:style>
  <w:style w:type="paragraph" w:styleId="Heading4">
    <w:name w:val="heading 4"/>
    <w:basedOn w:val="Heading3"/>
    <w:next w:val="Normal"/>
    <w:link w:val="Heading4Char"/>
    <w:uiPriority w:val="2"/>
    <w:qFormat/>
    <w:rsid w:val="00AB6715"/>
    <w:pPr>
      <w:numPr>
        <w:ilvl w:val="3"/>
      </w:numPr>
      <w:outlineLvl w:val="3"/>
    </w:pPr>
    <w:rPr>
      <w:iCs/>
    </w:rPr>
  </w:style>
  <w:style w:type="paragraph" w:styleId="Heading5">
    <w:name w:val="heading 5"/>
    <w:basedOn w:val="Heading4"/>
    <w:next w:val="Normal"/>
    <w:link w:val="Heading5Char"/>
    <w:uiPriority w:val="2"/>
    <w:qFormat/>
    <w:rsid w:val="00AB6715"/>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AB6715"/>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rsid w:val="00AB6715"/>
    <w:rPr>
      <w:rFonts w:ascii="Times New Roman" w:eastAsia="Cambria" w:hAnsi="Times New Roman" w:cs="Times New Roman"/>
      <w:b/>
      <w:sz w:val="24"/>
      <w:szCs w:val="24"/>
    </w:rPr>
  </w:style>
  <w:style w:type="paragraph" w:styleId="Subtitle">
    <w:name w:val="Subtitle"/>
    <w:basedOn w:val="Normal"/>
    <w:next w:val="Normal"/>
    <w:link w:val="SubtitleChar"/>
    <w:uiPriority w:val="99"/>
    <w:unhideWhenUsed/>
    <w:qFormat/>
    <w:rsid w:val="00AB6715"/>
    <w:pPr>
      <w:spacing w:before="240"/>
    </w:pPr>
    <w:rPr>
      <w:rFonts w:cs="Times New Roman"/>
      <w:b/>
      <w:szCs w:val="24"/>
    </w:rPr>
  </w:style>
  <w:style w:type="character" w:customStyle="1" w:styleId="SubtitleChar">
    <w:name w:val="Subtitle Char"/>
    <w:basedOn w:val="DefaultParagraphFont"/>
    <w:link w:val="Subtitle"/>
    <w:uiPriority w:val="99"/>
    <w:rsid w:val="00AB6715"/>
    <w:rPr>
      <w:rFonts w:ascii="Times New Roman" w:hAnsi="Times New Roman" w:cs="Times New Roman"/>
      <w:b/>
      <w:sz w:val="24"/>
      <w:szCs w:val="24"/>
    </w:rPr>
  </w:style>
  <w:style w:type="paragraph" w:customStyle="1" w:styleId="AuthorList">
    <w:name w:val="Author List"/>
    <w:aliases w:val="Keywords,Abstract"/>
    <w:basedOn w:val="Subtitle"/>
    <w:next w:val="Normal"/>
    <w:uiPriority w:val="1"/>
    <w:qFormat/>
    <w:rsid w:val="00AB6715"/>
  </w:style>
  <w:style w:type="paragraph" w:styleId="BalloonText">
    <w:name w:val="Balloon Text"/>
    <w:basedOn w:val="Normal"/>
    <w:link w:val="BalloonTextChar"/>
    <w:uiPriority w:val="99"/>
    <w:semiHidden/>
    <w:unhideWhenUsed/>
    <w:rsid w:val="00AB6715"/>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B6715"/>
    <w:rPr>
      <w:rFonts w:ascii="Tahoma" w:hAnsi="Tahoma" w:cs="Tahoma"/>
      <w:sz w:val="16"/>
      <w:szCs w:val="16"/>
    </w:rPr>
  </w:style>
  <w:style w:type="character" w:styleId="BookTitle">
    <w:name w:val="Book Title"/>
    <w:basedOn w:val="DefaultParagraphFont"/>
    <w:uiPriority w:val="33"/>
    <w:qFormat/>
    <w:rsid w:val="00AB6715"/>
    <w:rPr>
      <w:rFonts w:ascii="Times New Roman" w:hAnsi="Times New Roman"/>
      <w:b/>
      <w:bCs/>
      <w:i/>
      <w:iCs/>
      <w:spacing w:val="5"/>
    </w:rPr>
  </w:style>
  <w:style w:type="paragraph" w:styleId="Caption">
    <w:name w:val="caption"/>
    <w:basedOn w:val="Normal"/>
    <w:next w:val="NoSpacing"/>
    <w:uiPriority w:val="35"/>
    <w:unhideWhenUsed/>
    <w:qFormat/>
    <w:rsid w:val="00AB6715"/>
    <w:pPr>
      <w:keepNext/>
    </w:pPr>
    <w:rPr>
      <w:rFonts w:cs="Times New Roman"/>
      <w:b/>
      <w:bCs/>
      <w:szCs w:val="24"/>
    </w:rPr>
  </w:style>
  <w:style w:type="paragraph" w:styleId="NoSpacing">
    <w:name w:val="No Spacing"/>
    <w:uiPriority w:val="99"/>
    <w:unhideWhenUsed/>
    <w:qFormat/>
    <w:rsid w:val="00AB6715"/>
    <w:pPr>
      <w:spacing w:after="0" w:line="240" w:lineRule="auto"/>
    </w:pPr>
    <w:rPr>
      <w:rFonts w:ascii="Times New Roman" w:hAnsi="Times New Roman"/>
      <w:sz w:val="24"/>
    </w:rPr>
  </w:style>
  <w:style w:type="character" w:styleId="CommentReference">
    <w:name w:val="annotation reference"/>
    <w:basedOn w:val="DefaultParagraphFont"/>
    <w:uiPriority w:val="99"/>
    <w:semiHidden/>
    <w:unhideWhenUsed/>
    <w:rsid w:val="00AB6715"/>
    <w:rPr>
      <w:sz w:val="16"/>
      <w:szCs w:val="16"/>
    </w:rPr>
  </w:style>
  <w:style w:type="paragraph" w:styleId="CommentText">
    <w:name w:val="annotation text"/>
    <w:basedOn w:val="Normal"/>
    <w:link w:val="CommentTextChar"/>
    <w:uiPriority w:val="99"/>
    <w:semiHidden/>
    <w:unhideWhenUsed/>
    <w:rsid w:val="00AB6715"/>
    <w:rPr>
      <w:sz w:val="20"/>
      <w:szCs w:val="20"/>
    </w:rPr>
  </w:style>
  <w:style w:type="character" w:customStyle="1" w:styleId="CommentTextChar">
    <w:name w:val="Comment Text Char"/>
    <w:basedOn w:val="DefaultParagraphFont"/>
    <w:link w:val="CommentText"/>
    <w:uiPriority w:val="99"/>
    <w:semiHidden/>
    <w:rsid w:val="00AB6715"/>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AB6715"/>
    <w:rPr>
      <w:b/>
      <w:bCs/>
    </w:rPr>
  </w:style>
  <w:style w:type="character" w:customStyle="1" w:styleId="CommentSubjectChar">
    <w:name w:val="Comment Subject Char"/>
    <w:basedOn w:val="CommentTextChar"/>
    <w:link w:val="CommentSubject"/>
    <w:uiPriority w:val="99"/>
    <w:semiHidden/>
    <w:rsid w:val="00AB6715"/>
    <w:rPr>
      <w:rFonts w:ascii="Times New Roman" w:hAnsi="Times New Roman"/>
      <w:b/>
      <w:bCs/>
      <w:sz w:val="20"/>
      <w:szCs w:val="20"/>
    </w:rPr>
  </w:style>
  <w:style w:type="character" w:styleId="Emphasis">
    <w:name w:val="Emphasis"/>
    <w:basedOn w:val="DefaultParagraphFont"/>
    <w:uiPriority w:val="20"/>
    <w:qFormat/>
    <w:rsid w:val="00AB6715"/>
    <w:rPr>
      <w:rFonts w:ascii="Times New Roman" w:hAnsi="Times New Roman"/>
      <w:i/>
      <w:iCs/>
    </w:rPr>
  </w:style>
  <w:style w:type="character" w:styleId="EndnoteReference">
    <w:name w:val="endnote reference"/>
    <w:basedOn w:val="DefaultParagraphFont"/>
    <w:uiPriority w:val="99"/>
    <w:semiHidden/>
    <w:unhideWhenUsed/>
    <w:rsid w:val="00AB6715"/>
    <w:rPr>
      <w:vertAlign w:val="superscript"/>
    </w:rPr>
  </w:style>
  <w:style w:type="paragraph" w:styleId="EndnoteText">
    <w:name w:val="endnote text"/>
    <w:basedOn w:val="Normal"/>
    <w:link w:val="EndnoteTextChar"/>
    <w:uiPriority w:val="99"/>
    <w:semiHidden/>
    <w:unhideWhenUsed/>
    <w:rsid w:val="00AB6715"/>
    <w:pPr>
      <w:spacing w:after="0"/>
    </w:pPr>
    <w:rPr>
      <w:sz w:val="20"/>
      <w:szCs w:val="20"/>
    </w:rPr>
  </w:style>
  <w:style w:type="character" w:customStyle="1" w:styleId="EndnoteTextChar">
    <w:name w:val="Endnote Text Char"/>
    <w:basedOn w:val="DefaultParagraphFont"/>
    <w:link w:val="EndnoteText"/>
    <w:uiPriority w:val="99"/>
    <w:semiHidden/>
    <w:rsid w:val="00AB6715"/>
    <w:rPr>
      <w:rFonts w:ascii="Times New Roman" w:hAnsi="Times New Roman"/>
      <w:sz w:val="20"/>
      <w:szCs w:val="20"/>
    </w:rPr>
  </w:style>
  <w:style w:type="character" w:styleId="FollowedHyperlink">
    <w:name w:val="FollowedHyperlink"/>
    <w:basedOn w:val="DefaultParagraphFont"/>
    <w:uiPriority w:val="99"/>
    <w:semiHidden/>
    <w:unhideWhenUsed/>
    <w:rsid w:val="00AB6715"/>
    <w:rPr>
      <w:color w:val="800080" w:themeColor="followedHyperlink"/>
      <w:u w:val="single"/>
    </w:rPr>
  </w:style>
  <w:style w:type="paragraph" w:styleId="Footer">
    <w:name w:val="footer"/>
    <w:basedOn w:val="Normal"/>
    <w:link w:val="FooterChar"/>
    <w:uiPriority w:val="99"/>
    <w:unhideWhenUsed/>
    <w:rsid w:val="00AB6715"/>
    <w:pPr>
      <w:tabs>
        <w:tab w:val="center" w:pos="4844"/>
        <w:tab w:val="right" w:pos="9689"/>
      </w:tabs>
      <w:spacing w:after="0"/>
    </w:pPr>
  </w:style>
  <w:style w:type="character" w:customStyle="1" w:styleId="FooterChar">
    <w:name w:val="Footer Char"/>
    <w:basedOn w:val="DefaultParagraphFont"/>
    <w:link w:val="Footer"/>
    <w:uiPriority w:val="99"/>
    <w:rsid w:val="00AB6715"/>
    <w:rPr>
      <w:rFonts w:ascii="Times New Roman" w:hAnsi="Times New Roman"/>
      <w:sz w:val="24"/>
    </w:rPr>
  </w:style>
  <w:style w:type="character" w:styleId="FootnoteReference">
    <w:name w:val="footnote reference"/>
    <w:basedOn w:val="DefaultParagraphFont"/>
    <w:uiPriority w:val="99"/>
    <w:semiHidden/>
    <w:unhideWhenUsed/>
    <w:rsid w:val="00AB6715"/>
    <w:rPr>
      <w:vertAlign w:val="superscript"/>
    </w:rPr>
  </w:style>
  <w:style w:type="paragraph" w:styleId="FootnoteText">
    <w:name w:val="footnote text"/>
    <w:basedOn w:val="Normal"/>
    <w:link w:val="FootnoteTextChar"/>
    <w:uiPriority w:val="99"/>
    <w:semiHidden/>
    <w:unhideWhenUsed/>
    <w:rsid w:val="00AB6715"/>
    <w:pPr>
      <w:spacing w:after="0"/>
    </w:pPr>
    <w:rPr>
      <w:sz w:val="20"/>
      <w:szCs w:val="20"/>
    </w:rPr>
  </w:style>
  <w:style w:type="character" w:customStyle="1" w:styleId="FootnoteTextChar">
    <w:name w:val="Footnote Text Char"/>
    <w:basedOn w:val="DefaultParagraphFont"/>
    <w:link w:val="FootnoteText"/>
    <w:uiPriority w:val="99"/>
    <w:semiHidden/>
    <w:rsid w:val="00AB6715"/>
    <w:rPr>
      <w:rFonts w:ascii="Times New Roman" w:hAnsi="Times New Roman"/>
      <w:sz w:val="20"/>
      <w:szCs w:val="20"/>
    </w:rPr>
  </w:style>
  <w:style w:type="paragraph" w:styleId="Header">
    <w:name w:val="header"/>
    <w:basedOn w:val="Normal"/>
    <w:link w:val="HeaderChar"/>
    <w:uiPriority w:val="99"/>
    <w:unhideWhenUsed/>
    <w:rsid w:val="00AB6715"/>
    <w:pPr>
      <w:tabs>
        <w:tab w:val="center" w:pos="4844"/>
        <w:tab w:val="right" w:pos="9689"/>
      </w:tabs>
    </w:pPr>
    <w:rPr>
      <w:b/>
    </w:rPr>
  </w:style>
  <w:style w:type="character" w:customStyle="1" w:styleId="HeaderChar">
    <w:name w:val="Header Char"/>
    <w:basedOn w:val="DefaultParagraphFont"/>
    <w:link w:val="Header"/>
    <w:uiPriority w:val="99"/>
    <w:rsid w:val="00AB6715"/>
    <w:rPr>
      <w:rFonts w:ascii="Times New Roman" w:hAnsi="Times New Roman"/>
      <w:b/>
      <w:sz w:val="24"/>
    </w:rPr>
  </w:style>
  <w:style w:type="paragraph" w:styleId="ListParagraph">
    <w:name w:val="List Paragraph"/>
    <w:basedOn w:val="Normal"/>
    <w:uiPriority w:val="3"/>
    <w:qFormat/>
    <w:rsid w:val="00AB6715"/>
    <w:pPr>
      <w:numPr>
        <w:numId w:val="13"/>
      </w:numPr>
      <w:contextualSpacing/>
    </w:pPr>
    <w:rPr>
      <w:rFonts w:eastAsia="Cambria" w:cs="Times New Roman"/>
      <w:szCs w:val="24"/>
    </w:rPr>
  </w:style>
  <w:style w:type="numbering" w:customStyle="1" w:styleId="Headings">
    <w:name w:val="Headings"/>
    <w:uiPriority w:val="99"/>
    <w:rsid w:val="00AB6715"/>
    <w:pPr>
      <w:numPr>
        <w:numId w:val="14"/>
      </w:numPr>
    </w:pPr>
  </w:style>
  <w:style w:type="character" w:styleId="Hyperlink">
    <w:name w:val="Hyperlink"/>
    <w:basedOn w:val="DefaultParagraphFont"/>
    <w:uiPriority w:val="99"/>
    <w:unhideWhenUsed/>
    <w:rsid w:val="00AB6715"/>
    <w:rPr>
      <w:color w:val="0000FF"/>
      <w:u w:val="single"/>
    </w:rPr>
  </w:style>
  <w:style w:type="character" w:styleId="IntenseEmphasis">
    <w:name w:val="Intense Emphasis"/>
    <w:basedOn w:val="DefaultParagraphFont"/>
    <w:uiPriority w:val="21"/>
    <w:unhideWhenUsed/>
    <w:rsid w:val="00AB6715"/>
    <w:rPr>
      <w:rFonts w:ascii="Times New Roman" w:hAnsi="Times New Roman"/>
      <w:i/>
      <w:iCs/>
      <w:color w:val="auto"/>
    </w:rPr>
  </w:style>
  <w:style w:type="character" w:styleId="IntenseReference">
    <w:name w:val="Intense Reference"/>
    <w:basedOn w:val="DefaultParagraphFont"/>
    <w:uiPriority w:val="32"/>
    <w:qFormat/>
    <w:rsid w:val="00AB6715"/>
    <w:rPr>
      <w:b/>
      <w:bCs/>
      <w:smallCaps/>
      <w:color w:val="auto"/>
      <w:spacing w:val="5"/>
    </w:rPr>
  </w:style>
  <w:style w:type="character" w:styleId="LineNumber">
    <w:name w:val="line number"/>
    <w:basedOn w:val="DefaultParagraphFont"/>
    <w:uiPriority w:val="99"/>
    <w:semiHidden/>
    <w:unhideWhenUsed/>
    <w:rsid w:val="00AB6715"/>
  </w:style>
  <w:style w:type="character" w:customStyle="1" w:styleId="Heading3Char">
    <w:name w:val="Heading 3 Char"/>
    <w:basedOn w:val="DefaultParagraphFont"/>
    <w:link w:val="Heading3"/>
    <w:uiPriority w:val="2"/>
    <w:rsid w:val="00AB6715"/>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2"/>
    <w:rsid w:val="00AB6715"/>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rsid w:val="00AB6715"/>
    <w:rPr>
      <w:rFonts w:ascii="Times New Roman" w:eastAsiaTheme="majorEastAsia" w:hAnsi="Times New Roman" w:cstheme="majorBidi"/>
      <w:b/>
      <w:iCs/>
      <w:sz w:val="24"/>
      <w:szCs w:val="24"/>
    </w:rPr>
  </w:style>
  <w:style w:type="paragraph" w:styleId="NormalWeb">
    <w:name w:val="Normal (Web)"/>
    <w:basedOn w:val="Normal"/>
    <w:uiPriority w:val="99"/>
    <w:unhideWhenUsed/>
    <w:rsid w:val="00AB6715"/>
    <w:pPr>
      <w:spacing w:before="100" w:beforeAutospacing="1" w:after="100" w:afterAutospacing="1"/>
    </w:pPr>
    <w:rPr>
      <w:rFonts w:eastAsia="Times New Roman" w:cs="Times New Roman"/>
      <w:szCs w:val="24"/>
    </w:rPr>
  </w:style>
  <w:style w:type="paragraph" w:styleId="Quote">
    <w:name w:val="Quote"/>
    <w:basedOn w:val="Normal"/>
    <w:next w:val="Normal"/>
    <w:link w:val="QuoteChar"/>
    <w:uiPriority w:val="29"/>
    <w:qFormat/>
    <w:rsid w:val="00AB671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B6715"/>
    <w:rPr>
      <w:rFonts w:ascii="Times New Roman" w:hAnsi="Times New Roman"/>
      <w:i/>
      <w:iCs/>
      <w:color w:val="404040" w:themeColor="text1" w:themeTint="BF"/>
      <w:sz w:val="24"/>
    </w:rPr>
  </w:style>
  <w:style w:type="character" w:styleId="Strong">
    <w:name w:val="Strong"/>
    <w:basedOn w:val="DefaultParagraphFont"/>
    <w:uiPriority w:val="22"/>
    <w:qFormat/>
    <w:rsid w:val="00AB6715"/>
    <w:rPr>
      <w:rFonts w:ascii="Times New Roman" w:hAnsi="Times New Roman"/>
      <w:b/>
      <w:bCs/>
    </w:rPr>
  </w:style>
  <w:style w:type="character" w:styleId="SubtleEmphasis">
    <w:name w:val="Subtle Emphasis"/>
    <w:basedOn w:val="DefaultParagraphFont"/>
    <w:uiPriority w:val="19"/>
    <w:qFormat/>
    <w:rsid w:val="00AB6715"/>
    <w:rPr>
      <w:rFonts w:ascii="Times New Roman" w:hAnsi="Times New Roman"/>
      <w:i/>
      <w:iCs/>
      <w:color w:val="404040" w:themeColor="text1" w:themeTint="BF"/>
    </w:rPr>
  </w:style>
  <w:style w:type="table" w:styleId="TableGrid">
    <w:name w:val="Table Grid"/>
    <w:basedOn w:val="TableNormal"/>
    <w:uiPriority w:val="59"/>
    <w:rsid w:val="00AB6715"/>
    <w:pPr>
      <w:spacing w:after="0" w:line="240" w:lineRule="auto"/>
    </w:pPr>
    <w:rPr>
      <w:rFonts w:asciiTheme="majorHAnsi" w:hAnsiTheme="maj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AB6715"/>
    <w:pPr>
      <w:suppressLineNumbers/>
      <w:spacing w:before="240" w:after="360"/>
      <w:jc w:val="center"/>
    </w:pPr>
    <w:rPr>
      <w:rFonts w:cs="Times New Roman"/>
      <w:b/>
      <w:sz w:val="32"/>
      <w:szCs w:val="32"/>
    </w:rPr>
  </w:style>
  <w:style w:type="character" w:customStyle="1" w:styleId="TitleChar">
    <w:name w:val="Title Char"/>
    <w:basedOn w:val="DefaultParagraphFont"/>
    <w:link w:val="Title"/>
    <w:rsid w:val="00AB6715"/>
    <w:rPr>
      <w:rFonts w:ascii="Times New Roman" w:hAnsi="Times New Roman" w:cs="Times New Roman"/>
      <w:b/>
      <w:sz w:val="32"/>
      <w:szCs w:val="32"/>
    </w:rPr>
  </w:style>
  <w:style w:type="paragraph" w:customStyle="1" w:styleId="SupplementaryMaterial">
    <w:name w:val="Supplementary Material"/>
    <w:basedOn w:val="Title"/>
    <w:next w:val="Title"/>
    <w:qFormat/>
    <w:rsid w:val="0001436A"/>
    <w:pPr>
      <w:spacing w:after="120"/>
    </w:pPr>
    <w:rPr>
      <w:i/>
    </w:rPr>
  </w:style>
  <w:style w:type="table" w:styleId="GridTable1Light">
    <w:name w:val="Grid Table 1 Light"/>
    <w:basedOn w:val="TableNormal"/>
    <w:uiPriority w:val="46"/>
    <w:rsid w:val="00A52C3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1A31B6"/>
    <w:pPr>
      <w:spacing w:after="0"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PlainTable3">
    <w:name w:val="Plain Table 3"/>
    <w:basedOn w:val="TableNormal"/>
    <w:uiPriority w:val="43"/>
    <w:rsid w:val="001A31B6"/>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1A31B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rsid w:val="001A31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ageNumber">
    <w:name w:val="page number"/>
    <w:basedOn w:val="DefaultParagraphFont"/>
    <w:uiPriority w:val="99"/>
    <w:semiHidden/>
    <w:unhideWhenUsed/>
    <w:rsid w:val="00B03F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7366873">
      <w:bodyDiv w:val="1"/>
      <w:marLeft w:val="0"/>
      <w:marRight w:val="0"/>
      <w:marTop w:val="0"/>
      <w:marBottom w:val="0"/>
      <w:divBdr>
        <w:top w:val="none" w:sz="0" w:space="0" w:color="auto"/>
        <w:left w:val="none" w:sz="0" w:space="0" w:color="auto"/>
        <w:bottom w:val="none" w:sz="0" w:space="0" w:color="auto"/>
        <w:right w:val="none" w:sz="0" w:space="0" w:color="auto"/>
      </w:divBdr>
    </w:div>
    <w:div w:id="1513912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shua.stocco\Documents\Templates\Frontiers_Word_Templates\Supplementary_Materia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E5A2810A-468D-624D-BD0B-FC99473C1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C:\Users\joshua.stocco\Documents\Templates\Frontiers_Word_Templates\Supplementary_Material.dotx</Template>
  <TotalTime>1</TotalTime>
  <Pages>9</Pages>
  <Words>1914</Words>
  <Characters>10910</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Frontiers Media SA</dc:creator>
  <cp:lastModifiedBy>Janine Kirstein</cp:lastModifiedBy>
  <cp:revision>2</cp:revision>
  <cp:lastPrinted>2013-10-03T12:51:00Z</cp:lastPrinted>
  <dcterms:created xsi:type="dcterms:W3CDTF">2021-08-30T09:15:00Z</dcterms:created>
  <dcterms:modified xsi:type="dcterms:W3CDTF">2021-08-30T09:15:00Z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http://www.zotero.org/styles/harvard-cite-them-right</vt:lpwstr>
  </property>
  <property fmtid="{D5CDD505-2E9C-101B-9397-08002B2CF9AE}" pid="9" name="Mendeley Recent Style Name 3_1">
    <vt:lpwstr>Cite Them Right 10th edition - Harvard</vt:lpwstr>
  </property>
  <property fmtid="{D5CDD505-2E9C-101B-9397-08002B2CF9AE}" pid="10" name="Mendeley Recent Style Id 4_1">
    <vt:lpwstr>http://www.zotero.org/styles/frontiers</vt:lpwstr>
  </property>
  <property fmtid="{D5CDD505-2E9C-101B-9397-08002B2CF9AE}" pid="11" name="Mendeley Recent Style Name 4_1">
    <vt:lpwstr>Frontiers journals</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8th edition</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http://www.zotero.org/styles/springer-vancouver</vt:lpwstr>
  </property>
  <property fmtid="{D5CDD505-2E9C-101B-9397-08002B2CF9AE}" pid="21" name="Mendeley Recent Style Name 9_1">
    <vt:lpwstr>Springer - Vancouver</vt:lpwstr>
  </property>
  <property fmtid="{D5CDD505-2E9C-101B-9397-08002B2CF9AE}" pid="22" name="Mendeley Document_1">
    <vt:lpwstr>True</vt:lpwstr>
  </property>
  <property fmtid="{D5CDD505-2E9C-101B-9397-08002B2CF9AE}" pid="23" name="Mendeley Unique User Id_1">
    <vt:lpwstr>6c195327-1b5d-35a8-91cd-022093f89956</vt:lpwstr>
  </property>
  <property fmtid="{D5CDD505-2E9C-101B-9397-08002B2CF9AE}" pid="24" name="Mendeley Citation Style_1">
    <vt:lpwstr>http://www.zotero.org/styles/frontiers</vt:lpwstr>
  </property>
</Properties>
</file>