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28" w:rsidRPr="00496F75" w:rsidRDefault="008E6228" w:rsidP="008E6228">
      <w:pPr>
        <w:pStyle w:val="Heading1"/>
        <w:rPr>
          <w:lang w:val="en-US"/>
        </w:rPr>
      </w:pPr>
      <w:bookmarkStart w:id="0" w:name="_GoBack"/>
      <w:bookmarkEnd w:id="0"/>
      <w:r w:rsidRPr="00496F75">
        <w:rPr>
          <w:lang w:val="en-US"/>
        </w:rPr>
        <w:t xml:space="preserve">Online Appendix </w:t>
      </w: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Pr="005075FC" w:rsidRDefault="008E6228" w:rsidP="008E6228">
      <w:pPr>
        <w:spacing w:after="60"/>
        <w:jc w:val="left"/>
        <w:rPr>
          <w:rFonts w:cs="Arial"/>
          <w:i/>
          <w:iCs/>
          <w:sz w:val="20"/>
          <w:szCs w:val="20"/>
          <w:lang w:val="en-US"/>
        </w:rPr>
      </w:pPr>
      <w:r w:rsidRPr="005075FC">
        <w:rPr>
          <w:rFonts w:cs="Arial"/>
          <w:b/>
          <w:bCs/>
          <w:i/>
          <w:iCs/>
          <w:sz w:val="20"/>
          <w:szCs w:val="20"/>
          <w:lang w:val="en-US"/>
        </w:rPr>
        <w:t xml:space="preserve">Supplemental Figure 1: </w:t>
      </w:r>
      <w:r w:rsidRPr="005075FC">
        <w:rPr>
          <w:rFonts w:cs="Arial"/>
          <w:i/>
          <w:iCs/>
          <w:sz w:val="20"/>
          <w:szCs w:val="20"/>
          <w:lang w:val="en-US"/>
        </w:rPr>
        <w:t xml:space="preserve">Schematic model of volume distribution in intravascular space and its changes (A) underlying Strauss formula (B, C). </w:t>
      </w:r>
    </w:p>
    <w:p w:rsidR="008E6228" w:rsidRPr="00FE5166" w:rsidRDefault="008E6228" w:rsidP="008E6228">
      <w:pPr>
        <w:spacing w:after="60"/>
        <w:jc w:val="left"/>
        <w:rPr>
          <w:color w:val="FF0000"/>
          <w:lang w:val="en-US"/>
        </w:rPr>
      </w:pPr>
      <w:r w:rsidRPr="00D2643E">
        <w:rPr>
          <w:rFonts w:cs="Arial"/>
          <w:noProof/>
          <w:lang w:val="en-US"/>
        </w:rPr>
        <w:drawing>
          <wp:inline distT="0" distB="0" distL="0" distR="0" wp14:anchorId="6EFAA33C" wp14:editId="20552D6F">
            <wp:extent cx="5760720" cy="316547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Default="008E6228" w:rsidP="008E6228">
      <w:pPr>
        <w:spacing w:after="0" w:line="240" w:lineRule="auto"/>
        <w:rPr>
          <w:b/>
          <w:bCs/>
          <w:i/>
          <w:iCs/>
          <w:color w:val="FF0000"/>
          <w:sz w:val="20"/>
          <w:szCs w:val="20"/>
          <w:lang w:val="en-US"/>
        </w:rPr>
      </w:pPr>
    </w:p>
    <w:p w:rsidR="008E6228" w:rsidRPr="00FE5166" w:rsidRDefault="008E6228" w:rsidP="008E6228">
      <w:pPr>
        <w:spacing w:after="0" w:line="240" w:lineRule="auto"/>
        <w:rPr>
          <w:i/>
          <w:iCs/>
          <w:color w:val="FF0000"/>
          <w:sz w:val="20"/>
          <w:szCs w:val="20"/>
          <w:lang w:val="en-US"/>
        </w:rPr>
      </w:pPr>
      <w:r w:rsidRPr="00FE5166">
        <w:rPr>
          <w:b/>
          <w:bCs/>
          <w:i/>
          <w:iCs/>
          <w:color w:val="FF0000"/>
          <w:sz w:val="20"/>
          <w:szCs w:val="20"/>
          <w:lang w:val="en-US"/>
        </w:rPr>
        <w:t>Supplemental figure 2</w:t>
      </w:r>
      <w:r w:rsidRPr="00FE5166">
        <w:rPr>
          <w:i/>
          <w:iCs/>
          <w:color w:val="FF0000"/>
          <w:sz w:val="20"/>
          <w:szCs w:val="20"/>
          <w:lang w:val="en-US"/>
        </w:rPr>
        <w:t xml:space="preserve">: 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>Agreement between estimated PV by Kaplan</w:t>
      </w:r>
      <w:r>
        <w:rPr>
          <w:rFonts w:cs="Arial"/>
          <w:i/>
          <w:iCs/>
          <w:color w:val="FF0000"/>
          <w:sz w:val="20"/>
          <w:szCs w:val="20"/>
          <w:lang w:val="en-US"/>
        </w:rPr>
        <w:t>-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>Hakim formula (ePV</w:t>
      </w:r>
      <w:r w:rsidRPr="00FE5166"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Kaplan</w:t>
      </w:r>
      <w:r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-</w:t>
      </w:r>
      <w:r w:rsidRPr="00FE5166"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Hakim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 xml:space="preserve">) and </w:t>
      </w:r>
      <w:r>
        <w:rPr>
          <w:rFonts w:cs="Arial"/>
          <w:i/>
          <w:iCs/>
          <w:color w:val="FF0000"/>
          <w:sz w:val="20"/>
          <w:szCs w:val="20"/>
          <w:lang w:val="en-US"/>
        </w:rPr>
        <w:t xml:space="preserve">absolute 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>measured PV (mPV)</w:t>
      </w:r>
      <w:r>
        <w:rPr>
          <w:rFonts w:cs="Arial"/>
          <w:i/>
          <w:iCs/>
          <w:color w:val="FF0000"/>
          <w:sz w:val="20"/>
          <w:szCs w:val="20"/>
          <w:lang w:val="en-US"/>
        </w:rPr>
        <w:t xml:space="preserve"> upon enrollment (day 1). 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 xml:space="preserve"> </w:t>
      </w:r>
      <w:r w:rsidRPr="00FE5166">
        <w:rPr>
          <w:rFonts w:cs="Times New Roman"/>
          <w:i/>
          <w:iCs/>
          <w:color w:val="FF0000"/>
          <w:sz w:val="20"/>
          <w:szCs w:val="20"/>
          <w:lang w:val="en-US"/>
        </w:rPr>
        <w:t xml:space="preserve">“Difference” indicates difference between 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>ePV</w:t>
      </w:r>
      <w:r w:rsidRPr="00FE5166"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Kaplan Hakim</w:t>
      </w:r>
      <w:r w:rsidRPr="00FE5166">
        <w:rPr>
          <w:rFonts w:cs="Times New Roman"/>
          <w:i/>
          <w:iCs/>
          <w:color w:val="FF0000"/>
          <w:sz w:val="20"/>
          <w:szCs w:val="20"/>
          <w:lang w:val="en-US"/>
        </w:rPr>
        <w:t xml:space="preserve"> and mPV. “Average” shows average of </w:t>
      </w:r>
      <w:r w:rsidRPr="00FE5166">
        <w:rPr>
          <w:rFonts w:cs="Arial"/>
          <w:i/>
          <w:iCs/>
          <w:color w:val="FF0000"/>
          <w:sz w:val="20"/>
          <w:szCs w:val="20"/>
          <w:lang w:val="en-US"/>
        </w:rPr>
        <w:t>ePV</w:t>
      </w:r>
      <w:r w:rsidRPr="00FE5166"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Kaplan</w:t>
      </w:r>
      <w:r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-</w:t>
      </w:r>
      <w:r w:rsidRPr="00FE5166">
        <w:rPr>
          <w:rFonts w:cs="Arial"/>
          <w:i/>
          <w:iCs/>
          <w:color w:val="FF0000"/>
          <w:sz w:val="20"/>
          <w:szCs w:val="20"/>
          <w:vertAlign w:val="subscript"/>
          <w:lang w:val="en-US"/>
        </w:rPr>
        <w:t>Hakim</w:t>
      </w:r>
      <w:r w:rsidRPr="00FE5166">
        <w:rPr>
          <w:rFonts w:cs="Times New Roman"/>
          <w:i/>
          <w:iCs/>
          <w:color w:val="FF0000"/>
          <w:sz w:val="20"/>
          <w:szCs w:val="20"/>
          <w:lang w:val="en-US"/>
        </w:rPr>
        <w:t xml:space="preserve"> and mPV. Solid line shows zero. Dotted lines show bias and bias ± 1.96 standard deviation. Data are presented in milliliters.</w:t>
      </w: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  <w:r w:rsidRPr="0079500C">
        <w:rPr>
          <w:rFonts w:cs="Arial"/>
          <w:b/>
          <w:bCs/>
          <w:noProof/>
          <w:sz w:val="20"/>
          <w:szCs w:val="20"/>
          <w:lang w:val="en-US"/>
        </w:rPr>
        <w:object w:dxaOrig="6441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5.95pt;height:218.8pt;mso-width-percent:0;mso-height-percent:0;mso-width-percent:0;mso-height-percent:0" o:ole="" filled="t">
            <v:imagedata r:id="rId5" o:title=""/>
          </v:shape>
          <o:OLEObject Type="Embed" ProgID="Prism8.Document" ShapeID="_x0000_i1025" DrawAspect="Content" ObjectID="_1698243325" r:id="rId6"/>
        </w:object>
      </w: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sz w:val="20"/>
          <w:szCs w:val="20"/>
          <w:lang w:val="en-US"/>
        </w:rPr>
      </w:pPr>
    </w:p>
    <w:p w:rsidR="008E6228" w:rsidRPr="002428E1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  <w:r w:rsidRPr="005075FC">
        <w:rPr>
          <w:rFonts w:cs="Arial"/>
          <w:b/>
          <w:bCs/>
          <w:i/>
          <w:iCs/>
          <w:sz w:val="20"/>
          <w:szCs w:val="20"/>
          <w:lang w:val="en-US"/>
        </w:rPr>
        <w:t xml:space="preserve">Supplemental Figure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3</w:t>
      </w:r>
      <w:r w:rsidRPr="005075FC">
        <w:rPr>
          <w:rFonts w:cs="Arial"/>
          <w:b/>
          <w:bCs/>
          <w:i/>
          <w:iCs/>
          <w:sz w:val="20"/>
          <w:szCs w:val="20"/>
          <w:lang w:val="en-US"/>
        </w:rPr>
        <w:t xml:space="preserve">: </w:t>
      </w:r>
      <w:r w:rsidRPr="005075FC">
        <w:rPr>
          <w:rFonts w:cs="Arial"/>
          <w:i/>
          <w:iCs/>
          <w:sz w:val="20"/>
          <w:szCs w:val="20"/>
          <w:lang w:val="en-US"/>
        </w:rPr>
        <w:t>Absolute</w:t>
      </w:r>
      <w:r w:rsidRPr="005075FC">
        <w:rPr>
          <w:i/>
          <w:iCs/>
          <w:sz w:val="22"/>
          <w:szCs w:val="22"/>
          <w:lang w:val="en-US"/>
        </w:rPr>
        <w:t xml:space="preserve"> 48h changes of mPV </w:t>
      </w:r>
      <w:r>
        <w:rPr>
          <w:i/>
          <w:iCs/>
          <w:sz w:val="22"/>
          <w:szCs w:val="22"/>
          <w:lang w:val="en-US"/>
        </w:rPr>
        <w:t xml:space="preserve">(milliliters) </w:t>
      </w:r>
      <w:r w:rsidRPr="005075FC">
        <w:rPr>
          <w:i/>
          <w:iCs/>
          <w:sz w:val="22"/>
          <w:szCs w:val="22"/>
          <w:lang w:val="en-US"/>
        </w:rPr>
        <w:t xml:space="preserve">and bodyweight </w:t>
      </w:r>
      <w:r>
        <w:rPr>
          <w:i/>
          <w:iCs/>
          <w:sz w:val="22"/>
          <w:szCs w:val="22"/>
          <w:lang w:val="en-US"/>
        </w:rPr>
        <w:t xml:space="preserve">(grams) </w:t>
      </w:r>
      <w:r w:rsidRPr="005075FC">
        <w:rPr>
          <w:i/>
          <w:iCs/>
          <w:sz w:val="22"/>
          <w:szCs w:val="22"/>
          <w:lang w:val="en-US"/>
        </w:rPr>
        <w:t>are shown in individual patients. Patients with decreasing PV are presented on the left, patients with increasing PV on the right.</w:t>
      </w:r>
    </w:p>
    <w:p w:rsidR="008E6228" w:rsidRPr="005075FC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noProof/>
          <w:sz w:val="20"/>
          <w:szCs w:val="20"/>
          <w:lang w:val="en-US"/>
        </w:rPr>
        <w:drawing>
          <wp:inline distT="0" distB="0" distL="0" distR="0" wp14:anchorId="7EBCBFE1" wp14:editId="2A1A22A9">
            <wp:extent cx="6120130" cy="226822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Default="008E6228" w:rsidP="008E6228">
      <w:pPr>
        <w:spacing w:after="60"/>
        <w:jc w:val="left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8E6228" w:rsidRPr="005075FC" w:rsidRDefault="008E6228" w:rsidP="008E6228">
      <w:pPr>
        <w:spacing w:after="60"/>
        <w:jc w:val="left"/>
        <w:rPr>
          <w:rFonts w:cs="Arial"/>
          <w:sz w:val="20"/>
          <w:szCs w:val="20"/>
          <w:lang w:val="en-US"/>
        </w:rPr>
      </w:pPr>
      <w:r w:rsidRPr="005075FC">
        <w:rPr>
          <w:rFonts w:cs="Arial"/>
          <w:b/>
          <w:bCs/>
          <w:sz w:val="20"/>
          <w:szCs w:val="20"/>
          <w:lang w:val="en-US"/>
        </w:rPr>
        <w:t xml:space="preserve">Supplemental Figure </w:t>
      </w:r>
      <w:r>
        <w:rPr>
          <w:rFonts w:cs="Arial"/>
          <w:b/>
          <w:bCs/>
          <w:sz w:val="20"/>
          <w:szCs w:val="20"/>
          <w:lang w:val="en-US"/>
        </w:rPr>
        <w:t>4</w:t>
      </w:r>
      <w:r w:rsidRPr="005075FC">
        <w:rPr>
          <w:rFonts w:cs="Arial"/>
          <w:b/>
          <w:bCs/>
          <w:sz w:val="20"/>
          <w:szCs w:val="20"/>
          <w:lang w:val="en-US"/>
        </w:rPr>
        <w:t>:</w:t>
      </w:r>
      <w:r w:rsidRPr="005075FC">
        <w:rPr>
          <w:rFonts w:cs="Arial"/>
          <w:sz w:val="20"/>
          <w:szCs w:val="20"/>
          <w:lang w:val="en-US"/>
        </w:rPr>
        <w:t xml:space="preserve"> Agreement between estimated PV change by </w:t>
      </w:r>
      <w:r>
        <w:rPr>
          <w:rFonts w:cs="Arial"/>
          <w:sz w:val="20"/>
          <w:szCs w:val="20"/>
          <w:lang w:val="en-US"/>
        </w:rPr>
        <w:t>Kaplan-Hakim (</w:t>
      </w:r>
      <w:r w:rsidRPr="005075FC">
        <w:rPr>
          <w:rFonts w:cs="Arial"/>
          <w:sz w:val="20"/>
          <w:szCs w:val="20"/>
          <w:lang w:val="en-US"/>
        </w:rPr>
        <w:t>Δ%ePV</w:t>
      </w:r>
      <w:r>
        <w:rPr>
          <w:rFonts w:cs="Arial"/>
          <w:sz w:val="20"/>
          <w:szCs w:val="20"/>
          <w:vertAlign w:val="subscript"/>
          <w:lang w:val="en-US"/>
        </w:rPr>
        <w:t>Kaplan-Hakim</w:t>
      </w:r>
      <w:r>
        <w:rPr>
          <w:rFonts w:cs="Arial"/>
          <w:sz w:val="20"/>
          <w:szCs w:val="20"/>
          <w:lang w:val="en-US"/>
        </w:rPr>
        <w:t>)(</w:t>
      </w:r>
      <w:r w:rsidRPr="00FE5166">
        <w:rPr>
          <w:rFonts w:cs="Arial"/>
          <w:b/>
          <w:bCs/>
          <w:sz w:val="20"/>
          <w:szCs w:val="20"/>
          <w:lang w:val="en-US"/>
        </w:rPr>
        <w:t>A</w:t>
      </w:r>
      <w:r>
        <w:rPr>
          <w:rFonts w:cs="Arial"/>
          <w:sz w:val="20"/>
          <w:szCs w:val="20"/>
          <w:lang w:val="en-US"/>
        </w:rPr>
        <w:t xml:space="preserve">) and </w:t>
      </w:r>
      <w:r w:rsidRPr="005075FC">
        <w:rPr>
          <w:rFonts w:cs="Arial"/>
          <w:sz w:val="20"/>
          <w:szCs w:val="20"/>
          <w:lang w:val="en-US"/>
        </w:rPr>
        <w:t>Strauss’ formula (</w:t>
      </w:r>
      <w:bookmarkStart w:id="1" w:name="OLE_LINK5"/>
      <w:r w:rsidRPr="005075FC">
        <w:rPr>
          <w:rFonts w:cs="Arial"/>
          <w:sz w:val="20"/>
          <w:szCs w:val="20"/>
          <w:lang w:val="en-US"/>
        </w:rPr>
        <w:t>Δ%ePV</w:t>
      </w:r>
      <w:r w:rsidRPr="005075FC">
        <w:rPr>
          <w:rFonts w:cs="Arial"/>
          <w:sz w:val="20"/>
          <w:szCs w:val="20"/>
          <w:vertAlign w:val="subscript"/>
          <w:lang w:val="en-US"/>
        </w:rPr>
        <w:t>Strauss</w:t>
      </w:r>
      <w:bookmarkEnd w:id="1"/>
      <w:r w:rsidRPr="005075FC">
        <w:rPr>
          <w:rFonts w:cs="Arial"/>
          <w:sz w:val="20"/>
          <w:szCs w:val="20"/>
          <w:lang w:val="en-US"/>
        </w:rPr>
        <w:t>)</w:t>
      </w:r>
      <w:r>
        <w:rPr>
          <w:rFonts w:cs="Arial"/>
          <w:sz w:val="20"/>
          <w:szCs w:val="20"/>
          <w:lang w:val="en-US"/>
        </w:rPr>
        <w:t xml:space="preserve"> (</w:t>
      </w:r>
      <w:r w:rsidRPr="00FE5166">
        <w:rPr>
          <w:rFonts w:cs="Arial"/>
          <w:b/>
          <w:bCs/>
          <w:sz w:val="20"/>
          <w:szCs w:val="20"/>
          <w:lang w:val="en-US"/>
        </w:rPr>
        <w:t>B</w:t>
      </w:r>
      <w:r>
        <w:rPr>
          <w:rFonts w:cs="Arial"/>
          <w:sz w:val="20"/>
          <w:szCs w:val="20"/>
          <w:lang w:val="en-US"/>
        </w:rPr>
        <w:t>)</w:t>
      </w:r>
      <w:r w:rsidRPr="005075FC">
        <w:rPr>
          <w:rFonts w:cs="Arial"/>
          <w:sz w:val="20"/>
          <w:szCs w:val="20"/>
          <w:lang w:val="en-US"/>
        </w:rPr>
        <w:t xml:space="preserve"> and measured PV change (Δ%mPV) </w:t>
      </w:r>
      <w:r w:rsidRPr="005075FC">
        <w:rPr>
          <w:rFonts w:cs="Times New Roman"/>
          <w:sz w:val="20"/>
          <w:szCs w:val="20"/>
          <w:lang w:val="en-US"/>
        </w:rPr>
        <w:t xml:space="preserve">“Difference” indicates difference between </w:t>
      </w:r>
      <w:r w:rsidRPr="005075FC">
        <w:rPr>
          <w:rFonts w:cs="Arial"/>
          <w:sz w:val="20"/>
          <w:szCs w:val="20"/>
          <w:lang w:val="en-US"/>
        </w:rPr>
        <w:t>Δ%ePV</w:t>
      </w:r>
      <w:r w:rsidRPr="005075FC">
        <w:rPr>
          <w:rFonts w:cs="Times New Roman"/>
          <w:sz w:val="20"/>
          <w:szCs w:val="20"/>
          <w:lang w:val="en-US"/>
        </w:rPr>
        <w:t xml:space="preserve"> and </w:t>
      </w:r>
      <w:r w:rsidRPr="005075FC">
        <w:rPr>
          <w:rFonts w:cs="Arial"/>
          <w:sz w:val="20"/>
          <w:szCs w:val="20"/>
          <w:lang w:val="en-US"/>
        </w:rPr>
        <w:t>Δ%</w:t>
      </w:r>
      <w:r w:rsidRPr="005075FC">
        <w:rPr>
          <w:rFonts w:cs="Times New Roman"/>
          <w:sz w:val="20"/>
          <w:szCs w:val="20"/>
          <w:lang w:val="en-US"/>
        </w:rPr>
        <w:t xml:space="preserve">mPV change. “Average” shows average of </w:t>
      </w:r>
      <w:r w:rsidRPr="005075FC">
        <w:rPr>
          <w:rFonts w:cs="Arial"/>
          <w:sz w:val="20"/>
          <w:szCs w:val="20"/>
          <w:lang w:val="en-US"/>
        </w:rPr>
        <w:t>Δ%</w:t>
      </w:r>
      <w:r w:rsidRPr="005075FC">
        <w:rPr>
          <w:rFonts w:cs="Times New Roman"/>
          <w:sz w:val="20"/>
          <w:szCs w:val="20"/>
          <w:lang w:val="en-US"/>
        </w:rPr>
        <w:t xml:space="preserve">ePV and </w:t>
      </w:r>
      <w:r w:rsidRPr="005075FC">
        <w:rPr>
          <w:rFonts w:cs="Arial"/>
          <w:sz w:val="20"/>
          <w:szCs w:val="20"/>
          <w:lang w:val="en-US"/>
        </w:rPr>
        <w:t>Δ%</w:t>
      </w:r>
      <w:r w:rsidRPr="005075FC">
        <w:rPr>
          <w:rFonts w:cs="Times New Roman"/>
          <w:sz w:val="20"/>
          <w:szCs w:val="20"/>
          <w:lang w:val="en-US"/>
        </w:rPr>
        <w:t xml:space="preserve">mPV. Solid line shows </w:t>
      </w:r>
      <w:r>
        <w:rPr>
          <w:rFonts w:cs="Times New Roman"/>
          <w:sz w:val="20"/>
          <w:szCs w:val="20"/>
          <w:lang w:val="en-US"/>
        </w:rPr>
        <w:t>zero</w:t>
      </w:r>
      <w:r w:rsidRPr="005075FC">
        <w:rPr>
          <w:rFonts w:cs="Times New Roman"/>
          <w:sz w:val="20"/>
          <w:szCs w:val="20"/>
          <w:lang w:val="en-US"/>
        </w:rPr>
        <w:t xml:space="preserve">. Dotted lines show </w:t>
      </w:r>
      <w:r>
        <w:rPr>
          <w:rFonts w:cs="Times New Roman"/>
          <w:sz w:val="20"/>
          <w:szCs w:val="20"/>
          <w:lang w:val="en-US"/>
        </w:rPr>
        <w:t>bias</w:t>
      </w:r>
      <w:r w:rsidRPr="005075FC">
        <w:rPr>
          <w:rFonts w:cs="Times New Roman"/>
          <w:sz w:val="20"/>
          <w:szCs w:val="20"/>
          <w:lang w:val="en-US"/>
        </w:rPr>
        <w:t xml:space="preserve"> and bias ± 1.96 standard deviation. Data are presented in percentages</w:t>
      </w:r>
    </w:p>
    <w:p w:rsidR="008E6228" w:rsidRDefault="008E6228" w:rsidP="008E6228">
      <w:pPr>
        <w:rPr>
          <w:lang w:val="en-US"/>
        </w:rPr>
      </w:pPr>
    </w:p>
    <w:p w:rsidR="008E6228" w:rsidRDefault="008E6228" w:rsidP="008E6228">
      <w:pPr>
        <w:rPr>
          <w:lang w:val="en-US"/>
        </w:rPr>
      </w:pPr>
      <w:r w:rsidRPr="0079500C">
        <w:rPr>
          <w:noProof/>
          <w:lang w:val="en-US"/>
        </w:rPr>
        <w:object w:dxaOrig="12861" w:dyaOrig="5013">
          <v:shape id="_x0000_i1026" type="#_x0000_t75" alt="" style="width:482.5pt;height:187.5pt;mso-width-percent:0;mso-height-percent:0;mso-width-percent:0;mso-height-percent:0" o:ole="" filled="t">
            <v:imagedata r:id="rId8" o:title=""/>
          </v:shape>
          <o:OLEObject Type="Embed" ProgID="Prism8.Document" ShapeID="_x0000_i1026" DrawAspect="Content" ObjectID="_1698243326" r:id="rId9"/>
        </w:object>
      </w:r>
    </w:p>
    <w:p w:rsidR="008E6228" w:rsidRDefault="008E6228" w:rsidP="008E6228">
      <w:pPr>
        <w:rPr>
          <w:lang w:val="en-US"/>
        </w:rPr>
      </w:pPr>
    </w:p>
    <w:p w:rsidR="008E6228" w:rsidRPr="00647049" w:rsidRDefault="008E6228" w:rsidP="008E6228">
      <w:pPr>
        <w:spacing w:after="0" w:line="240" w:lineRule="auto"/>
        <w:rPr>
          <w:lang w:val="en-US"/>
        </w:rPr>
      </w:pPr>
    </w:p>
    <w:p w:rsidR="00605CFB" w:rsidRDefault="00605CFB"/>
    <w:sectPr w:rsidR="00605CFB" w:rsidSect="006F44A7"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8"/>
    <w:rsid w:val="00605CFB"/>
    <w:rsid w:val="008E6228"/>
    <w:rsid w:val="00A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AE14-D910-4161-8234-B04010F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28"/>
    <w:pPr>
      <w:spacing w:after="120" w:line="360" w:lineRule="auto"/>
      <w:jc w:val="both"/>
    </w:pPr>
    <w:rPr>
      <w:rFonts w:ascii="Arial" w:eastAsiaTheme="minorEastAsia" w:hAnsi="Arial"/>
      <w:sz w:val="24"/>
      <w:szCs w:val="21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22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eastAsiaTheme="majorEastAsia" w:cstheme="majorBidi"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28"/>
    <w:rPr>
      <w:rFonts w:ascii="Arial" w:eastAsiaTheme="majorEastAsia" w:hAnsi="Arial" w:cstheme="majorBidi"/>
      <w:color w:val="2E74B5" w:themeColor="accent1" w:themeShade="BF"/>
      <w:sz w:val="36"/>
      <w:szCs w:val="3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</Words>
  <Characters>1110</Characters>
  <Application>Microsoft Office Word</Application>
  <DocSecurity>0</DocSecurity>
  <Lines>22</Lines>
  <Paragraphs>5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Quisel, Mary Jane</dc:creator>
  <cp:keywords/>
  <dc:description/>
  <cp:lastModifiedBy>Quisel, Mary Jane</cp:lastModifiedBy>
  <cp:revision>1</cp:revision>
  <dcterms:created xsi:type="dcterms:W3CDTF">2021-11-12T08:30:00Z</dcterms:created>
  <dcterms:modified xsi:type="dcterms:W3CDTF">2021-11-12T09:28:00Z</dcterms:modified>
</cp:coreProperties>
</file>