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ADF47" w14:textId="2B5FD7B3" w:rsidR="009832C5" w:rsidRDefault="009832C5" w:rsidP="009832C5">
      <w:pPr>
        <w:pStyle w:val="Heading3"/>
        <w:rPr>
          <w:sz w:val="22"/>
        </w:rPr>
      </w:pPr>
      <w:r>
        <w:rPr>
          <w:sz w:val="22"/>
        </w:rPr>
        <w:t>Supplementary T</w:t>
      </w:r>
      <w:r w:rsidRPr="00A92949">
        <w:rPr>
          <w:sz w:val="22"/>
        </w:rPr>
        <w:t xml:space="preserve">able </w:t>
      </w:r>
      <w:r w:rsidR="00931393">
        <w:rPr>
          <w:sz w:val="22"/>
        </w:rPr>
        <w:t>1</w:t>
      </w:r>
      <w:bookmarkStart w:id="0" w:name="_GoBack"/>
      <w:bookmarkEnd w:id="0"/>
      <w:r w:rsidRPr="00A92949">
        <w:rPr>
          <w:sz w:val="22"/>
        </w:rPr>
        <w:t xml:space="preserve">: </w:t>
      </w:r>
      <w:r>
        <w:rPr>
          <w:sz w:val="22"/>
        </w:rPr>
        <w:t xml:space="preserve">Primer sequences for </w:t>
      </w:r>
      <w:proofErr w:type="spellStart"/>
      <w:r>
        <w:rPr>
          <w:sz w:val="22"/>
        </w:rPr>
        <w:t>ChIP</w:t>
      </w:r>
      <w:proofErr w:type="spellEnd"/>
      <w:r>
        <w:rPr>
          <w:sz w:val="22"/>
        </w:rPr>
        <w:t>-qPCR.</w:t>
      </w:r>
    </w:p>
    <w:tbl>
      <w:tblPr>
        <w:tblStyle w:val="PlainTable2"/>
        <w:tblW w:w="0" w:type="auto"/>
        <w:tblLook w:val="0420" w:firstRow="1" w:lastRow="0" w:firstColumn="0" w:lastColumn="0" w:noHBand="0" w:noVBand="1"/>
      </w:tblPr>
      <w:tblGrid>
        <w:gridCol w:w="3686"/>
        <w:gridCol w:w="5334"/>
      </w:tblGrid>
      <w:tr w:rsidR="009832C5" w:rsidRPr="00A92949" w14:paraId="1D1D1D16" w14:textId="77777777" w:rsidTr="00FF28FE">
        <w:trPr>
          <w:cnfStyle w:val="100000000000" w:firstRow="1" w:lastRow="0" w:firstColumn="0" w:lastColumn="0" w:oddVBand="0" w:evenVBand="0" w:oddHBand="0" w:evenHBand="0" w:firstRowFirstColumn="0" w:firstRowLastColumn="0" w:lastRowFirstColumn="0" w:lastRowLastColumn="0"/>
        </w:trPr>
        <w:tc>
          <w:tcPr>
            <w:tcW w:w="3686" w:type="dxa"/>
            <w:vAlign w:val="center"/>
          </w:tcPr>
          <w:p w14:paraId="47E4A798" w14:textId="77777777" w:rsidR="009832C5" w:rsidRPr="00A92949" w:rsidRDefault="009832C5" w:rsidP="00FF28FE">
            <w:pPr>
              <w:jc w:val="left"/>
            </w:pPr>
            <w:r w:rsidRPr="00A92949">
              <w:t>ChIP-qPCR primer</w:t>
            </w:r>
          </w:p>
        </w:tc>
        <w:tc>
          <w:tcPr>
            <w:tcW w:w="5334" w:type="dxa"/>
            <w:vAlign w:val="center"/>
          </w:tcPr>
          <w:p w14:paraId="29FE555A" w14:textId="77777777" w:rsidR="009832C5" w:rsidRPr="00A92949" w:rsidRDefault="009832C5" w:rsidP="00FF28FE">
            <w:pPr>
              <w:jc w:val="left"/>
            </w:pPr>
            <w:r w:rsidRPr="00A92949">
              <w:t>sequence (5’-3’)</w:t>
            </w:r>
          </w:p>
        </w:tc>
      </w:tr>
      <w:tr w:rsidR="009832C5" w:rsidRPr="00A92949" w14:paraId="60D2C1B3" w14:textId="77777777" w:rsidTr="00FF28FE">
        <w:trPr>
          <w:cnfStyle w:val="000000100000" w:firstRow="0" w:lastRow="0" w:firstColumn="0" w:lastColumn="0" w:oddVBand="0" w:evenVBand="0" w:oddHBand="1" w:evenHBand="0" w:firstRowFirstColumn="0" w:firstRowLastColumn="0" w:lastRowFirstColumn="0" w:lastRowLastColumn="0"/>
        </w:trPr>
        <w:tc>
          <w:tcPr>
            <w:tcW w:w="3686" w:type="dxa"/>
            <w:vAlign w:val="center"/>
          </w:tcPr>
          <w:p w14:paraId="00F1A219" w14:textId="77777777" w:rsidR="009832C5" w:rsidRPr="00A92949" w:rsidRDefault="009832C5" w:rsidP="00FF28FE">
            <w:pPr>
              <w:contextualSpacing/>
              <w:jc w:val="left"/>
              <w:rPr>
                <w:rFonts w:cs="Arial"/>
              </w:rPr>
            </w:pPr>
            <w:r w:rsidRPr="00A92949">
              <w:rPr>
                <w:rFonts w:cs="Arial"/>
              </w:rPr>
              <w:t>GATA6</w:t>
            </w:r>
            <w:r>
              <w:rPr>
                <w:rFonts w:cs="Arial"/>
              </w:rPr>
              <w:t xml:space="preserve"> TSS</w:t>
            </w:r>
            <w:r w:rsidRPr="00A92949">
              <w:rPr>
                <w:rFonts w:cs="Arial"/>
              </w:rPr>
              <w:t xml:space="preserve"> fwd</w:t>
            </w:r>
          </w:p>
        </w:tc>
        <w:tc>
          <w:tcPr>
            <w:tcW w:w="5334" w:type="dxa"/>
            <w:vAlign w:val="center"/>
          </w:tcPr>
          <w:p w14:paraId="50E44909" w14:textId="77777777" w:rsidR="009832C5" w:rsidRPr="00A92949" w:rsidRDefault="009832C5" w:rsidP="00FF28FE">
            <w:pPr>
              <w:contextualSpacing/>
              <w:jc w:val="left"/>
              <w:rPr>
                <w:rFonts w:eastAsia="Times New Roman" w:cs="Arial"/>
                <w:lang w:eastAsia="en-GB"/>
              </w:rPr>
            </w:pPr>
            <w:r w:rsidRPr="00A92949">
              <w:rPr>
                <w:rFonts w:eastAsia="Times New Roman" w:cs="Arial"/>
                <w:lang w:eastAsia="en-GB"/>
              </w:rPr>
              <w:t>GGGTCGCTAGCCAGGTCA</w:t>
            </w:r>
          </w:p>
        </w:tc>
      </w:tr>
      <w:tr w:rsidR="009832C5" w:rsidRPr="00A92949" w14:paraId="7772175F" w14:textId="77777777" w:rsidTr="00FF28FE">
        <w:tc>
          <w:tcPr>
            <w:tcW w:w="3686" w:type="dxa"/>
            <w:vAlign w:val="center"/>
          </w:tcPr>
          <w:p w14:paraId="105DD6C2" w14:textId="77777777" w:rsidR="009832C5" w:rsidRPr="00A92949" w:rsidRDefault="009832C5" w:rsidP="00FF28FE">
            <w:pPr>
              <w:contextualSpacing/>
              <w:jc w:val="left"/>
              <w:rPr>
                <w:rFonts w:cs="Arial"/>
              </w:rPr>
            </w:pPr>
            <w:r w:rsidRPr="00A92949">
              <w:rPr>
                <w:rFonts w:cs="Arial"/>
              </w:rPr>
              <w:t xml:space="preserve">GATA6 </w:t>
            </w:r>
            <w:r>
              <w:rPr>
                <w:rFonts w:cs="Arial"/>
              </w:rPr>
              <w:t xml:space="preserve">TSS </w:t>
            </w:r>
            <w:r w:rsidRPr="00A92949">
              <w:rPr>
                <w:rFonts w:cs="Arial"/>
              </w:rPr>
              <w:t>rev</w:t>
            </w:r>
          </w:p>
        </w:tc>
        <w:tc>
          <w:tcPr>
            <w:tcW w:w="5334" w:type="dxa"/>
            <w:vAlign w:val="center"/>
          </w:tcPr>
          <w:p w14:paraId="7B048513" w14:textId="77777777" w:rsidR="009832C5" w:rsidRPr="00A92949" w:rsidRDefault="009832C5" w:rsidP="00FF28FE">
            <w:pPr>
              <w:contextualSpacing/>
              <w:jc w:val="left"/>
              <w:rPr>
                <w:rFonts w:eastAsia="Times New Roman" w:cs="Arial"/>
                <w:lang w:eastAsia="en-GB"/>
              </w:rPr>
            </w:pPr>
            <w:r w:rsidRPr="00A92949">
              <w:rPr>
                <w:rFonts w:eastAsia="Times New Roman" w:cs="Arial"/>
                <w:lang w:eastAsia="en-GB"/>
              </w:rPr>
              <w:t>AGGCAGACAATGAGAGCCGC</w:t>
            </w:r>
          </w:p>
        </w:tc>
      </w:tr>
      <w:tr w:rsidR="009832C5" w:rsidRPr="00A92949" w14:paraId="0A511D47" w14:textId="77777777" w:rsidTr="00FF28FE">
        <w:trPr>
          <w:cnfStyle w:val="000000100000" w:firstRow="0" w:lastRow="0" w:firstColumn="0" w:lastColumn="0" w:oddVBand="0" w:evenVBand="0" w:oddHBand="1" w:evenHBand="0" w:firstRowFirstColumn="0" w:firstRowLastColumn="0" w:lastRowFirstColumn="0" w:lastRowLastColumn="0"/>
        </w:trPr>
        <w:tc>
          <w:tcPr>
            <w:tcW w:w="3686" w:type="dxa"/>
            <w:vAlign w:val="center"/>
          </w:tcPr>
          <w:p w14:paraId="6EF77FE2" w14:textId="77777777" w:rsidR="009832C5" w:rsidRPr="00A92949" w:rsidRDefault="009832C5" w:rsidP="00FF28FE">
            <w:pPr>
              <w:contextualSpacing/>
              <w:jc w:val="left"/>
              <w:rPr>
                <w:rFonts w:cs="Arial"/>
              </w:rPr>
            </w:pPr>
            <w:r w:rsidRPr="00A92949">
              <w:rPr>
                <w:rFonts w:cs="Arial"/>
              </w:rPr>
              <w:t>GATA6_Mll1 fwd</w:t>
            </w:r>
          </w:p>
        </w:tc>
        <w:tc>
          <w:tcPr>
            <w:tcW w:w="5334" w:type="dxa"/>
            <w:vAlign w:val="center"/>
          </w:tcPr>
          <w:p w14:paraId="27F2025B" w14:textId="77777777" w:rsidR="009832C5" w:rsidRPr="00A92949" w:rsidRDefault="009832C5" w:rsidP="00FF28FE">
            <w:pPr>
              <w:contextualSpacing/>
              <w:jc w:val="left"/>
              <w:rPr>
                <w:rFonts w:eastAsia="Times New Roman" w:cs="Arial"/>
                <w:lang w:eastAsia="en-GB"/>
              </w:rPr>
            </w:pPr>
            <w:r w:rsidRPr="00A92949">
              <w:rPr>
                <w:rFonts w:eastAsia="Times New Roman" w:cs="Arial"/>
                <w:lang w:eastAsia="en-GB"/>
              </w:rPr>
              <w:t>CACAAGCTCTCCGCATTGCC</w:t>
            </w:r>
          </w:p>
        </w:tc>
      </w:tr>
      <w:tr w:rsidR="009832C5" w:rsidRPr="00A92949" w14:paraId="1C45D8C0" w14:textId="77777777" w:rsidTr="00FF28FE">
        <w:tc>
          <w:tcPr>
            <w:tcW w:w="3686" w:type="dxa"/>
            <w:vAlign w:val="center"/>
          </w:tcPr>
          <w:p w14:paraId="64DCD374" w14:textId="77777777" w:rsidR="009832C5" w:rsidRPr="00A92949" w:rsidRDefault="009832C5" w:rsidP="00FF28FE">
            <w:pPr>
              <w:contextualSpacing/>
              <w:jc w:val="left"/>
              <w:rPr>
                <w:rFonts w:cs="Arial"/>
              </w:rPr>
            </w:pPr>
            <w:r w:rsidRPr="00A92949">
              <w:rPr>
                <w:rFonts w:cs="Arial"/>
              </w:rPr>
              <w:t>GATA6_Mll1 rev</w:t>
            </w:r>
          </w:p>
        </w:tc>
        <w:tc>
          <w:tcPr>
            <w:tcW w:w="5334" w:type="dxa"/>
            <w:vAlign w:val="center"/>
          </w:tcPr>
          <w:p w14:paraId="06A8FEDB" w14:textId="77777777" w:rsidR="009832C5" w:rsidRPr="00A92949" w:rsidRDefault="009832C5" w:rsidP="00FF28FE">
            <w:pPr>
              <w:contextualSpacing/>
              <w:jc w:val="left"/>
              <w:rPr>
                <w:rFonts w:eastAsia="Times New Roman" w:cs="Arial"/>
                <w:lang w:eastAsia="en-GB"/>
              </w:rPr>
            </w:pPr>
            <w:r w:rsidRPr="00A92949">
              <w:rPr>
                <w:rFonts w:eastAsia="Times New Roman" w:cs="Arial"/>
                <w:lang w:eastAsia="en-GB"/>
              </w:rPr>
              <w:t>GCCCCAGAGAGAAATGCAACT</w:t>
            </w:r>
          </w:p>
        </w:tc>
      </w:tr>
      <w:tr w:rsidR="009832C5" w:rsidRPr="00A92949" w14:paraId="0A218FE3" w14:textId="77777777" w:rsidTr="00FF28FE">
        <w:trPr>
          <w:cnfStyle w:val="000000100000" w:firstRow="0" w:lastRow="0" w:firstColumn="0" w:lastColumn="0" w:oddVBand="0" w:evenVBand="0" w:oddHBand="1" w:evenHBand="0" w:firstRowFirstColumn="0" w:firstRowLastColumn="0" w:lastRowFirstColumn="0" w:lastRowLastColumn="0"/>
        </w:trPr>
        <w:tc>
          <w:tcPr>
            <w:tcW w:w="3686" w:type="dxa"/>
            <w:vAlign w:val="center"/>
          </w:tcPr>
          <w:p w14:paraId="3E98F246" w14:textId="77777777" w:rsidR="009832C5" w:rsidRPr="00931393" w:rsidRDefault="009832C5" w:rsidP="00FF28FE">
            <w:pPr>
              <w:contextualSpacing/>
              <w:jc w:val="left"/>
              <w:rPr>
                <w:rFonts w:cs="Arial"/>
                <w:lang w:val="en-US"/>
              </w:rPr>
            </w:pPr>
            <w:r w:rsidRPr="00931393">
              <w:rPr>
                <w:rFonts w:cs="Arial"/>
                <w:lang w:val="en-US"/>
              </w:rPr>
              <w:t xml:space="preserve">TAL1 +70 </w:t>
            </w:r>
            <w:proofErr w:type="spellStart"/>
            <w:r w:rsidRPr="00931393">
              <w:rPr>
                <w:rFonts w:cs="Arial"/>
                <w:lang w:val="en-US"/>
              </w:rPr>
              <w:t>fwd</w:t>
            </w:r>
            <w:proofErr w:type="spellEnd"/>
            <w:r w:rsidRPr="00931393">
              <w:rPr>
                <w:rFonts w:cs="Arial"/>
                <w:lang w:val="en-US"/>
              </w:rPr>
              <w:t xml:space="preserve"> </w:t>
            </w:r>
            <w:r w:rsidRPr="002727FA">
              <w:rPr>
                <w:rFonts w:cs="Arial"/>
              </w:rPr>
              <w:fldChar w:fldCharType="begin" w:fldLock="1"/>
            </w:r>
            <w:r w:rsidRPr="00931393">
              <w:rPr>
                <w:rFonts w:cs="Arial"/>
                <w:lang w:val="en-US"/>
              </w:rPr>
              <w:instrText>ADDIN CSL_CITATION {"citationItems":[{"id":"ITEM-1","itemData":{"DOI":"10.1158/0008-5472.CAN-13-1400","ISSN":"1538-7445 (Electronic)\r0008-5472 (Linking)","PMID":"24247718","abstract":"hSETD1A is a member of the trithorax (TrxG) family of histone methyltransferases (HMT) that methylate H3K4 at promoters of active genes. Although misregulation of mixed lineage leukemia (MLL) family proteins has been associated with acute leukemia, the role of hSETD1A in cancer remains unknown. In this study, we report that hSETD1A and its associated H3K4me3 are upregulated in human colorectal cancer cells and patient samples. Depletion of hSETD1A inhibits colorectal cancer cell growth, colony formation, and tumor engraftment. Genome-wide expression profiling of colorectal cancer cells reveals that approximately 50% of Wnt/beta-catenin target genes are affected by the hSETD1A knockdown. We further demonstrate that hSETD1A is recruited to promoters of those Wnt signaling target genes through its interaction with beta-catenin, a master regulator of the Wnt signaling pathway. The recruitment of the hSETD1A HMT complex confers promoter-associated H3K4me3 that leads to assembly of transcription preinitiation complex and transcriptional activation. Furthermore, the expression levels of hSETD1A are positively correlated with H3K4me3 enrichment at the promoters of Wnt/beta-catenin target genes and the aberrant activation of these genes in human colorectal cancer. These results provide new biologic and mechanistic insights into the cooperative role of hSETD1A and beta-catenin in regulation of Wnt target genes as well as in colorectal cancer cell growth in vitro and in vivo.","author":[{"dropping-particle":"","family":"Salz","given":"T","non-dropping-particle":"","parse-names":false,"suffix":""},{"dropping-particle":"","family":"Li","given":"G","non-dropping-particle":"","parse-names":false,"suffix":""},{"dropping-particle":"","family":"Kaye","given":"F","non-dropping-particle":"","parse-names":false,"suffix":""},{"dropping-particle":"","family":"Zhou","given":"L","non-dropping-particle":"","parse-names":false,"suffix":""},{"dropping-particle":"","family":"Qiu","given":"Y","non-dropping-particle":"","parse-names":false,"suffix":""},{"dropping-particle":"","family":"Huang","given":"S","non-dropping-particle":"","parse-names":false,"suffix":""}],"container-title":"Cancer Res","id":"ITEM-1","issue":"3","issued":{"date-parts":[["2014"]]},"note":"Salz, Tal\rLi, Guangyao\rKaye, Frederic\rZhou, Lei\rQiu, Yi\rHuang, Suming\reng\rR01 HL095674/HL/NHLBI NIH HHS/\rR01HL091929/HL/NHLBI NIH HHS/\rR56AI079074/AI/NIAID NIH HHS/\rR01 HL091929/HL/NHLBI NIH HHS/\rR01 GM106174/GM/NIGMS NIH HHS/\rR01 HL090589/HL/NHLBI NIH HHS/\rR01HL091929-01A1S1/HL/NHLBI NIH HHS/\rR56 AI079074/AI/NIAID NIH HHS/\rR01HL090589/HL/NHLBI NIH HHS/\rR01HL09567/HL/NHLBI NIH HHS/\rResearch Support, American Recovery and Reinvestment Act\rResearch Support, N.I.H., Extramural\r2013/11/20 06:00\rCancer Res. 2014 Feb 1;74(3):775-86. doi: 10.1158/0008-5472.CAN-13-1400. Epub 2013 Nov 18.","page":"775-786","title":"hSETD1A regulates Wnt target genes and controls tumor growth of colorectal cancer cells","type":"article-journal","volume":"74"},"uris":["http://www.mendeley.com/documents/?uuid=08cfb472-de05-3698-84de-7d577d13c459"]}],"mendeley":{"formattedCitation":"(Salz &lt;i&gt;et al&lt;/i&gt;, 2014)","plainTextFormattedCitation":"(Salz et al, 2014)","previouslyFormattedCitation":"(Salz &lt;i&gt;et al&lt;/i&gt;, 2014)"},"properties":{"noteIndex":0},"schema":"https://github.com/citation-style-language/schema/raw/master/csl-citation.json"}</w:instrText>
            </w:r>
            <w:r w:rsidRPr="002727FA">
              <w:rPr>
                <w:rFonts w:cs="Arial"/>
              </w:rPr>
              <w:fldChar w:fldCharType="separate"/>
            </w:r>
            <w:r w:rsidRPr="00931393">
              <w:rPr>
                <w:rFonts w:cs="Arial"/>
                <w:noProof/>
                <w:lang w:val="en-US"/>
              </w:rPr>
              <w:t xml:space="preserve">(Salz </w:t>
            </w:r>
            <w:r w:rsidRPr="00931393">
              <w:rPr>
                <w:rFonts w:cs="Arial"/>
                <w:i/>
                <w:noProof/>
                <w:lang w:val="en-US"/>
              </w:rPr>
              <w:t>et al</w:t>
            </w:r>
            <w:r w:rsidRPr="00931393">
              <w:rPr>
                <w:rFonts w:cs="Arial"/>
                <w:noProof/>
                <w:lang w:val="en-US"/>
              </w:rPr>
              <w:t>, 2014)</w:t>
            </w:r>
            <w:r w:rsidRPr="002727FA">
              <w:rPr>
                <w:rFonts w:cs="Arial"/>
              </w:rPr>
              <w:fldChar w:fldCharType="end"/>
            </w:r>
          </w:p>
        </w:tc>
        <w:tc>
          <w:tcPr>
            <w:tcW w:w="5334" w:type="dxa"/>
            <w:vAlign w:val="center"/>
          </w:tcPr>
          <w:p w14:paraId="0C934DEF" w14:textId="77777777" w:rsidR="009832C5" w:rsidRPr="00A92949" w:rsidRDefault="009832C5" w:rsidP="00FF28FE">
            <w:pPr>
              <w:contextualSpacing/>
              <w:jc w:val="left"/>
              <w:rPr>
                <w:rFonts w:eastAsia="Times New Roman" w:cs="Arial"/>
                <w:lang w:eastAsia="en-GB"/>
              </w:rPr>
            </w:pPr>
            <w:r w:rsidRPr="003A409E">
              <w:rPr>
                <w:rFonts w:eastAsia="Times New Roman" w:cs="Arial"/>
                <w:color w:val="000000"/>
                <w:lang w:eastAsia="en-GB"/>
              </w:rPr>
              <w:t>GTGGCCACAAAGCAAGGAAT</w:t>
            </w:r>
          </w:p>
        </w:tc>
      </w:tr>
      <w:tr w:rsidR="009832C5" w:rsidRPr="00A92949" w14:paraId="471D8864" w14:textId="77777777" w:rsidTr="00FF28FE">
        <w:tc>
          <w:tcPr>
            <w:tcW w:w="3686" w:type="dxa"/>
            <w:vAlign w:val="center"/>
          </w:tcPr>
          <w:p w14:paraId="4499A492" w14:textId="77777777" w:rsidR="009832C5" w:rsidRPr="002727FA" w:rsidRDefault="009832C5" w:rsidP="00FF28FE">
            <w:pPr>
              <w:contextualSpacing/>
              <w:jc w:val="left"/>
              <w:rPr>
                <w:rFonts w:cs="Arial"/>
              </w:rPr>
            </w:pPr>
            <w:r w:rsidRPr="002727FA">
              <w:rPr>
                <w:rFonts w:cs="Arial"/>
              </w:rPr>
              <w:t xml:space="preserve">TAL1 +70 </w:t>
            </w:r>
            <w:r w:rsidRPr="002727FA">
              <w:rPr>
                <w:rFonts w:cs="Arial"/>
                <w:color w:val="000000" w:themeColor="text1"/>
              </w:rPr>
              <w:t xml:space="preserve">rev </w:t>
            </w:r>
            <w:r w:rsidRPr="002727FA">
              <w:rPr>
                <w:rFonts w:cs="Arial"/>
                <w:color w:val="000000" w:themeColor="text1"/>
              </w:rPr>
              <w:fldChar w:fldCharType="begin" w:fldLock="1"/>
            </w:r>
            <w:r>
              <w:rPr>
                <w:rFonts w:cs="Arial"/>
                <w:color w:val="000000" w:themeColor="text1"/>
              </w:rPr>
              <w:instrText>ADDIN CSL_CITATION {"citationItems":[{"id":"ITEM-1","itemData":{"DOI":"10.1158/0008-5472.CAN-13-1400","ISSN":"1538-7445 (Electronic)\r0008-5472 (Linking)","PMID":"24247718","abstract":"hSETD1A is a member of the trithorax (TrxG) family of histone methyltransferases (HMT) that methylate H3K4 at promoters of active genes. Although misregulation of mixed lineage leukemia (MLL) family proteins has been associated with acute leukemia, the role of hSETD1A in cancer remains unknown. In this study, we report that hSETD1A and its associated H3K4me3 are upregulated in human colorectal cancer cells and patient samples. Depletion of hSETD1A inhibits colorectal cancer cell growth, colony formation, and tumor engraftment. Genome-wide expression profiling of colorectal cancer cells reveals that approximately 50% of Wnt/beta-catenin target genes are affected by the hSETD1A knockdown. We further demonstrate that hSETD1A is recruited to promoters of those Wnt signaling target genes through its interaction with beta-catenin, a master regulator of the Wnt signaling pathway. The recruitment of the hSETD1A HMT complex confers promoter-associated H3K4me3 that leads to assembly of transcription preinitiation complex and transcriptional activation. Furthermore, the expression levels of hSETD1A are positively correlated with H3K4me3 enrichment at the promoters of Wnt/beta-catenin target genes and the aberrant activation of these genes in human colorectal cancer. These results provide new biologic and mechanistic insights into the cooperative role of hSETD1A and beta-catenin in regulation of Wnt target genes as well as in colorectal cancer cell growth in vitro and in vivo.","author":[{"dropping-particle":"","family":"Salz","given":"T","non-dropping-particle":"","parse-names":false,"suffix":""},{"dropping-particle":"","family":"Li","given":"G","non-dropping-particle":"","parse-names":false,"suffix":""},{"dropping-particle":"","family":"Kaye","given":"F","non-dropping-particle":"","parse-names":false,"suffix":""},{"dropping-particle":"","family":"Zhou","given":"L","non-dropping-particle":"","parse-names":false,"suffix":""},{"dropping-particle":"","family":"Qiu","given":"Y","non-dropping-particle":"","parse-names":false,"suffix":""},{"dropping-particle":"","family":"Huang","given":"S","non-dropping-particle":"","parse-names":false,"suffix":""}],"container-title":"Cancer Res","id":"ITEM-1","issue":"3","issued":{"date-parts":[["2014"]]},"note":"Salz, Tal\rLi, Guangyao\rKaye, Frederic\rZhou, Lei\rQiu, Yi\rHuang, Suming\reng\rR01 HL095674/HL/NHLBI NIH HHS/\rR01HL091929/HL/NHLBI NIH HHS/\rR56AI079074/AI/NIAID NIH HHS/\rR01 HL091929/HL/NHLBI NIH HHS/\rR01 GM106174/GM/NIGMS NIH HHS/\rR01 HL090589/HL/NHLBI NIH HHS/\rR01HL091929-01A1S1/HL/NHLBI NIH HHS/\rR56 AI079074/AI/NIAID NIH HHS/\rR01HL090589/HL/NHLBI NIH HHS/\rR01HL09567/HL/NHLBI NIH HHS/\rResearch Support, American Recovery and Reinvestment Act\rResearch Support, N.I.H., Extramural\r2013/11/20 06:00\rCancer Res. 2014 Feb 1;74(3):775-86. doi: 10.1158/0008-5472.CAN-13-1400. Epub 2013 Nov 18.","page":"775-786","title":"hSETD1A regulates Wnt target genes and controls tumor growth of colorectal cancer cells","type":"article-journal","volume":"74"},"uris":["http://www.mendeley.com/documents/?uuid=08cfb472-de05-3698-84de-7d577d13c459"]}],"mendeley":{"formattedCitation":"(Salz &lt;i&gt;et al&lt;/i&gt;, 2014)","plainTextFormattedCitation":"(Salz et al, 2014)","previouslyFormattedCitation":"(Salz &lt;i&gt;et al&lt;/i&gt;, 2014)"},"properties":{"noteIndex":0},"schema":"https://github.com/citation-style-language/schema/raw/master/csl-citation.json"}</w:instrText>
            </w:r>
            <w:r w:rsidRPr="002727FA">
              <w:rPr>
                <w:rFonts w:cs="Arial"/>
                <w:color w:val="000000" w:themeColor="text1"/>
              </w:rPr>
              <w:fldChar w:fldCharType="separate"/>
            </w:r>
            <w:r w:rsidRPr="002727FA">
              <w:rPr>
                <w:rFonts w:cs="Arial"/>
                <w:noProof/>
                <w:color w:val="000000" w:themeColor="text1"/>
              </w:rPr>
              <w:t xml:space="preserve">(Salz </w:t>
            </w:r>
            <w:r w:rsidRPr="002727FA">
              <w:rPr>
                <w:rFonts w:cs="Arial"/>
                <w:i/>
                <w:noProof/>
                <w:color w:val="000000" w:themeColor="text1"/>
              </w:rPr>
              <w:t>et al</w:t>
            </w:r>
            <w:r w:rsidRPr="002727FA">
              <w:rPr>
                <w:rFonts w:cs="Arial"/>
                <w:noProof/>
                <w:color w:val="000000" w:themeColor="text1"/>
              </w:rPr>
              <w:t>, 2014)</w:t>
            </w:r>
            <w:r w:rsidRPr="002727FA">
              <w:rPr>
                <w:rFonts w:cs="Arial"/>
                <w:color w:val="000000" w:themeColor="text1"/>
              </w:rPr>
              <w:fldChar w:fldCharType="end"/>
            </w:r>
          </w:p>
        </w:tc>
        <w:tc>
          <w:tcPr>
            <w:tcW w:w="5334" w:type="dxa"/>
            <w:vAlign w:val="center"/>
          </w:tcPr>
          <w:p w14:paraId="554B5C37" w14:textId="77777777" w:rsidR="009832C5" w:rsidRPr="00A92949" w:rsidRDefault="009832C5" w:rsidP="00FF28FE">
            <w:pPr>
              <w:contextualSpacing/>
              <w:jc w:val="left"/>
              <w:rPr>
                <w:rFonts w:eastAsia="Times New Roman" w:cs="Arial"/>
                <w:lang w:eastAsia="en-GB"/>
              </w:rPr>
            </w:pPr>
            <w:r w:rsidRPr="003A409E">
              <w:rPr>
                <w:rFonts w:eastAsia="Times New Roman" w:cs="Arial"/>
                <w:color w:val="000000"/>
                <w:lang w:eastAsia="en-GB"/>
              </w:rPr>
              <w:t>TCTCTGGAATCTCCAAGGCAA</w:t>
            </w:r>
          </w:p>
        </w:tc>
      </w:tr>
    </w:tbl>
    <w:p w14:paraId="7F604A5B" w14:textId="53063912" w:rsidR="00F5726F" w:rsidRDefault="00931393"/>
    <w:p w14:paraId="30C85217" w14:textId="77777777" w:rsidR="009832C5" w:rsidRDefault="009832C5"/>
    <w:sectPr w:rsidR="009832C5" w:rsidSect="002C52B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C5"/>
    <w:rsid w:val="00046EBF"/>
    <w:rsid w:val="00047A53"/>
    <w:rsid w:val="000579DD"/>
    <w:rsid w:val="00071504"/>
    <w:rsid w:val="000C4176"/>
    <w:rsid w:val="000E2B44"/>
    <w:rsid w:val="00101F7E"/>
    <w:rsid w:val="001227BE"/>
    <w:rsid w:val="00147C5E"/>
    <w:rsid w:val="00155155"/>
    <w:rsid w:val="002355F9"/>
    <w:rsid w:val="002560F3"/>
    <w:rsid w:val="002753ED"/>
    <w:rsid w:val="002844BF"/>
    <w:rsid w:val="002C52B4"/>
    <w:rsid w:val="002E41CD"/>
    <w:rsid w:val="003046C0"/>
    <w:rsid w:val="0034705B"/>
    <w:rsid w:val="00367A32"/>
    <w:rsid w:val="00372289"/>
    <w:rsid w:val="003745FF"/>
    <w:rsid w:val="003928D4"/>
    <w:rsid w:val="003B3C83"/>
    <w:rsid w:val="00480DDF"/>
    <w:rsid w:val="00491B73"/>
    <w:rsid w:val="00494E78"/>
    <w:rsid w:val="004A692E"/>
    <w:rsid w:val="004F3B05"/>
    <w:rsid w:val="00561511"/>
    <w:rsid w:val="0057153C"/>
    <w:rsid w:val="00576915"/>
    <w:rsid w:val="005B7FAA"/>
    <w:rsid w:val="005F10A8"/>
    <w:rsid w:val="00650591"/>
    <w:rsid w:val="00655B74"/>
    <w:rsid w:val="00657E66"/>
    <w:rsid w:val="00690D98"/>
    <w:rsid w:val="006A093B"/>
    <w:rsid w:val="006D5F4E"/>
    <w:rsid w:val="00720321"/>
    <w:rsid w:val="0072315F"/>
    <w:rsid w:val="00752403"/>
    <w:rsid w:val="00771BBB"/>
    <w:rsid w:val="008116D1"/>
    <w:rsid w:val="0082420B"/>
    <w:rsid w:val="00825EF5"/>
    <w:rsid w:val="00841E85"/>
    <w:rsid w:val="008519B7"/>
    <w:rsid w:val="008606EB"/>
    <w:rsid w:val="00862418"/>
    <w:rsid w:val="008731CD"/>
    <w:rsid w:val="00896F8B"/>
    <w:rsid w:val="008B21FF"/>
    <w:rsid w:val="008D59AD"/>
    <w:rsid w:val="008E30B9"/>
    <w:rsid w:val="00901672"/>
    <w:rsid w:val="00913CDD"/>
    <w:rsid w:val="00913D48"/>
    <w:rsid w:val="00931393"/>
    <w:rsid w:val="00955991"/>
    <w:rsid w:val="009832C5"/>
    <w:rsid w:val="009C7936"/>
    <w:rsid w:val="009E1257"/>
    <w:rsid w:val="00A7603C"/>
    <w:rsid w:val="00A87685"/>
    <w:rsid w:val="00A9136C"/>
    <w:rsid w:val="00AB4DC6"/>
    <w:rsid w:val="00AE3983"/>
    <w:rsid w:val="00B02C7F"/>
    <w:rsid w:val="00B347BA"/>
    <w:rsid w:val="00B46CA4"/>
    <w:rsid w:val="00B523BF"/>
    <w:rsid w:val="00B525C2"/>
    <w:rsid w:val="00B57083"/>
    <w:rsid w:val="00B656FB"/>
    <w:rsid w:val="00B7564A"/>
    <w:rsid w:val="00C07666"/>
    <w:rsid w:val="00C14725"/>
    <w:rsid w:val="00C54782"/>
    <w:rsid w:val="00C90AAF"/>
    <w:rsid w:val="00CA04DB"/>
    <w:rsid w:val="00CD05F7"/>
    <w:rsid w:val="00D32CD5"/>
    <w:rsid w:val="00D35C11"/>
    <w:rsid w:val="00DA601E"/>
    <w:rsid w:val="00E56EDD"/>
    <w:rsid w:val="00EA5342"/>
    <w:rsid w:val="00F018F9"/>
    <w:rsid w:val="00F400CE"/>
    <w:rsid w:val="00F55D4B"/>
    <w:rsid w:val="00F808DC"/>
    <w:rsid w:val="00FB1FD5"/>
    <w:rsid w:val="00FC4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C77AC"/>
  <w15:chartTrackingRefBased/>
  <w15:docId w15:val="{51672F35-16EF-E246-B87D-817EF4EA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2C5"/>
    <w:pPr>
      <w:spacing w:line="360" w:lineRule="auto"/>
      <w:jc w:val="both"/>
    </w:pPr>
    <w:rPr>
      <w:rFonts w:ascii="Arial" w:hAnsi="Arial"/>
      <w:sz w:val="22"/>
      <w:szCs w:val="22"/>
    </w:rPr>
  </w:style>
  <w:style w:type="paragraph" w:styleId="Heading3">
    <w:name w:val="heading 3"/>
    <w:basedOn w:val="Normal"/>
    <w:next w:val="Normal"/>
    <w:link w:val="Heading3Char"/>
    <w:uiPriority w:val="9"/>
    <w:unhideWhenUsed/>
    <w:qFormat/>
    <w:rsid w:val="009832C5"/>
    <w:pPr>
      <w:keepNext/>
      <w:keepLines/>
      <w:spacing w:before="4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32C5"/>
    <w:rPr>
      <w:rFonts w:ascii="Arial" w:eastAsiaTheme="majorEastAsia" w:hAnsi="Arial" w:cstheme="majorBidi"/>
      <w:b/>
    </w:rPr>
  </w:style>
  <w:style w:type="table" w:styleId="PlainTable2">
    <w:name w:val="Plain Table 2"/>
    <w:basedOn w:val="TableNormal"/>
    <w:uiPriority w:val="42"/>
    <w:rsid w:val="009832C5"/>
    <w:rPr>
      <w:sz w:val="22"/>
      <w:szCs w:val="22"/>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Grinat</dc:creator>
  <cp:keywords/>
  <dc:description/>
  <cp:lastModifiedBy>Heuberger, Julian</cp:lastModifiedBy>
  <cp:revision>2</cp:revision>
  <dcterms:created xsi:type="dcterms:W3CDTF">2021-12-30T19:35:00Z</dcterms:created>
  <dcterms:modified xsi:type="dcterms:W3CDTF">2021-12-30T19:35:00Z</dcterms:modified>
</cp:coreProperties>
</file>