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57" w:rsidRDefault="004D5657" w:rsidP="003B609C">
      <w:pPr>
        <w:spacing w:after="0" w:line="360" w:lineRule="auto"/>
        <w:jc w:val="center"/>
        <w:rPr>
          <w:rFonts w:ascii="Arial" w:hAnsi="Arial" w:cs="Arial"/>
          <w:b/>
          <w:sz w:val="24"/>
          <w:szCs w:val="24"/>
          <w:lang w:val="en-US"/>
        </w:rPr>
      </w:pPr>
      <w:r>
        <w:rPr>
          <w:rFonts w:ascii="Arial" w:hAnsi="Arial" w:cs="Arial"/>
          <w:b/>
          <w:sz w:val="24"/>
          <w:szCs w:val="24"/>
          <w:lang w:val="en-US"/>
        </w:rPr>
        <w:t xml:space="preserve">Identification and validation of small molecule </w:t>
      </w:r>
      <w:proofErr w:type="spellStart"/>
      <w:r>
        <w:rPr>
          <w:rFonts w:ascii="Arial" w:hAnsi="Arial" w:cs="Arial"/>
          <w:b/>
          <w:sz w:val="24"/>
          <w:szCs w:val="24"/>
          <w:lang w:val="en-US"/>
        </w:rPr>
        <w:t>analytes</w:t>
      </w:r>
      <w:proofErr w:type="spellEnd"/>
      <w:r>
        <w:rPr>
          <w:rFonts w:ascii="Arial" w:hAnsi="Arial" w:cs="Arial"/>
          <w:b/>
          <w:sz w:val="24"/>
          <w:szCs w:val="24"/>
          <w:lang w:val="en-US"/>
        </w:rPr>
        <w:t xml:space="preserve"> </w:t>
      </w:r>
      <w:r w:rsidR="00CC1D94">
        <w:rPr>
          <w:rFonts w:ascii="Arial" w:hAnsi="Arial" w:cs="Arial"/>
          <w:b/>
          <w:sz w:val="24"/>
          <w:szCs w:val="24"/>
          <w:lang w:val="en-US"/>
        </w:rPr>
        <w:t xml:space="preserve">in mouse plasma </w:t>
      </w:r>
      <w:r>
        <w:rPr>
          <w:rFonts w:ascii="Arial" w:hAnsi="Arial" w:cs="Arial"/>
          <w:b/>
          <w:sz w:val="24"/>
          <w:szCs w:val="24"/>
          <w:lang w:val="en-US"/>
        </w:rPr>
        <w:t xml:space="preserve">by </w:t>
      </w:r>
      <w:r w:rsidRPr="00BC4D47">
        <w:rPr>
          <w:rFonts w:ascii="Arial" w:hAnsi="Arial" w:cs="Arial"/>
          <w:b/>
          <w:sz w:val="24"/>
          <w:szCs w:val="24"/>
          <w:lang w:val="en-US"/>
        </w:rPr>
        <w:t>liquid</w:t>
      </w:r>
      <w:r>
        <w:rPr>
          <w:rFonts w:ascii="Arial" w:hAnsi="Arial" w:cs="Arial"/>
          <w:b/>
          <w:sz w:val="24"/>
          <w:szCs w:val="24"/>
          <w:lang w:val="en-US"/>
        </w:rPr>
        <w:t xml:space="preserve"> </w:t>
      </w:r>
      <w:r w:rsidRPr="00BC4D47">
        <w:rPr>
          <w:rFonts w:ascii="Arial" w:hAnsi="Arial" w:cs="Arial"/>
          <w:b/>
          <w:sz w:val="24"/>
          <w:szCs w:val="24"/>
          <w:lang w:val="en-US"/>
        </w:rPr>
        <w:t>chromatography–tandem mass spectrometry</w:t>
      </w:r>
      <w:r>
        <w:rPr>
          <w:rFonts w:ascii="Arial" w:hAnsi="Arial" w:cs="Arial"/>
          <w:b/>
          <w:sz w:val="24"/>
          <w:szCs w:val="24"/>
          <w:lang w:val="en-US"/>
        </w:rPr>
        <w:t xml:space="preserve">: a case study of misidentification of a </w:t>
      </w:r>
      <w:r w:rsidRPr="00FD590D">
        <w:rPr>
          <w:rFonts w:ascii="Arial" w:hAnsi="Arial" w:cs="Arial"/>
          <w:b/>
          <w:sz w:val="24"/>
          <w:szCs w:val="24"/>
          <w:lang w:val="en-US"/>
        </w:rPr>
        <w:t xml:space="preserve">short-chain fatty acid </w:t>
      </w:r>
      <w:r>
        <w:rPr>
          <w:rFonts w:ascii="Arial" w:hAnsi="Arial" w:cs="Arial"/>
          <w:b/>
          <w:sz w:val="24"/>
          <w:szCs w:val="24"/>
          <w:lang w:val="en-US"/>
        </w:rPr>
        <w:t>with a</w:t>
      </w:r>
      <w:r w:rsidRPr="00FD590D">
        <w:rPr>
          <w:rFonts w:ascii="Arial" w:hAnsi="Arial" w:cs="Arial"/>
          <w:b/>
          <w:sz w:val="24"/>
          <w:szCs w:val="24"/>
          <w:lang w:val="en-US"/>
        </w:rPr>
        <w:t xml:space="preserve"> ketone bod</w:t>
      </w:r>
      <w:r>
        <w:rPr>
          <w:rFonts w:ascii="Arial" w:hAnsi="Arial" w:cs="Arial"/>
          <w:b/>
          <w:sz w:val="24"/>
          <w:szCs w:val="24"/>
          <w:lang w:val="en-US"/>
        </w:rPr>
        <w:t>y</w:t>
      </w:r>
      <w:r w:rsidR="001D1087">
        <w:rPr>
          <w:rFonts w:ascii="Arial" w:hAnsi="Arial" w:cs="Arial"/>
          <w:b/>
          <w:sz w:val="24"/>
          <w:szCs w:val="24"/>
          <w:lang w:val="en-US"/>
        </w:rPr>
        <w:t xml:space="preserve"> </w:t>
      </w:r>
    </w:p>
    <w:p w:rsidR="004D5657" w:rsidRDefault="004D5657" w:rsidP="003B609C">
      <w:pPr>
        <w:spacing w:after="0" w:line="360" w:lineRule="auto"/>
        <w:jc w:val="both"/>
        <w:rPr>
          <w:rFonts w:ascii="Arial" w:hAnsi="Arial" w:cs="Arial"/>
          <w:b/>
          <w:sz w:val="24"/>
          <w:szCs w:val="24"/>
          <w:lang w:val="en-US"/>
        </w:rPr>
      </w:pPr>
    </w:p>
    <w:p w:rsidR="004D5657" w:rsidRDefault="004D5657" w:rsidP="003B609C">
      <w:pPr>
        <w:spacing w:after="0" w:line="360" w:lineRule="auto"/>
        <w:jc w:val="center"/>
        <w:rPr>
          <w:rFonts w:ascii="Arial" w:hAnsi="Arial" w:cs="Arial"/>
          <w:sz w:val="24"/>
          <w:szCs w:val="24"/>
          <w:vertAlign w:val="superscript"/>
          <w:lang w:val="en-GB"/>
        </w:rPr>
      </w:pPr>
      <w:r w:rsidRPr="00B301B3">
        <w:rPr>
          <w:rFonts w:ascii="Arial" w:hAnsi="Arial" w:cs="Arial"/>
          <w:sz w:val="24"/>
          <w:szCs w:val="24"/>
          <w:lang w:val="en-GB"/>
        </w:rPr>
        <w:t>Mariel A. García-Rivera</w:t>
      </w:r>
      <w:r w:rsidRPr="00B301B3">
        <w:rPr>
          <w:rFonts w:ascii="Arial" w:hAnsi="Arial" w:cs="Arial"/>
          <w:sz w:val="24"/>
          <w:szCs w:val="24"/>
          <w:vertAlign w:val="superscript"/>
          <w:lang w:val="en-GB"/>
        </w:rPr>
        <w:t>1,2</w:t>
      </w:r>
      <w:r w:rsidRPr="00B301B3">
        <w:rPr>
          <w:rFonts w:ascii="Arial" w:hAnsi="Arial" w:cs="Arial"/>
          <w:sz w:val="24"/>
          <w:szCs w:val="24"/>
          <w:lang w:val="en-GB"/>
        </w:rPr>
        <w:t>, Álvaro Fernández-Ochoa</w:t>
      </w:r>
      <w:r w:rsidRPr="00B301B3">
        <w:rPr>
          <w:rFonts w:ascii="Arial" w:hAnsi="Arial" w:cs="Arial"/>
          <w:sz w:val="24"/>
          <w:szCs w:val="24"/>
          <w:vertAlign w:val="superscript"/>
          <w:lang w:val="en-GB"/>
        </w:rPr>
        <w:t>1,2</w:t>
      </w:r>
      <w:r w:rsidRPr="00B301B3">
        <w:rPr>
          <w:rFonts w:ascii="Arial" w:hAnsi="Arial" w:cs="Arial"/>
          <w:sz w:val="24"/>
          <w:szCs w:val="24"/>
          <w:lang w:val="en-GB"/>
        </w:rPr>
        <w:t xml:space="preserve">, </w:t>
      </w:r>
      <w:r>
        <w:rPr>
          <w:rFonts w:ascii="Arial" w:hAnsi="Arial" w:cs="Arial"/>
          <w:sz w:val="24"/>
          <w:szCs w:val="24"/>
          <w:lang w:val="en-GB"/>
        </w:rPr>
        <w:t>Ulrike Brüning</w:t>
      </w:r>
      <w:r w:rsidRPr="00B301B3">
        <w:rPr>
          <w:rFonts w:ascii="Arial" w:hAnsi="Arial" w:cs="Arial"/>
          <w:sz w:val="24"/>
          <w:szCs w:val="24"/>
          <w:vertAlign w:val="superscript"/>
          <w:lang w:val="en-GB"/>
        </w:rPr>
        <w:t>1,2</w:t>
      </w:r>
      <w:r w:rsidRPr="00B301B3">
        <w:rPr>
          <w:rFonts w:ascii="Arial" w:hAnsi="Arial" w:cs="Arial"/>
          <w:sz w:val="24"/>
          <w:szCs w:val="24"/>
          <w:lang w:val="en-GB"/>
        </w:rPr>
        <w:t>,</w:t>
      </w:r>
      <w:r>
        <w:rPr>
          <w:rFonts w:ascii="Arial" w:hAnsi="Arial" w:cs="Arial"/>
          <w:sz w:val="24"/>
          <w:szCs w:val="24"/>
          <w:lang w:val="en-GB"/>
        </w:rPr>
        <w:t xml:space="preserve"> Raphaela </w:t>
      </w:r>
      <w:r w:rsidRPr="0013704B">
        <w:rPr>
          <w:rFonts w:ascii="Arial" w:hAnsi="Arial" w:cs="Arial"/>
          <w:sz w:val="24"/>
          <w:szCs w:val="24"/>
          <w:lang w:val="en-GB"/>
        </w:rPr>
        <w:t>Fritsche-Guenther</w:t>
      </w:r>
      <w:r w:rsidRPr="00B301B3">
        <w:rPr>
          <w:rFonts w:ascii="Arial" w:hAnsi="Arial" w:cs="Arial"/>
          <w:sz w:val="24"/>
          <w:szCs w:val="24"/>
          <w:vertAlign w:val="superscript"/>
          <w:lang w:val="en-GB"/>
        </w:rPr>
        <w:t>1,2</w:t>
      </w:r>
      <w:r w:rsidRPr="00B301B3">
        <w:rPr>
          <w:rFonts w:ascii="Arial" w:hAnsi="Arial" w:cs="Arial"/>
          <w:sz w:val="24"/>
          <w:szCs w:val="24"/>
          <w:lang w:val="en-GB"/>
        </w:rPr>
        <w:t>, Jennifer A. Kirwan</w:t>
      </w:r>
      <w:r w:rsidRPr="00B301B3">
        <w:rPr>
          <w:rFonts w:ascii="Arial" w:hAnsi="Arial" w:cs="Arial"/>
          <w:sz w:val="24"/>
          <w:szCs w:val="24"/>
          <w:vertAlign w:val="superscript"/>
          <w:lang w:val="en-GB"/>
        </w:rPr>
        <w:t>1,2</w:t>
      </w:r>
    </w:p>
    <w:p w:rsidR="004D5657" w:rsidRPr="00B301B3" w:rsidRDefault="004D5657" w:rsidP="003B609C">
      <w:pPr>
        <w:spacing w:after="0" w:line="360" w:lineRule="auto"/>
        <w:jc w:val="center"/>
        <w:rPr>
          <w:rFonts w:ascii="Arial" w:hAnsi="Arial" w:cs="Arial"/>
          <w:sz w:val="24"/>
          <w:szCs w:val="24"/>
          <w:lang w:val="en-GB"/>
        </w:rPr>
      </w:pPr>
    </w:p>
    <w:p w:rsidR="004D5657" w:rsidRPr="0071573C" w:rsidRDefault="004D5657" w:rsidP="003B609C">
      <w:pPr>
        <w:spacing w:line="360" w:lineRule="auto"/>
        <w:jc w:val="both"/>
        <w:rPr>
          <w:rFonts w:ascii="Arial" w:hAnsi="Arial" w:cs="Arial"/>
          <w:sz w:val="24"/>
          <w:szCs w:val="24"/>
        </w:rPr>
      </w:pPr>
      <w:r>
        <w:rPr>
          <w:rFonts w:ascii="Arial" w:hAnsi="Arial" w:cs="Arial"/>
          <w:sz w:val="24"/>
          <w:szCs w:val="24"/>
          <w:lang w:val="en-US"/>
        </w:rPr>
        <w:t xml:space="preserve">1. </w:t>
      </w:r>
      <w:r w:rsidRPr="004923A5">
        <w:rPr>
          <w:rFonts w:ascii="Arial" w:hAnsi="Arial" w:cs="Arial"/>
          <w:sz w:val="24"/>
          <w:szCs w:val="24"/>
          <w:lang w:val="en-US"/>
        </w:rPr>
        <w:t>Berlin Institute of Health (BIH)</w:t>
      </w:r>
      <w:r>
        <w:rPr>
          <w:rFonts w:ascii="Arial" w:hAnsi="Arial" w:cs="Arial"/>
          <w:sz w:val="24"/>
          <w:szCs w:val="24"/>
          <w:lang w:val="en-US"/>
        </w:rPr>
        <w:t xml:space="preserve"> @</w:t>
      </w:r>
      <w:r w:rsidRPr="005F6EF3">
        <w:rPr>
          <w:rFonts w:ascii="Arial" w:hAnsi="Arial" w:cs="Arial"/>
          <w:sz w:val="24"/>
          <w:szCs w:val="24"/>
          <w:lang w:val="en-US"/>
        </w:rPr>
        <w:t xml:space="preserve"> </w:t>
      </w:r>
      <w:proofErr w:type="spellStart"/>
      <w:r w:rsidRPr="008746ED">
        <w:rPr>
          <w:rFonts w:ascii="Arial" w:hAnsi="Arial" w:cs="Arial"/>
          <w:sz w:val="24"/>
          <w:szCs w:val="24"/>
          <w:lang w:val="en-US"/>
        </w:rPr>
        <w:t>Charité</w:t>
      </w:r>
      <w:proofErr w:type="spellEnd"/>
      <w:r>
        <w:rPr>
          <w:rFonts w:ascii="Arial" w:hAnsi="Arial" w:cs="Arial"/>
          <w:sz w:val="24"/>
          <w:szCs w:val="24"/>
          <w:lang w:val="en-US"/>
        </w:rPr>
        <w:t xml:space="preserve">, Berlin, Germany. </w:t>
      </w:r>
      <w:r w:rsidRPr="00394C2B">
        <w:rPr>
          <w:rFonts w:ascii="Arial" w:hAnsi="Arial" w:cs="Arial"/>
          <w:sz w:val="24"/>
          <w:szCs w:val="24"/>
        </w:rPr>
        <w:t>Lindenberger Weg 80</w:t>
      </w:r>
      <w:r>
        <w:rPr>
          <w:rFonts w:ascii="Arial" w:hAnsi="Arial" w:cs="Arial"/>
          <w:sz w:val="24"/>
          <w:szCs w:val="24"/>
        </w:rPr>
        <w:t xml:space="preserve">, </w:t>
      </w:r>
      <w:r w:rsidRPr="001863FA">
        <w:rPr>
          <w:rFonts w:ascii="Arial" w:hAnsi="Arial" w:cs="Arial"/>
          <w:sz w:val="24"/>
          <w:szCs w:val="24"/>
        </w:rPr>
        <w:t>Käthe Beutler Haus</w:t>
      </w:r>
      <w:r>
        <w:rPr>
          <w:rFonts w:ascii="Arial" w:hAnsi="Arial" w:cs="Arial"/>
          <w:sz w:val="24"/>
          <w:szCs w:val="24"/>
        </w:rPr>
        <w:t xml:space="preserve"> (KBH)</w:t>
      </w:r>
      <w:r w:rsidRPr="00394C2B">
        <w:rPr>
          <w:rFonts w:ascii="Arial" w:hAnsi="Arial" w:cs="Arial"/>
          <w:sz w:val="24"/>
          <w:szCs w:val="24"/>
        </w:rPr>
        <w:t>, 13125 Berlin</w:t>
      </w:r>
      <w:r>
        <w:rPr>
          <w:rFonts w:ascii="Arial" w:hAnsi="Arial" w:cs="Arial"/>
          <w:sz w:val="24"/>
          <w:szCs w:val="24"/>
        </w:rPr>
        <w:t>, Germany</w:t>
      </w:r>
    </w:p>
    <w:p w:rsidR="004D5657" w:rsidRDefault="004D5657" w:rsidP="003B609C">
      <w:pPr>
        <w:spacing w:line="360" w:lineRule="auto"/>
        <w:jc w:val="both"/>
        <w:rPr>
          <w:rFonts w:ascii="Arial" w:hAnsi="Arial" w:cs="Arial"/>
          <w:sz w:val="24"/>
          <w:szCs w:val="24"/>
        </w:rPr>
      </w:pPr>
      <w:r>
        <w:rPr>
          <w:rFonts w:ascii="Arial" w:hAnsi="Arial" w:cs="Arial"/>
          <w:sz w:val="24"/>
          <w:szCs w:val="24"/>
          <w:lang w:val="en-US"/>
        </w:rPr>
        <w:t xml:space="preserve">2. </w:t>
      </w:r>
      <w:r w:rsidRPr="004923A5">
        <w:rPr>
          <w:rFonts w:ascii="Arial" w:hAnsi="Arial" w:cs="Arial"/>
          <w:sz w:val="24"/>
          <w:szCs w:val="24"/>
          <w:lang w:val="en-US"/>
        </w:rPr>
        <w:t xml:space="preserve">Max-Delbrück-Center </w:t>
      </w:r>
      <w:proofErr w:type="spellStart"/>
      <w:r w:rsidRPr="004923A5">
        <w:rPr>
          <w:rFonts w:ascii="Arial" w:hAnsi="Arial" w:cs="Arial"/>
          <w:sz w:val="24"/>
          <w:szCs w:val="24"/>
          <w:lang w:val="en-US"/>
        </w:rPr>
        <w:t>Max-Delbrück-Center</w:t>
      </w:r>
      <w:proofErr w:type="spellEnd"/>
      <w:r>
        <w:rPr>
          <w:rFonts w:ascii="Arial" w:hAnsi="Arial" w:cs="Arial"/>
          <w:sz w:val="24"/>
          <w:szCs w:val="24"/>
          <w:lang w:val="en-US"/>
        </w:rPr>
        <w:t xml:space="preserve"> </w:t>
      </w:r>
      <w:r w:rsidRPr="004923A5">
        <w:rPr>
          <w:rFonts w:ascii="Arial" w:hAnsi="Arial" w:cs="Arial"/>
          <w:sz w:val="24"/>
          <w:szCs w:val="24"/>
          <w:lang w:val="en-US"/>
        </w:rPr>
        <w:t>(MDC) for Molecular Medicine in the Helmholtz Association</w:t>
      </w:r>
      <w:r>
        <w:rPr>
          <w:rFonts w:ascii="Arial" w:hAnsi="Arial" w:cs="Arial"/>
          <w:sz w:val="24"/>
          <w:szCs w:val="24"/>
          <w:lang w:val="en-US"/>
        </w:rPr>
        <w:t xml:space="preserve">. </w:t>
      </w:r>
      <w:r w:rsidRPr="00536A14">
        <w:rPr>
          <w:rFonts w:ascii="Arial" w:hAnsi="Arial" w:cs="Arial"/>
          <w:sz w:val="24"/>
          <w:szCs w:val="24"/>
        </w:rPr>
        <w:t>Robert Rössle Strasse 10, House 64, Berlin 13125, Germany</w:t>
      </w:r>
    </w:p>
    <w:p w:rsidR="004D5657" w:rsidRPr="00536A14" w:rsidRDefault="004D5657" w:rsidP="003B609C">
      <w:pPr>
        <w:spacing w:line="360" w:lineRule="auto"/>
        <w:jc w:val="both"/>
        <w:rPr>
          <w:rFonts w:ascii="Arial" w:hAnsi="Arial" w:cs="Arial"/>
          <w:sz w:val="24"/>
          <w:szCs w:val="24"/>
        </w:rPr>
      </w:pPr>
    </w:p>
    <w:sdt>
      <w:sdtPr>
        <w:rPr>
          <w:rFonts w:ascii="Arial" w:eastAsiaTheme="minorHAnsi" w:hAnsi="Arial" w:cs="Arial"/>
          <w:color w:val="auto"/>
          <w:sz w:val="22"/>
          <w:szCs w:val="22"/>
          <w:lang w:val="de-DE"/>
        </w:rPr>
        <w:id w:val="244614822"/>
        <w:docPartObj>
          <w:docPartGallery w:val="Table of Contents"/>
          <w:docPartUnique/>
        </w:docPartObj>
      </w:sdtPr>
      <w:sdtEndPr>
        <w:rPr>
          <w:bCs/>
          <w:noProof/>
        </w:rPr>
      </w:sdtEndPr>
      <w:sdtContent>
        <w:p w:rsidR="004D5657" w:rsidRPr="005C61FE" w:rsidRDefault="004D5657" w:rsidP="003B609C">
          <w:pPr>
            <w:pStyle w:val="TOCHeading"/>
            <w:spacing w:line="276" w:lineRule="auto"/>
            <w:rPr>
              <w:rFonts w:ascii="Arial" w:hAnsi="Arial" w:cs="Arial"/>
              <w:i/>
              <w:color w:val="auto"/>
              <w:sz w:val="24"/>
              <w:szCs w:val="24"/>
            </w:rPr>
          </w:pPr>
          <w:r w:rsidRPr="005C61FE">
            <w:rPr>
              <w:rFonts w:ascii="Arial" w:hAnsi="Arial" w:cs="Arial"/>
              <w:i/>
              <w:color w:val="auto"/>
              <w:sz w:val="24"/>
              <w:szCs w:val="24"/>
            </w:rPr>
            <w:t>Table of Contents</w:t>
          </w:r>
        </w:p>
        <w:p w:rsidR="004D5657" w:rsidRPr="00672CDC" w:rsidRDefault="004D5657" w:rsidP="003B609C">
          <w:pPr>
            <w:pStyle w:val="TOC1"/>
            <w:tabs>
              <w:tab w:val="right" w:leader="underscore" w:pos="9062"/>
            </w:tabs>
            <w:spacing w:line="276" w:lineRule="auto"/>
            <w:rPr>
              <w:rFonts w:ascii="Arial" w:eastAsiaTheme="minorEastAsia" w:hAnsi="Arial" w:cs="Arial"/>
              <w:b w:val="0"/>
              <w:bCs w:val="0"/>
              <w:i w:val="0"/>
              <w:iCs w:val="0"/>
              <w:noProof/>
              <w:sz w:val="22"/>
              <w:szCs w:val="22"/>
              <w:lang w:eastAsia="de-DE"/>
            </w:rPr>
          </w:pPr>
          <w:r w:rsidRPr="005C61FE">
            <w:rPr>
              <w:rFonts w:ascii="Arial" w:hAnsi="Arial" w:cs="Arial"/>
              <w:b w:val="0"/>
              <w:bCs w:val="0"/>
              <w:i w:val="0"/>
              <w:iCs w:val="0"/>
              <w:sz w:val="22"/>
              <w:szCs w:val="22"/>
            </w:rPr>
            <w:fldChar w:fldCharType="begin"/>
          </w:r>
          <w:r w:rsidRPr="005C61FE">
            <w:rPr>
              <w:rFonts w:ascii="Arial" w:hAnsi="Arial" w:cs="Arial"/>
              <w:b w:val="0"/>
              <w:bCs w:val="0"/>
              <w:i w:val="0"/>
              <w:iCs w:val="0"/>
              <w:sz w:val="22"/>
              <w:szCs w:val="22"/>
            </w:rPr>
            <w:instrText xml:space="preserve"> TOC \h \z \t "Subtitle,1" </w:instrText>
          </w:r>
          <w:r w:rsidRPr="005C61FE">
            <w:rPr>
              <w:rFonts w:ascii="Arial" w:hAnsi="Arial" w:cs="Arial"/>
              <w:b w:val="0"/>
              <w:bCs w:val="0"/>
              <w:i w:val="0"/>
              <w:iCs w:val="0"/>
              <w:sz w:val="22"/>
              <w:szCs w:val="22"/>
            </w:rPr>
            <w:fldChar w:fldCharType="separate"/>
          </w:r>
          <w:hyperlink w:anchor="_Toc84585300" w:history="1">
            <w:r w:rsidRPr="00672CDC">
              <w:rPr>
                <w:rStyle w:val="Hyperlink"/>
                <w:rFonts w:ascii="Arial" w:hAnsi="Arial" w:cs="Arial"/>
                <w:b w:val="0"/>
                <w:i w:val="0"/>
                <w:noProof/>
                <w:sz w:val="22"/>
                <w:szCs w:val="22"/>
              </w:rPr>
              <w:t>Abbreviations</w:t>
            </w:r>
            <w:r w:rsidRPr="00672CDC">
              <w:rPr>
                <w:rFonts w:ascii="Arial" w:hAnsi="Arial" w:cs="Arial"/>
                <w:b w:val="0"/>
                <w:i w:val="0"/>
                <w:noProof/>
                <w:webHidden/>
                <w:sz w:val="22"/>
                <w:szCs w:val="22"/>
              </w:rPr>
              <w:tab/>
            </w:r>
            <w:r w:rsidRPr="00672CDC">
              <w:rPr>
                <w:rFonts w:ascii="Arial" w:hAnsi="Arial" w:cs="Arial"/>
                <w:b w:val="0"/>
                <w:i w:val="0"/>
                <w:noProof/>
                <w:webHidden/>
                <w:sz w:val="22"/>
                <w:szCs w:val="22"/>
              </w:rPr>
              <w:fldChar w:fldCharType="begin"/>
            </w:r>
            <w:r w:rsidRPr="00672CDC">
              <w:rPr>
                <w:rFonts w:ascii="Arial" w:hAnsi="Arial" w:cs="Arial"/>
                <w:b w:val="0"/>
                <w:i w:val="0"/>
                <w:noProof/>
                <w:webHidden/>
                <w:sz w:val="22"/>
                <w:szCs w:val="22"/>
              </w:rPr>
              <w:instrText xml:space="preserve"> PAGEREF _Toc84585300 \h </w:instrText>
            </w:r>
            <w:r w:rsidRPr="00672CDC">
              <w:rPr>
                <w:rFonts w:ascii="Arial" w:hAnsi="Arial" w:cs="Arial"/>
                <w:b w:val="0"/>
                <w:i w:val="0"/>
                <w:noProof/>
                <w:webHidden/>
                <w:sz w:val="22"/>
                <w:szCs w:val="22"/>
              </w:rPr>
            </w:r>
            <w:r w:rsidRPr="00672CDC">
              <w:rPr>
                <w:rFonts w:ascii="Arial" w:hAnsi="Arial" w:cs="Arial"/>
                <w:b w:val="0"/>
                <w:i w:val="0"/>
                <w:noProof/>
                <w:webHidden/>
                <w:sz w:val="22"/>
                <w:szCs w:val="22"/>
              </w:rPr>
              <w:fldChar w:fldCharType="separate"/>
            </w:r>
            <w:r>
              <w:rPr>
                <w:rFonts w:ascii="Arial" w:hAnsi="Arial" w:cs="Arial"/>
                <w:b w:val="0"/>
                <w:i w:val="0"/>
                <w:noProof/>
                <w:webHidden/>
                <w:sz w:val="22"/>
                <w:szCs w:val="22"/>
              </w:rPr>
              <w:t>2</w:t>
            </w:r>
            <w:r w:rsidRPr="00672CDC">
              <w:rPr>
                <w:rFonts w:ascii="Arial" w:hAnsi="Arial" w:cs="Arial"/>
                <w:b w:val="0"/>
                <w:i w:val="0"/>
                <w:noProof/>
                <w:webHidden/>
                <w:sz w:val="22"/>
                <w:szCs w:val="22"/>
              </w:rPr>
              <w:fldChar w:fldCharType="end"/>
            </w:r>
          </w:hyperlink>
        </w:p>
        <w:p w:rsidR="004D5657" w:rsidRPr="00672CDC" w:rsidRDefault="003A543A" w:rsidP="003B609C">
          <w:pPr>
            <w:pStyle w:val="TOC1"/>
            <w:tabs>
              <w:tab w:val="right" w:leader="underscore" w:pos="9062"/>
            </w:tabs>
            <w:spacing w:line="276" w:lineRule="auto"/>
            <w:rPr>
              <w:rFonts w:ascii="Arial" w:eastAsiaTheme="minorEastAsia" w:hAnsi="Arial" w:cs="Arial"/>
              <w:b w:val="0"/>
              <w:bCs w:val="0"/>
              <w:i w:val="0"/>
              <w:iCs w:val="0"/>
              <w:noProof/>
              <w:sz w:val="22"/>
              <w:szCs w:val="22"/>
              <w:lang w:eastAsia="de-DE"/>
            </w:rPr>
          </w:pPr>
          <w:hyperlink w:anchor="_Toc84585301" w:history="1">
            <w:r w:rsidR="004D5657" w:rsidRPr="00672CDC">
              <w:rPr>
                <w:rStyle w:val="Hyperlink"/>
                <w:rFonts w:ascii="Arial" w:hAnsi="Arial" w:cs="Arial"/>
                <w:b w:val="0"/>
                <w:i w:val="0"/>
                <w:noProof/>
                <w:sz w:val="22"/>
                <w:szCs w:val="22"/>
              </w:rPr>
              <w:t>Table S1. Q1/Q3 transitions for all analytical ISTDs</w:t>
            </w:r>
            <w:r w:rsidR="004D5657" w:rsidRPr="00672CDC">
              <w:rPr>
                <w:rFonts w:ascii="Arial" w:hAnsi="Arial" w:cs="Arial"/>
                <w:b w:val="0"/>
                <w:i w:val="0"/>
                <w:noProof/>
                <w:webHidden/>
                <w:sz w:val="22"/>
                <w:szCs w:val="22"/>
              </w:rPr>
              <w:tab/>
            </w:r>
            <w:r w:rsidR="004D5657" w:rsidRPr="00672CDC">
              <w:rPr>
                <w:rFonts w:ascii="Arial" w:hAnsi="Arial" w:cs="Arial"/>
                <w:b w:val="0"/>
                <w:i w:val="0"/>
                <w:noProof/>
                <w:webHidden/>
                <w:sz w:val="22"/>
                <w:szCs w:val="22"/>
              </w:rPr>
              <w:fldChar w:fldCharType="begin"/>
            </w:r>
            <w:r w:rsidR="004D5657" w:rsidRPr="00672CDC">
              <w:rPr>
                <w:rFonts w:ascii="Arial" w:hAnsi="Arial" w:cs="Arial"/>
                <w:b w:val="0"/>
                <w:i w:val="0"/>
                <w:noProof/>
                <w:webHidden/>
                <w:sz w:val="22"/>
                <w:szCs w:val="22"/>
              </w:rPr>
              <w:instrText xml:space="preserve"> PAGEREF _Toc84585301 \h </w:instrText>
            </w:r>
            <w:r w:rsidR="004D5657" w:rsidRPr="00672CDC">
              <w:rPr>
                <w:rFonts w:ascii="Arial" w:hAnsi="Arial" w:cs="Arial"/>
                <w:b w:val="0"/>
                <w:i w:val="0"/>
                <w:noProof/>
                <w:webHidden/>
                <w:sz w:val="22"/>
                <w:szCs w:val="22"/>
              </w:rPr>
            </w:r>
            <w:r w:rsidR="004D5657" w:rsidRPr="00672CDC">
              <w:rPr>
                <w:rFonts w:ascii="Arial" w:hAnsi="Arial" w:cs="Arial"/>
                <w:b w:val="0"/>
                <w:i w:val="0"/>
                <w:noProof/>
                <w:webHidden/>
                <w:sz w:val="22"/>
                <w:szCs w:val="22"/>
              </w:rPr>
              <w:fldChar w:fldCharType="separate"/>
            </w:r>
            <w:r w:rsidR="004D5657">
              <w:rPr>
                <w:rFonts w:ascii="Arial" w:hAnsi="Arial" w:cs="Arial"/>
                <w:b w:val="0"/>
                <w:i w:val="0"/>
                <w:noProof/>
                <w:webHidden/>
                <w:sz w:val="22"/>
                <w:szCs w:val="22"/>
              </w:rPr>
              <w:t>2</w:t>
            </w:r>
            <w:r w:rsidR="004D5657" w:rsidRPr="00672CDC">
              <w:rPr>
                <w:rFonts w:ascii="Arial" w:hAnsi="Arial" w:cs="Arial"/>
                <w:b w:val="0"/>
                <w:i w:val="0"/>
                <w:noProof/>
                <w:webHidden/>
                <w:sz w:val="22"/>
                <w:szCs w:val="22"/>
              </w:rPr>
              <w:fldChar w:fldCharType="end"/>
            </w:r>
          </w:hyperlink>
        </w:p>
        <w:p w:rsidR="004D5657" w:rsidRPr="00672CDC" w:rsidRDefault="003A543A" w:rsidP="003B609C">
          <w:pPr>
            <w:pStyle w:val="TOC1"/>
            <w:tabs>
              <w:tab w:val="right" w:leader="underscore" w:pos="9062"/>
            </w:tabs>
            <w:spacing w:line="276" w:lineRule="auto"/>
            <w:rPr>
              <w:rFonts w:ascii="Arial" w:eastAsiaTheme="minorEastAsia" w:hAnsi="Arial" w:cs="Arial"/>
              <w:b w:val="0"/>
              <w:bCs w:val="0"/>
              <w:i w:val="0"/>
              <w:iCs w:val="0"/>
              <w:noProof/>
              <w:sz w:val="22"/>
              <w:szCs w:val="22"/>
              <w:lang w:eastAsia="de-DE"/>
            </w:rPr>
          </w:pPr>
          <w:hyperlink w:anchor="_Toc84585302" w:history="1">
            <w:r w:rsidR="004D5657" w:rsidRPr="00672CDC">
              <w:rPr>
                <w:rStyle w:val="Hyperlink"/>
                <w:rFonts w:ascii="Arial" w:hAnsi="Arial" w:cs="Arial"/>
                <w:b w:val="0"/>
                <w:i w:val="0"/>
                <w:noProof/>
                <w:sz w:val="22"/>
                <w:szCs w:val="22"/>
              </w:rPr>
              <w:t>Partial method validation</w:t>
            </w:r>
            <w:r w:rsidR="004D5657" w:rsidRPr="00672CDC">
              <w:rPr>
                <w:rFonts w:ascii="Arial" w:hAnsi="Arial" w:cs="Arial"/>
                <w:b w:val="0"/>
                <w:i w:val="0"/>
                <w:noProof/>
                <w:webHidden/>
                <w:sz w:val="22"/>
                <w:szCs w:val="22"/>
              </w:rPr>
              <w:tab/>
            </w:r>
            <w:r w:rsidR="004D5657" w:rsidRPr="00672CDC">
              <w:rPr>
                <w:rFonts w:ascii="Arial" w:hAnsi="Arial" w:cs="Arial"/>
                <w:b w:val="0"/>
                <w:i w:val="0"/>
                <w:noProof/>
                <w:webHidden/>
                <w:sz w:val="22"/>
                <w:szCs w:val="22"/>
              </w:rPr>
              <w:fldChar w:fldCharType="begin"/>
            </w:r>
            <w:r w:rsidR="004D5657" w:rsidRPr="00672CDC">
              <w:rPr>
                <w:rFonts w:ascii="Arial" w:hAnsi="Arial" w:cs="Arial"/>
                <w:b w:val="0"/>
                <w:i w:val="0"/>
                <w:noProof/>
                <w:webHidden/>
                <w:sz w:val="22"/>
                <w:szCs w:val="22"/>
              </w:rPr>
              <w:instrText xml:space="preserve"> PAGEREF _Toc84585302 \h </w:instrText>
            </w:r>
            <w:r w:rsidR="004D5657" w:rsidRPr="00672CDC">
              <w:rPr>
                <w:rFonts w:ascii="Arial" w:hAnsi="Arial" w:cs="Arial"/>
                <w:b w:val="0"/>
                <w:i w:val="0"/>
                <w:noProof/>
                <w:webHidden/>
                <w:sz w:val="22"/>
                <w:szCs w:val="22"/>
              </w:rPr>
            </w:r>
            <w:r w:rsidR="004D5657" w:rsidRPr="00672CDC">
              <w:rPr>
                <w:rFonts w:ascii="Arial" w:hAnsi="Arial" w:cs="Arial"/>
                <w:b w:val="0"/>
                <w:i w:val="0"/>
                <w:noProof/>
                <w:webHidden/>
                <w:sz w:val="22"/>
                <w:szCs w:val="22"/>
              </w:rPr>
              <w:fldChar w:fldCharType="separate"/>
            </w:r>
            <w:r w:rsidR="004D5657">
              <w:rPr>
                <w:rFonts w:ascii="Arial" w:hAnsi="Arial" w:cs="Arial"/>
                <w:b w:val="0"/>
                <w:i w:val="0"/>
                <w:noProof/>
                <w:webHidden/>
                <w:sz w:val="22"/>
                <w:szCs w:val="22"/>
              </w:rPr>
              <w:t>2</w:t>
            </w:r>
            <w:r w:rsidR="004D5657" w:rsidRPr="00672CDC">
              <w:rPr>
                <w:rFonts w:ascii="Arial" w:hAnsi="Arial" w:cs="Arial"/>
                <w:b w:val="0"/>
                <w:i w:val="0"/>
                <w:noProof/>
                <w:webHidden/>
                <w:sz w:val="22"/>
                <w:szCs w:val="22"/>
              </w:rPr>
              <w:fldChar w:fldCharType="end"/>
            </w:r>
          </w:hyperlink>
        </w:p>
        <w:p w:rsidR="004D5657" w:rsidRPr="00672CDC" w:rsidRDefault="003A543A" w:rsidP="003B609C">
          <w:pPr>
            <w:pStyle w:val="TOC1"/>
            <w:tabs>
              <w:tab w:val="right" w:leader="underscore" w:pos="9062"/>
            </w:tabs>
            <w:spacing w:line="276" w:lineRule="auto"/>
            <w:rPr>
              <w:rFonts w:ascii="Arial" w:eastAsiaTheme="minorEastAsia" w:hAnsi="Arial" w:cs="Arial"/>
              <w:b w:val="0"/>
              <w:bCs w:val="0"/>
              <w:i w:val="0"/>
              <w:iCs w:val="0"/>
              <w:noProof/>
              <w:sz w:val="22"/>
              <w:szCs w:val="22"/>
              <w:lang w:eastAsia="de-DE"/>
            </w:rPr>
          </w:pPr>
          <w:hyperlink w:anchor="_Toc84585303" w:history="1">
            <w:r w:rsidR="004D5657" w:rsidRPr="00672CDC">
              <w:rPr>
                <w:rStyle w:val="Hyperlink"/>
                <w:rFonts w:ascii="Arial" w:hAnsi="Arial" w:cs="Arial"/>
                <w:b w:val="0"/>
                <w:i w:val="0"/>
                <w:noProof/>
                <w:sz w:val="22"/>
                <w:szCs w:val="22"/>
              </w:rPr>
              <w:t>Table S2. Method validation parameters for each SCFA and ketone body</w:t>
            </w:r>
            <w:r w:rsidR="004D5657" w:rsidRPr="00672CDC">
              <w:rPr>
                <w:rFonts w:ascii="Arial" w:hAnsi="Arial" w:cs="Arial"/>
                <w:b w:val="0"/>
                <w:i w:val="0"/>
                <w:noProof/>
                <w:webHidden/>
                <w:sz w:val="22"/>
                <w:szCs w:val="22"/>
              </w:rPr>
              <w:tab/>
            </w:r>
            <w:r w:rsidR="004D5657" w:rsidRPr="00672CDC">
              <w:rPr>
                <w:rFonts w:ascii="Arial" w:hAnsi="Arial" w:cs="Arial"/>
                <w:b w:val="0"/>
                <w:i w:val="0"/>
                <w:noProof/>
                <w:webHidden/>
                <w:sz w:val="22"/>
                <w:szCs w:val="22"/>
              </w:rPr>
              <w:fldChar w:fldCharType="begin"/>
            </w:r>
            <w:r w:rsidR="004D5657" w:rsidRPr="00672CDC">
              <w:rPr>
                <w:rFonts w:ascii="Arial" w:hAnsi="Arial" w:cs="Arial"/>
                <w:b w:val="0"/>
                <w:i w:val="0"/>
                <w:noProof/>
                <w:webHidden/>
                <w:sz w:val="22"/>
                <w:szCs w:val="22"/>
              </w:rPr>
              <w:instrText xml:space="preserve"> PAGEREF _Toc84585303 \h </w:instrText>
            </w:r>
            <w:r w:rsidR="004D5657" w:rsidRPr="00672CDC">
              <w:rPr>
                <w:rFonts w:ascii="Arial" w:hAnsi="Arial" w:cs="Arial"/>
                <w:b w:val="0"/>
                <w:i w:val="0"/>
                <w:noProof/>
                <w:webHidden/>
                <w:sz w:val="22"/>
                <w:szCs w:val="22"/>
              </w:rPr>
            </w:r>
            <w:r w:rsidR="004D5657" w:rsidRPr="00672CDC">
              <w:rPr>
                <w:rFonts w:ascii="Arial" w:hAnsi="Arial" w:cs="Arial"/>
                <w:b w:val="0"/>
                <w:i w:val="0"/>
                <w:noProof/>
                <w:webHidden/>
                <w:sz w:val="22"/>
                <w:szCs w:val="22"/>
              </w:rPr>
              <w:fldChar w:fldCharType="separate"/>
            </w:r>
            <w:r w:rsidR="004D5657">
              <w:rPr>
                <w:rFonts w:ascii="Arial" w:hAnsi="Arial" w:cs="Arial"/>
                <w:b w:val="0"/>
                <w:i w:val="0"/>
                <w:noProof/>
                <w:webHidden/>
                <w:sz w:val="22"/>
                <w:szCs w:val="22"/>
              </w:rPr>
              <w:t>4</w:t>
            </w:r>
            <w:r w:rsidR="004D5657" w:rsidRPr="00672CDC">
              <w:rPr>
                <w:rFonts w:ascii="Arial" w:hAnsi="Arial" w:cs="Arial"/>
                <w:b w:val="0"/>
                <w:i w:val="0"/>
                <w:noProof/>
                <w:webHidden/>
                <w:sz w:val="22"/>
                <w:szCs w:val="22"/>
              </w:rPr>
              <w:fldChar w:fldCharType="end"/>
            </w:r>
          </w:hyperlink>
        </w:p>
        <w:p w:rsidR="004D5657" w:rsidRPr="00672CDC" w:rsidRDefault="003A543A" w:rsidP="003B609C">
          <w:pPr>
            <w:pStyle w:val="TOC1"/>
            <w:tabs>
              <w:tab w:val="right" w:leader="underscore" w:pos="9062"/>
            </w:tabs>
            <w:spacing w:line="276" w:lineRule="auto"/>
            <w:rPr>
              <w:rFonts w:ascii="Arial" w:eastAsiaTheme="minorEastAsia" w:hAnsi="Arial" w:cs="Arial"/>
              <w:b w:val="0"/>
              <w:bCs w:val="0"/>
              <w:i w:val="0"/>
              <w:iCs w:val="0"/>
              <w:noProof/>
              <w:sz w:val="22"/>
              <w:szCs w:val="22"/>
              <w:lang w:eastAsia="de-DE"/>
            </w:rPr>
          </w:pPr>
          <w:hyperlink w:anchor="_Toc84585304" w:history="1">
            <w:r w:rsidR="004D5657" w:rsidRPr="00672CDC">
              <w:rPr>
                <w:rStyle w:val="Hyperlink"/>
                <w:rFonts w:ascii="Arial" w:hAnsi="Arial" w:cs="Arial"/>
                <w:b w:val="0"/>
                <w:i w:val="0"/>
                <w:noProof/>
                <w:sz w:val="22"/>
                <w:szCs w:val="22"/>
              </w:rPr>
              <w:t>Table S3. Estimated concentration in mouse plasma</w:t>
            </w:r>
            <w:r w:rsidR="004D5657" w:rsidRPr="00672CDC">
              <w:rPr>
                <w:rFonts w:ascii="Arial" w:hAnsi="Arial" w:cs="Arial"/>
                <w:b w:val="0"/>
                <w:i w:val="0"/>
                <w:noProof/>
                <w:webHidden/>
                <w:sz w:val="22"/>
                <w:szCs w:val="22"/>
              </w:rPr>
              <w:tab/>
            </w:r>
            <w:r w:rsidR="004D5657" w:rsidRPr="00672CDC">
              <w:rPr>
                <w:rFonts w:ascii="Arial" w:hAnsi="Arial" w:cs="Arial"/>
                <w:b w:val="0"/>
                <w:i w:val="0"/>
                <w:noProof/>
                <w:webHidden/>
                <w:sz w:val="22"/>
                <w:szCs w:val="22"/>
              </w:rPr>
              <w:fldChar w:fldCharType="begin"/>
            </w:r>
            <w:r w:rsidR="004D5657" w:rsidRPr="00672CDC">
              <w:rPr>
                <w:rFonts w:ascii="Arial" w:hAnsi="Arial" w:cs="Arial"/>
                <w:b w:val="0"/>
                <w:i w:val="0"/>
                <w:noProof/>
                <w:webHidden/>
                <w:sz w:val="22"/>
                <w:szCs w:val="22"/>
              </w:rPr>
              <w:instrText xml:space="preserve"> PAGEREF _Toc84585304 \h </w:instrText>
            </w:r>
            <w:r w:rsidR="004D5657" w:rsidRPr="00672CDC">
              <w:rPr>
                <w:rFonts w:ascii="Arial" w:hAnsi="Arial" w:cs="Arial"/>
                <w:b w:val="0"/>
                <w:i w:val="0"/>
                <w:noProof/>
                <w:webHidden/>
                <w:sz w:val="22"/>
                <w:szCs w:val="22"/>
              </w:rPr>
            </w:r>
            <w:r w:rsidR="004D5657" w:rsidRPr="00672CDC">
              <w:rPr>
                <w:rFonts w:ascii="Arial" w:hAnsi="Arial" w:cs="Arial"/>
                <w:b w:val="0"/>
                <w:i w:val="0"/>
                <w:noProof/>
                <w:webHidden/>
                <w:sz w:val="22"/>
                <w:szCs w:val="22"/>
              </w:rPr>
              <w:fldChar w:fldCharType="separate"/>
            </w:r>
            <w:r w:rsidR="004D5657">
              <w:rPr>
                <w:rFonts w:ascii="Arial" w:hAnsi="Arial" w:cs="Arial"/>
                <w:b w:val="0"/>
                <w:i w:val="0"/>
                <w:noProof/>
                <w:webHidden/>
                <w:sz w:val="22"/>
                <w:szCs w:val="22"/>
              </w:rPr>
              <w:t>5</w:t>
            </w:r>
            <w:r w:rsidR="004D5657" w:rsidRPr="00672CDC">
              <w:rPr>
                <w:rFonts w:ascii="Arial" w:hAnsi="Arial" w:cs="Arial"/>
                <w:b w:val="0"/>
                <w:i w:val="0"/>
                <w:noProof/>
                <w:webHidden/>
                <w:sz w:val="22"/>
                <w:szCs w:val="22"/>
              </w:rPr>
              <w:fldChar w:fldCharType="end"/>
            </w:r>
          </w:hyperlink>
        </w:p>
        <w:p w:rsidR="004D5657" w:rsidRPr="00672CDC" w:rsidRDefault="003A543A" w:rsidP="003B609C">
          <w:pPr>
            <w:pStyle w:val="TOC1"/>
            <w:tabs>
              <w:tab w:val="right" w:leader="underscore" w:pos="9062"/>
            </w:tabs>
            <w:spacing w:line="276" w:lineRule="auto"/>
            <w:rPr>
              <w:rFonts w:ascii="Arial" w:eastAsiaTheme="minorEastAsia" w:hAnsi="Arial" w:cs="Arial"/>
              <w:b w:val="0"/>
              <w:bCs w:val="0"/>
              <w:i w:val="0"/>
              <w:iCs w:val="0"/>
              <w:noProof/>
              <w:sz w:val="22"/>
              <w:szCs w:val="22"/>
              <w:lang w:eastAsia="de-DE"/>
            </w:rPr>
          </w:pPr>
          <w:hyperlink w:anchor="_Toc84585305" w:history="1">
            <w:r w:rsidR="004D5657" w:rsidRPr="00672CDC">
              <w:rPr>
                <w:rStyle w:val="Hyperlink"/>
                <w:rFonts w:ascii="Arial" w:hAnsi="Arial" w:cs="Arial"/>
                <w:b w:val="0"/>
                <w:i w:val="0"/>
                <w:noProof/>
                <w:sz w:val="22"/>
                <w:szCs w:val="22"/>
              </w:rPr>
              <w:t xml:space="preserve">Table S4. Peak areas of AA-3NPH signal (transition 194 </w:t>
            </w:r>
            <w:r w:rsidR="004D5657" w:rsidRPr="00672CDC">
              <w:rPr>
                <w:rStyle w:val="Hyperlink"/>
                <w:rFonts w:ascii="Arial" w:hAnsi="Arial" w:cs="Arial"/>
                <w:b w:val="0"/>
                <w:i w:val="0"/>
                <w:noProof/>
                <w:sz w:val="22"/>
                <w:szCs w:val="22"/>
              </w:rPr>
              <w:sym w:font="Wingdings" w:char="F0E0"/>
            </w:r>
            <w:r w:rsidR="004D5657" w:rsidRPr="00672CDC">
              <w:rPr>
                <w:rStyle w:val="Hyperlink"/>
                <w:rFonts w:ascii="Arial" w:hAnsi="Arial" w:cs="Arial"/>
                <w:b w:val="0"/>
                <w:i w:val="0"/>
                <w:noProof/>
                <w:sz w:val="22"/>
                <w:szCs w:val="22"/>
              </w:rPr>
              <w:t xml:space="preserve"> 152) in commercial mouse plasma</w:t>
            </w:r>
            <w:r w:rsidR="004D5657" w:rsidRPr="00672CDC">
              <w:rPr>
                <w:rFonts w:ascii="Arial" w:hAnsi="Arial" w:cs="Arial"/>
                <w:b w:val="0"/>
                <w:i w:val="0"/>
                <w:noProof/>
                <w:webHidden/>
                <w:sz w:val="22"/>
                <w:szCs w:val="22"/>
              </w:rPr>
              <w:tab/>
            </w:r>
            <w:r w:rsidR="004D5657" w:rsidRPr="00672CDC">
              <w:rPr>
                <w:rFonts w:ascii="Arial" w:hAnsi="Arial" w:cs="Arial"/>
                <w:b w:val="0"/>
                <w:i w:val="0"/>
                <w:noProof/>
                <w:webHidden/>
                <w:sz w:val="22"/>
                <w:szCs w:val="22"/>
              </w:rPr>
              <w:fldChar w:fldCharType="begin"/>
            </w:r>
            <w:r w:rsidR="004D5657" w:rsidRPr="00672CDC">
              <w:rPr>
                <w:rFonts w:ascii="Arial" w:hAnsi="Arial" w:cs="Arial"/>
                <w:b w:val="0"/>
                <w:i w:val="0"/>
                <w:noProof/>
                <w:webHidden/>
                <w:sz w:val="22"/>
                <w:szCs w:val="22"/>
              </w:rPr>
              <w:instrText xml:space="preserve"> PAGEREF _Toc84585305 \h </w:instrText>
            </w:r>
            <w:r w:rsidR="004D5657" w:rsidRPr="00672CDC">
              <w:rPr>
                <w:rFonts w:ascii="Arial" w:hAnsi="Arial" w:cs="Arial"/>
                <w:b w:val="0"/>
                <w:i w:val="0"/>
                <w:noProof/>
                <w:webHidden/>
                <w:sz w:val="22"/>
                <w:szCs w:val="22"/>
              </w:rPr>
            </w:r>
            <w:r w:rsidR="004D5657" w:rsidRPr="00672CDC">
              <w:rPr>
                <w:rFonts w:ascii="Arial" w:hAnsi="Arial" w:cs="Arial"/>
                <w:b w:val="0"/>
                <w:i w:val="0"/>
                <w:noProof/>
                <w:webHidden/>
                <w:sz w:val="22"/>
                <w:szCs w:val="22"/>
              </w:rPr>
              <w:fldChar w:fldCharType="separate"/>
            </w:r>
            <w:r w:rsidR="004D5657">
              <w:rPr>
                <w:rFonts w:ascii="Arial" w:hAnsi="Arial" w:cs="Arial"/>
                <w:b w:val="0"/>
                <w:i w:val="0"/>
                <w:noProof/>
                <w:webHidden/>
                <w:sz w:val="22"/>
                <w:szCs w:val="22"/>
              </w:rPr>
              <w:t>5</w:t>
            </w:r>
            <w:r w:rsidR="004D5657" w:rsidRPr="00672CDC">
              <w:rPr>
                <w:rFonts w:ascii="Arial" w:hAnsi="Arial" w:cs="Arial"/>
                <w:b w:val="0"/>
                <w:i w:val="0"/>
                <w:noProof/>
                <w:webHidden/>
                <w:sz w:val="22"/>
                <w:szCs w:val="22"/>
              </w:rPr>
              <w:fldChar w:fldCharType="end"/>
            </w:r>
          </w:hyperlink>
        </w:p>
        <w:p w:rsidR="004D5657" w:rsidRPr="00672CDC" w:rsidRDefault="003A543A" w:rsidP="003B609C">
          <w:pPr>
            <w:pStyle w:val="TOC1"/>
            <w:tabs>
              <w:tab w:val="right" w:leader="underscore" w:pos="9062"/>
            </w:tabs>
            <w:spacing w:line="276" w:lineRule="auto"/>
            <w:rPr>
              <w:rFonts w:ascii="Arial" w:eastAsiaTheme="minorEastAsia" w:hAnsi="Arial" w:cs="Arial"/>
              <w:b w:val="0"/>
              <w:bCs w:val="0"/>
              <w:i w:val="0"/>
              <w:iCs w:val="0"/>
              <w:noProof/>
              <w:sz w:val="22"/>
              <w:szCs w:val="22"/>
              <w:lang w:eastAsia="de-DE"/>
            </w:rPr>
          </w:pPr>
          <w:hyperlink w:anchor="_Toc84585306" w:history="1">
            <w:r w:rsidR="004D5657" w:rsidRPr="00672CDC">
              <w:rPr>
                <w:rStyle w:val="Hyperlink"/>
                <w:rFonts w:ascii="Arial" w:hAnsi="Arial" w:cs="Arial"/>
                <w:b w:val="0"/>
                <w:i w:val="0"/>
                <w:noProof/>
                <w:sz w:val="22"/>
                <w:szCs w:val="22"/>
              </w:rPr>
              <w:t>Figure S1. Mass spectrum in positive mode ionization for AA-3NPH (upper panel) and HBA-3NPH (lower panel) showing common m/z signals. Neither the protonated molecular ion with m/z = 196 for AA-3NPH nor m/z = 240 for HBA-3NPH were found.</w:t>
            </w:r>
            <w:r w:rsidR="004D5657" w:rsidRPr="00672CDC">
              <w:rPr>
                <w:rFonts w:ascii="Arial" w:hAnsi="Arial" w:cs="Arial"/>
                <w:b w:val="0"/>
                <w:i w:val="0"/>
                <w:noProof/>
                <w:webHidden/>
                <w:sz w:val="22"/>
                <w:szCs w:val="22"/>
              </w:rPr>
              <w:tab/>
            </w:r>
            <w:r w:rsidR="004D5657" w:rsidRPr="00672CDC">
              <w:rPr>
                <w:rFonts w:ascii="Arial" w:hAnsi="Arial" w:cs="Arial"/>
                <w:b w:val="0"/>
                <w:i w:val="0"/>
                <w:noProof/>
                <w:webHidden/>
                <w:sz w:val="22"/>
                <w:szCs w:val="22"/>
              </w:rPr>
              <w:fldChar w:fldCharType="begin"/>
            </w:r>
            <w:r w:rsidR="004D5657" w:rsidRPr="00672CDC">
              <w:rPr>
                <w:rFonts w:ascii="Arial" w:hAnsi="Arial" w:cs="Arial"/>
                <w:b w:val="0"/>
                <w:i w:val="0"/>
                <w:noProof/>
                <w:webHidden/>
                <w:sz w:val="22"/>
                <w:szCs w:val="22"/>
              </w:rPr>
              <w:instrText xml:space="preserve"> PAGEREF _Toc84585306 \h </w:instrText>
            </w:r>
            <w:r w:rsidR="004D5657" w:rsidRPr="00672CDC">
              <w:rPr>
                <w:rFonts w:ascii="Arial" w:hAnsi="Arial" w:cs="Arial"/>
                <w:b w:val="0"/>
                <w:i w:val="0"/>
                <w:noProof/>
                <w:webHidden/>
                <w:sz w:val="22"/>
                <w:szCs w:val="22"/>
              </w:rPr>
            </w:r>
            <w:r w:rsidR="004D5657" w:rsidRPr="00672CDC">
              <w:rPr>
                <w:rFonts w:ascii="Arial" w:hAnsi="Arial" w:cs="Arial"/>
                <w:b w:val="0"/>
                <w:i w:val="0"/>
                <w:noProof/>
                <w:webHidden/>
                <w:sz w:val="22"/>
                <w:szCs w:val="22"/>
              </w:rPr>
              <w:fldChar w:fldCharType="separate"/>
            </w:r>
            <w:r w:rsidR="004D5657">
              <w:rPr>
                <w:rFonts w:ascii="Arial" w:hAnsi="Arial" w:cs="Arial"/>
                <w:b w:val="0"/>
                <w:i w:val="0"/>
                <w:noProof/>
                <w:webHidden/>
                <w:sz w:val="22"/>
                <w:szCs w:val="22"/>
              </w:rPr>
              <w:t>6</w:t>
            </w:r>
            <w:r w:rsidR="004D5657" w:rsidRPr="00672CDC">
              <w:rPr>
                <w:rFonts w:ascii="Arial" w:hAnsi="Arial" w:cs="Arial"/>
                <w:b w:val="0"/>
                <w:i w:val="0"/>
                <w:noProof/>
                <w:webHidden/>
                <w:sz w:val="22"/>
                <w:szCs w:val="22"/>
              </w:rPr>
              <w:fldChar w:fldCharType="end"/>
            </w:r>
          </w:hyperlink>
        </w:p>
        <w:p w:rsidR="004D5657" w:rsidRPr="00672CDC" w:rsidRDefault="003A543A" w:rsidP="003B609C">
          <w:pPr>
            <w:pStyle w:val="TOC1"/>
            <w:tabs>
              <w:tab w:val="right" w:leader="underscore" w:pos="9062"/>
            </w:tabs>
            <w:spacing w:line="276" w:lineRule="auto"/>
            <w:rPr>
              <w:rFonts w:ascii="Arial" w:eastAsiaTheme="minorEastAsia" w:hAnsi="Arial" w:cs="Arial"/>
              <w:b w:val="0"/>
              <w:bCs w:val="0"/>
              <w:i w:val="0"/>
              <w:iCs w:val="0"/>
              <w:noProof/>
              <w:sz w:val="22"/>
              <w:szCs w:val="22"/>
              <w:lang w:eastAsia="de-DE"/>
            </w:rPr>
          </w:pPr>
          <w:hyperlink w:anchor="_Toc84585307" w:history="1">
            <w:r w:rsidR="004D5657" w:rsidRPr="00672CDC">
              <w:rPr>
                <w:rStyle w:val="Hyperlink"/>
                <w:rFonts w:ascii="Arial" w:hAnsi="Arial" w:cs="Arial"/>
                <w:b w:val="0"/>
                <w:i w:val="0"/>
                <w:noProof/>
                <w:sz w:val="22"/>
                <w:szCs w:val="22"/>
              </w:rPr>
              <w:t>Figure S2. Chromatogram of pure derivatized HBA using the optimized gradient. The transitions for HBA-3NPH appear at RT = 9.0 min., while there is no signal for the AA-3NPH at RT = 8.6, as an indication that the HBA standard was not contaminated with AA.</w:t>
            </w:r>
            <w:r w:rsidR="004D5657" w:rsidRPr="00672CDC">
              <w:rPr>
                <w:rFonts w:ascii="Arial" w:hAnsi="Arial" w:cs="Arial"/>
                <w:b w:val="0"/>
                <w:i w:val="0"/>
                <w:noProof/>
                <w:webHidden/>
                <w:sz w:val="22"/>
                <w:szCs w:val="22"/>
              </w:rPr>
              <w:tab/>
            </w:r>
            <w:r w:rsidR="004D5657" w:rsidRPr="00672CDC">
              <w:rPr>
                <w:rFonts w:ascii="Arial" w:hAnsi="Arial" w:cs="Arial"/>
                <w:b w:val="0"/>
                <w:i w:val="0"/>
                <w:noProof/>
                <w:webHidden/>
                <w:sz w:val="22"/>
                <w:szCs w:val="22"/>
              </w:rPr>
              <w:fldChar w:fldCharType="begin"/>
            </w:r>
            <w:r w:rsidR="004D5657" w:rsidRPr="00672CDC">
              <w:rPr>
                <w:rFonts w:ascii="Arial" w:hAnsi="Arial" w:cs="Arial"/>
                <w:b w:val="0"/>
                <w:i w:val="0"/>
                <w:noProof/>
                <w:webHidden/>
                <w:sz w:val="22"/>
                <w:szCs w:val="22"/>
              </w:rPr>
              <w:instrText xml:space="preserve"> PAGEREF _Toc84585307 \h </w:instrText>
            </w:r>
            <w:r w:rsidR="004D5657" w:rsidRPr="00672CDC">
              <w:rPr>
                <w:rFonts w:ascii="Arial" w:hAnsi="Arial" w:cs="Arial"/>
                <w:b w:val="0"/>
                <w:i w:val="0"/>
                <w:noProof/>
                <w:webHidden/>
                <w:sz w:val="22"/>
                <w:szCs w:val="22"/>
              </w:rPr>
            </w:r>
            <w:r w:rsidR="004D5657" w:rsidRPr="00672CDC">
              <w:rPr>
                <w:rFonts w:ascii="Arial" w:hAnsi="Arial" w:cs="Arial"/>
                <w:b w:val="0"/>
                <w:i w:val="0"/>
                <w:noProof/>
                <w:webHidden/>
                <w:sz w:val="22"/>
                <w:szCs w:val="22"/>
              </w:rPr>
              <w:fldChar w:fldCharType="separate"/>
            </w:r>
            <w:r w:rsidR="004D5657">
              <w:rPr>
                <w:rFonts w:ascii="Arial" w:hAnsi="Arial" w:cs="Arial"/>
                <w:b w:val="0"/>
                <w:i w:val="0"/>
                <w:noProof/>
                <w:webHidden/>
                <w:sz w:val="22"/>
                <w:szCs w:val="22"/>
              </w:rPr>
              <w:t>7</w:t>
            </w:r>
            <w:r w:rsidR="004D5657" w:rsidRPr="00672CDC">
              <w:rPr>
                <w:rFonts w:ascii="Arial" w:hAnsi="Arial" w:cs="Arial"/>
                <w:b w:val="0"/>
                <w:i w:val="0"/>
                <w:noProof/>
                <w:webHidden/>
                <w:sz w:val="22"/>
                <w:szCs w:val="22"/>
              </w:rPr>
              <w:fldChar w:fldCharType="end"/>
            </w:r>
          </w:hyperlink>
        </w:p>
        <w:p w:rsidR="004D5657" w:rsidRPr="00672CDC" w:rsidRDefault="003A543A" w:rsidP="003B609C">
          <w:pPr>
            <w:pStyle w:val="TOC1"/>
            <w:tabs>
              <w:tab w:val="right" w:leader="underscore" w:pos="9062"/>
            </w:tabs>
            <w:spacing w:line="276" w:lineRule="auto"/>
            <w:rPr>
              <w:rFonts w:ascii="Arial" w:eastAsiaTheme="minorEastAsia" w:hAnsi="Arial" w:cs="Arial"/>
              <w:b w:val="0"/>
              <w:bCs w:val="0"/>
              <w:i w:val="0"/>
              <w:iCs w:val="0"/>
              <w:noProof/>
              <w:sz w:val="22"/>
              <w:szCs w:val="22"/>
              <w:lang w:eastAsia="de-DE"/>
            </w:rPr>
          </w:pPr>
          <w:hyperlink w:anchor="_Toc84585308" w:history="1">
            <w:r w:rsidR="004D5657" w:rsidRPr="00672CDC">
              <w:rPr>
                <w:rStyle w:val="Hyperlink"/>
                <w:rFonts w:ascii="Arial" w:hAnsi="Arial" w:cs="Arial"/>
                <w:b w:val="0"/>
                <w:i w:val="0"/>
                <w:noProof/>
                <w:sz w:val="22"/>
                <w:szCs w:val="22"/>
              </w:rPr>
              <w:t>Figure S3. Proposed reaction mechanism for the derivatization of acetoacetic acid (AcAA) with 3-nitrophenyl hydrazine (3NPH) producing a doubly-labeled derivative (upper panel). Breakdown curve for the precursor ion of AcAA-3NPH and proposed fragment structure (highlighted in yellow) for the most intense Q1-Q3 transition.</w:t>
            </w:r>
            <w:r w:rsidR="004D5657" w:rsidRPr="00672CDC">
              <w:rPr>
                <w:rFonts w:ascii="Arial" w:hAnsi="Arial" w:cs="Arial"/>
                <w:b w:val="0"/>
                <w:i w:val="0"/>
                <w:noProof/>
                <w:webHidden/>
                <w:sz w:val="22"/>
                <w:szCs w:val="22"/>
              </w:rPr>
              <w:tab/>
            </w:r>
            <w:r w:rsidR="004D5657" w:rsidRPr="00672CDC">
              <w:rPr>
                <w:rFonts w:ascii="Arial" w:hAnsi="Arial" w:cs="Arial"/>
                <w:b w:val="0"/>
                <w:i w:val="0"/>
                <w:noProof/>
                <w:webHidden/>
                <w:sz w:val="22"/>
                <w:szCs w:val="22"/>
              </w:rPr>
              <w:fldChar w:fldCharType="begin"/>
            </w:r>
            <w:r w:rsidR="004D5657" w:rsidRPr="00672CDC">
              <w:rPr>
                <w:rFonts w:ascii="Arial" w:hAnsi="Arial" w:cs="Arial"/>
                <w:b w:val="0"/>
                <w:i w:val="0"/>
                <w:noProof/>
                <w:webHidden/>
                <w:sz w:val="22"/>
                <w:szCs w:val="22"/>
              </w:rPr>
              <w:instrText xml:space="preserve"> PAGEREF _Toc84585308 \h </w:instrText>
            </w:r>
            <w:r w:rsidR="004D5657" w:rsidRPr="00672CDC">
              <w:rPr>
                <w:rFonts w:ascii="Arial" w:hAnsi="Arial" w:cs="Arial"/>
                <w:b w:val="0"/>
                <w:i w:val="0"/>
                <w:noProof/>
                <w:webHidden/>
                <w:sz w:val="22"/>
                <w:szCs w:val="22"/>
              </w:rPr>
            </w:r>
            <w:r w:rsidR="004D5657" w:rsidRPr="00672CDC">
              <w:rPr>
                <w:rFonts w:ascii="Arial" w:hAnsi="Arial" w:cs="Arial"/>
                <w:b w:val="0"/>
                <w:i w:val="0"/>
                <w:noProof/>
                <w:webHidden/>
                <w:sz w:val="22"/>
                <w:szCs w:val="22"/>
              </w:rPr>
              <w:fldChar w:fldCharType="separate"/>
            </w:r>
            <w:r w:rsidR="004D5657">
              <w:rPr>
                <w:rFonts w:ascii="Arial" w:hAnsi="Arial" w:cs="Arial"/>
                <w:b w:val="0"/>
                <w:i w:val="0"/>
                <w:noProof/>
                <w:webHidden/>
                <w:sz w:val="22"/>
                <w:szCs w:val="22"/>
              </w:rPr>
              <w:t>8</w:t>
            </w:r>
            <w:r w:rsidR="004D5657" w:rsidRPr="00672CDC">
              <w:rPr>
                <w:rFonts w:ascii="Arial" w:hAnsi="Arial" w:cs="Arial"/>
                <w:b w:val="0"/>
                <w:i w:val="0"/>
                <w:noProof/>
                <w:webHidden/>
                <w:sz w:val="22"/>
                <w:szCs w:val="22"/>
              </w:rPr>
              <w:fldChar w:fldCharType="end"/>
            </w:r>
          </w:hyperlink>
        </w:p>
        <w:p w:rsidR="004D5657" w:rsidRDefault="003A543A" w:rsidP="003B609C">
          <w:pPr>
            <w:pStyle w:val="TOC1"/>
            <w:tabs>
              <w:tab w:val="right" w:leader="underscore" w:pos="9062"/>
            </w:tabs>
            <w:spacing w:line="276" w:lineRule="auto"/>
            <w:rPr>
              <w:rFonts w:eastAsiaTheme="minorEastAsia" w:cstheme="minorBidi"/>
              <w:b w:val="0"/>
              <w:bCs w:val="0"/>
              <w:i w:val="0"/>
              <w:iCs w:val="0"/>
              <w:noProof/>
              <w:sz w:val="22"/>
              <w:szCs w:val="22"/>
              <w:lang w:eastAsia="de-DE"/>
            </w:rPr>
          </w:pPr>
          <w:hyperlink w:anchor="_Toc84585309" w:history="1">
            <w:r w:rsidR="004D5657" w:rsidRPr="00672CDC">
              <w:rPr>
                <w:rStyle w:val="Hyperlink"/>
                <w:rFonts w:ascii="Arial" w:hAnsi="Arial" w:cs="Arial"/>
                <w:b w:val="0"/>
                <w:i w:val="0"/>
                <w:noProof/>
                <w:sz w:val="22"/>
                <w:szCs w:val="22"/>
              </w:rPr>
              <w:t>References:</w:t>
            </w:r>
            <w:r w:rsidR="004D5657" w:rsidRPr="00672CDC">
              <w:rPr>
                <w:rFonts w:ascii="Arial" w:hAnsi="Arial" w:cs="Arial"/>
                <w:b w:val="0"/>
                <w:i w:val="0"/>
                <w:noProof/>
                <w:webHidden/>
                <w:sz w:val="22"/>
                <w:szCs w:val="22"/>
              </w:rPr>
              <w:tab/>
            </w:r>
            <w:r w:rsidR="004D5657" w:rsidRPr="00672CDC">
              <w:rPr>
                <w:rFonts w:ascii="Arial" w:hAnsi="Arial" w:cs="Arial"/>
                <w:b w:val="0"/>
                <w:i w:val="0"/>
                <w:noProof/>
                <w:webHidden/>
                <w:sz w:val="22"/>
                <w:szCs w:val="22"/>
              </w:rPr>
              <w:fldChar w:fldCharType="begin"/>
            </w:r>
            <w:r w:rsidR="004D5657" w:rsidRPr="00672CDC">
              <w:rPr>
                <w:rFonts w:ascii="Arial" w:hAnsi="Arial" w:cs="Arial"/>
                <w:b w:val="0"/>
                <w:i w:val="0"/>
                <w:noProof/>
                <w:webHidden/>
                <w:sz w:val="22"/>
                <w:szCs w:val="22"/>
              </w:rPr>
              <w:instrText xml:space="preserve"> PAGEREF _Toc84585309 \h </w:instrText>
            </w:r>
            <w:r w:rsidR="004D5657" w:rsidRPr="00672CDC">
              <w:rPr>
                <w:rFonts w:ascii="Arial" w:hAnsi="Arial" w:cs="Arial"/>
                <w:b w:val="0"/>
                <w:i w:val="0"/>
                <w:noProof/>
                <w:webHidden/>
                <w:sz w:val="22"/>
                <w:szCs w:val="22"/>
              </w:rPr>
            </w:r>
            <w:r w:rsidR="004D5657" w:rsidRPr="00672CDC">
              <w:rPr>
                <w:rFonts w:ascii="Arial" w:hAnsi="Arial" w:cs="Arial"/>
                <w:b w:val="0"/>
                <w:i w:val="0"/>
                <w:noProof/>
                <w:webHidden/>
                <w:sz w:val="22"/>
                <w:szCs w:val="22"/>
              </w:rPr>
              <w:fldChar w:fldCharType="separate"/>
            </w:r>
            <w:r w:rsidR="004D5657">
              <w:rPr>
                <w:rFonts w:ascii="Arial" w:hAnsi="Arial" w:cs="Arial"/>
                <w:b w:val="0"/>
                <w:i w:val="0"/>
                <w:noProof/>
                <w:webHidden/>
                <w:sz w:val="22"/>
                <w:szCs w:val="22"/>
              </w:rPr>
              <w:t>8</w:t>
            </w:r>
            <w:r w:rsidR="004D5657" w:rsidRPr="00672CDC">
              <w:rPr>
                <w:rFonts w:ascii="Arial" w:hAnsi="Arial" w:cs="Arial"/>
                <w:b w:val="0"/>
                <w:i w:val="0"/>
                <w:noProof/>
                <w:webHidden/>
                <w:sz w:val="22"/>
                <w:szCs w:val="22"/>
              </w:rPr>
              <w:fldChar w:fldCharType="end"/>
            </w:r>
          </w:hyperlink>
        </w:p>
        <w:p w:rsidR="004D5657" w:rsidRPr="005A2208" w:rsidRDefault="004D5657" w:rsidP="003B609C">
          <w:pPr>
            <w:spacing w:line="276" w:lineRule="auto"/>
            <w:rPr>
              <w:rFonts w:ascii="Arial" w:hAnsi="Arial" w:cs="Arial"/>
              <w:lang w:val="en-US"/>
            </w:rPr>
          </w:pPr>
          <w:r w:rsidRPr="005C61FE">
            <w:rPr>
              <w:rFonts w:ascii="Arial" w:hAnsi="Arial" w:cs="Arial"/>
              <w:bCs/>
              <w:iCs/>
            </w:rPr>
            <w:fldChar w:fldCharType="end"/>
          </w:r>
        </w:p>
      </w:sdtContent>
    </w:sdt>
    <w:p w:rsidR="004D5657" w:rsidRDefault="004D5657" w:rsidP="003B609C">
      <w:pPr>
        <w:pStyle w:val="Subtitle"/>
        <w:spacing w:line="360" w:lineRule="auto"/>
      </w:pPr>
      <w:bookmarkStart w:id="0" w:name="_Toc84585300"/>
    </w:p>
    <w:p w:rsidR="004D5657" w:rsidRDefault="004D5657" w:rsidP="003B609C">
      <w:pPr>
        <w:pStyle w:val="Subtitle"/>
        <w:spacing w:line="360" w:lineRule="auto"/>
      </w:pPr>
    </w:p>
    <w:p w:rsidR="004D5657" w:rsidRDefault="004D5657" w:rsidP="003B609C">
      <w:pPr>
        <w:pStyle w:val="Subtitle"/>
        <w:spacing w:line="360" w:lineRule="auto"/>
      </w:pPr>
    </w:p>
    <w:p w:rsidR="004D5657" w:rsidRPr="005C61FE" w:rsidRDefault="004D5657" w:rsidP="003B609C">
      <w:pPr>
        <w:pStyle w:val="Subtitle"/>
        <w:spacing w:line="360" w:lineRule="auto"/>
      </w:pPr>
      <w:r w:rsidRPr="005C61FE">
        <w:lastRenderedPageBreak/>
        <w:t>Abbreviations</w:t>
      </w:r>
      <w:bookmarkEnd w:id="0"/>
    </w:p>
    <w:p w:rsidR="003A543A" w:rsidRPr="00614F5E" w:rsidRDefault="003A543A" w:rsidP="003A543A">
      <w:pPr>
        <w:spacing w:after="0" w:line="360" w:lineRule="auto"/>
        <w:jc w:val="both"/>
        <w:rPr>
          <w:rFonts w:ascii="Arial" w:hAnsi="Arial" w:cs="Arial"/>
          <w:sz w:val="24"/>
          <w:szCs w:val="24"/>
          <w:lang w:val="en-US"/>
        </w:rPr>
      </w:pPr>
      <w:proofErr w:type="gramStart"/>
      <w:r w:rsidRPr="00614F5E">
        <w:rPr>
          <w:rFonts w:ascii="Arial" w:hAnsi="Arial" w:cs="Arial"/>
          <w:sz w:val="24"/>
          <w:szCs w:val="24"/>
          <w:lang w:val="en-US"/>
        </w:rPr>
        <w:t xml:space="preserve">3NPH: 3-Nitrophenyl Hydrazine, AA: Acetic Acid, </w:t>
      </w:r>
      <w:proofErr w:type="spellStart"/>
      <w:r w:rsidRPr="00614F5E">
        <w:rPr>
          <w:rFonts w:ascii="Arial" w:hAnsi="Arial" w:cs="Arial"/>
          <w:sz w:val="24"/>
          <w:szCs w:val="24"/>
          <w:lang w:val="en-US"/>
        </w:rPr>
        <w:t>AcAA</w:t>
      </w:r>
      <w:proofErr w:type="spellEnd"/>
      <w:r w:rsidRPr="00614F5E">
        <w:rPr>
          <w:rFonts w:ascii="Arial" w:hAnsi="Arial" w:cs="Arial"/>
          <w:sz w:val="24"/>
          <w:szCs w:val="24"/>
          <w:lang w:val="en-US"/>
        </w:rPr>
        <w:t>: Acetoacet</w:t>
      </w:r>
      <w:r>
        <w:rPr>
          <w:rFonts w:ascii="Arial" w:hAnsi="Arial" w:cs="Arial"/>
          <w:sz w:val="24"/>
          <w:szCs w:val="24"/>
          <w:lang w:val="en-US"/>
        </w:rPr>
        <w:t>ic acid</w:t>
      </w:r>
      <w:r w:rsidRPr="00614F5E">
        <w:rPr>
          <w:rFonts w:ascii="Arial" w:hAnsi="Arial" w:cs="Arial"/>
          <w:sz w:val="24"/>
          <w:szCs w:val="24"/>
          <w:lang w:val="en-US"/>
        </w:rPr>
        <w:t>, ACN: Acetonitrile, A.U.: Arbitrary Units, BA: Butyric Acid, EDC: N-(3-Dimethylaminopropyl)-N’-</w:t>
      </w:r>
      <w:proofErr w:type="spellStart"/>
      <w:r w:rsidRPr="00614F5E">
        <w:rPr>
          <w:rFonts w:ascii="Arial" w:hAnsi="Arial" w:cs="Arial"/>
          <w:sz w:val="24"/>
          <w:szCs w:val="24"/>
          <w:lang w:val="en-US"/>
        </w:rPr>
        <w:t>Ethylcarbodiimide</w:t>
      </w:r>
      <w:proofErr w:type="spellEnd"/>
      <w:r w:rsidRPr="00614F5E">
        <w:rPr>
          <w:rFonts w:ascii="Arial" w:hAnsi="Arial" w:cs="Arial"/>
          <w:sz w:val="24"/>
          <w:szCs w:val="24"/>
          <w:lang w:val="en-US"/>
        </w:rPr>
        <w:t>, ESI: Electrospray Ionization, GC: Gas Chromatography, H</w:t>
      </w:r>
      <w:r w:rsidRPr="00614F5E">
        <w:rPr>
          <w:rFonts w:ascii="Arial" w:hAnsi="Arial" w:cs="Arial"/>
          <w:sz w:val="24"/>
          <w:szCs w:val="24"/>
          <w:vertAlign w:val="subscript"/>
          <w:lang w:val="en-US"/>
        </w:rPr>
        <w:t>2</w:t>
      </w:r>
      <w:r w:rsidRPr="00614F5E">
        <w:rPr>
          <w:rFonts w:ascii="Arial" w:hAnsi="Arial" w:cs="Arial"/>
          <w:sz w:val="24"/>
          <w:szCs w:val="24"/>
          <w:lang w:val="en-US"/>
        </w:rPr>
        <w:t xml:space="preserve">O: Water, HA: </w:t>
      </w:r>
      <w:proofErr w:type="spellStart"/>
      <w:r w:rsidRPr="00614F5E">
        <w:rPr>
          <w:rFonts w:ascii="Arial" w:hAnsi="Arial" w:cs="Arial"/>
          <w:sz w:val="24"/>
          <w:szCs w:val="24"/>
          <w:lang w:val="en-US"/>
        </w:rPr>
        <w:t>Hexanoic</w:t>
      </w:r>
      <w:proofErr w:type="spellEnd"/>
      <w:r w:rsidRPr="00614F5E">
        <w:rPr>
          <w:rFonts w:ascii="Arial" w:hAnsi="Arial" w:cs="Arial"/>
          <w:sz w:val="24"/>
          <w:szCs w:val="24"/>
          <w:lang w:val="en-US"/>
        </w:rPr>
        <w:t xml:space="preserve"> Acid, HBA: 3-Hydroxybutyric Acid, HMB: </w:t>
      </w:r>
      <w:r>
        <w:rPr>
          <w:rFonts w:ascii="Arial" w:hAnsi="Arial" w:cs="Arial"/>
          <w:sz w:val="24"/>
          <w:szCs w:val="24"/>
          <w:lang w:val="en-US"/>
        </w:rPr>
        <w:t>3-</w:t>
      </w:r>
      <w:r w:rsidRPr="00614F5E">
        <w:rPr>
          <w:rFonts w:ascii="Arial" w:hAnsi="Arial" w:cs="Arial"/>
          <w:sz w:val="24"/>
          <w:szCs w:val="24"/>
          <w:lang w:val="en-US"/>
        </w:rPr>
        <w:t>Hydroxy-</w:t>
      </w:r>
      <w:r>
        <w:rPr>
          <w:rFonts w:ascii="Arial" w:hAnsi="Arial" w:cs="Arial"/>
          <w:sz w:val="24"/>
          <w:szCs w:val="24"/>
          <w:lang w:val="en-US"/>
        </w:rPr>
        <w:t>3-</w:t>
      </w:r>
      <w:r w:rsidRPr="00614F5E">
        <w:rPr>
          <w:rFonts w:ascii="Arial" w:hAnsi="Arial" w:cs="Arial"/>
          <w:sz w:val="24"/>
          <w:szCs w:val="24"/>
          <w:lang w:val="en-US"/>
        </w:rPr>
        <w:t>Methyl</w:t>
      </w:r>
      <w:r>
        <w:rPr>
          <w:rFonts w:ascii="Arial" w:hAnsi="Arial" w:cs="Arial"/>
          <w:sz w:val="24"/>
          <w:szCs w:val="24"/>
          <w:lang w:val="en-US"/>
        </w:rPr>
        <w:t>b</w:t>
      </w:r>
      <w:r w:rsidRPr="00614F5E">
        <w:rPr>
          <w:rFonts w:ascii="Arial" w:hAnsi="Arial" w:cs="Arial"/>
          <w:sz w:val="24"/>
          <w:szCs w:val="24"/>
          <w:lang w:val="en-US"/>
        </w:rPr>
        <w:t xml:space="preserve">utyric Acid, IBA: </w:t>
      </w:r>
      <w:proofErr w:type="spellStart"/>
      <w:r w:rsidRPr="00614F5E">
        <w:rPr>
          <w:rFonts w:ascii="Arial" w:hAnsi="Arial" w:cs="Arial"/>
          <w:sz w:val="24"/>
          <w:szCs w:val="24"/>
          <w:lang w:val="en-US"/>
        </w:rPr>
        <w:t>Isobutyric</w:t>
      </w:r>
      <w:proofErr w:type="spellEnd"/>
      <w:r w:rsidRPr="00614F5E">
        <w:rPr>
          <w:rFonts w:ascii="Arial" w:hAnsi="Arial" w:cs="Arial"/>
          <w:sz w:val="24"/>
          <w:szCs w:val="24"/>
          <w:lang w:val="en-US"/>
        </w:rPr>
        <w:t xml:space="preserve"> Acid, ISTD: Internal Standard, IVA: </w:t>
      </w:r>
      <w:proofErr w:type="spellStart"/>
      <w:r w:rsidRPr="00614F5E">
        <w:rPr>
          <w:rFonts w:ascii="Arial" w:hAnsi="Arial" w:cs="Arial"/>
          <w:sz w:val="24"/>
          <w:szCs w:val="24"/>
          <w:lang w:val="en-US"/>
        </w:rPr>
        <w:t>Isovaleric</w:t>
      </w:r>
      <w:proofErr w:type="spellEnd"/>
      <w:r w:rsidRPr="00614F5E">
        <w:rPr>
          <w:rFonts w:ascii="Arial" w:hAnsi="Arial" w:cs="Arial"/>
          <w:sz w:val="24"/>
          <w:szCs w:val="24"/>
          <w:lang w:val="en-US"/>
        </w:rPr>
        <w:t xml:space="preserve"> Acid, LC: Liquid Chromatography, MBA: </w:t>
      </w:r>
      <w:r>
        <w:rPr>
          <w:rFonts w:ascii="Arial" w:hAnsi="Arial" w:cs="Arial"/>
          <w:sz w:val="24"/>
          <w:szCs w:val="24"/>
          <w:lang w:val="en-US"/>
        </w:rPr>
        <w:t>2-</w:t>
      </w:r>
      <w:r w:rsidRPr="00614F5E">
        <w:rPr>
          <w:rFonts w:ascii="Arial" w:hAnsi="Arial" w:cs="Arial"/>
          <w:sz w:val="24"/>
          <w:szCs w:val="24"/>
          <w:lang w:val="en-US"/>
        </w:rPr>
        <w:t>Methyl</w:t>
      </w:r>
      <w:r>
        <w:rPr>
          <w:rFonts w:ascii="Arial" w:hAnsi="Arial" w:cs="Arial"/>
          <w:sz w:val="24"/>
          <w:szCs w:val="24"/>
          <w:lang w:val="en-US"/>
        </w:rPr>
        <w:t>b</w:t>
      </w:r>
      <w:r w:rsidRPr="00614F5E">
        <w:rPr>
          <w:rFonts w:ascii="Arial" w:hAnsi="Arial" w:cs="Arial"/>
          <w:sz w:val="24"/>
          <w:szCs w:val="24"/>
          <w:lang w:val="en-US"/>
        </w:rPr>
        <w:t xml:space="preserve">utyric Acid, MRM: Multi-Reaction Monitoring, MS: Mass Spectrometry, PA: </w:t>
      </w:r>
      <w:proofErr w:type="spellStart"/>
      <w:r w:rsidRPr="00614F5E">
        <w:rPr>
          <w:rFonts w:ascii="Arial" w:hAnsi="Arial" w:cs="Arial"/>
          <w:sz w:val="24"/>
          <w:szCs w:val="24"/>
          <w:lang w:val="en-US"/>
        </w:rPr>
        <w:t>Propanoic</w:t>
      </w:r>
      <w:proofErr w:type="spellEnd"/>
      <w:r w:rsidRPr="00614F5E">
        <w:rPr>
          <w:rFonts w:ascii="Arial" w:hAnsi="Arial" w:cs="Arial"/>
          <w:sz w:val="24"/>
          <w:szCs w:val="24"/>
          <w:lang w:val="en-US"/>
        </w:rPr>
        <w:t xml:space="preserve"> Acid, </w:t>
      </w:r>
      <w:proofErr w:type="spellStart"/>
      <w:r w:rsidRPr="00614F5E">
        <w:rPr>
          <w:rFonts w:ascii="Arial" w:hAnsi="Arial" w:cs="Arial"/>
          <w:sz w:val="24"/>
          <w:szCs w:val="24"/>
          <w:lang w:val="en-US"/>
        </w:rPr>
        <w:t>Qn</w:t>
      </w:r>
      <w:proofErr w:type="spellEnd"/>
      <w:r w:rsidRPr="00614F5E">
        <w:rPr>
          <w:rFonts w:ascii="Arial" w:hAnsi="Arial" w:cs="Arial"/>
          <w:sz w:val="24"/>
          <w:szCs w:val="24"/>
          <w:lang w:val="en-US"/>
        </w:rPr>
        <w:t xml:space="preserve">: Quadrupole </w:t>
      </w:r>
      <w:r w:rsidRPr="00614F5E">
        <w:rPr>
          <w:rFonts w:ascii="Arial" w:hAnsi="Arial" w:cs="Arial"/>
          <w:i/>
          <w:sz w:val="24"/>
          <w:szCs w:val="24"/>
          <w:lang w:val="en-US"/>
        </w:rPr>
        <w:t>n</w:t>
      </w:r>
      <w:r w:rsidRPr="00614F5E">
        <w:rPr>
          <w:rFonts w:ascii="Arial" w:hAnsi="Arial" w:cs="Arial"/>
          <w:sz w:val="24"/>
          <w:szCs w:val="24"/>
          <w:lang w:val="en-US"/>
        </w:rPr>
        <w:t>, RP: Reverse Phase, RT: Retention Time, SCFA: Short-Chain Fatty Acids, UPLC:</w:t>
      </w:r>
      <w:r w:rsidRPr="00614F5E">
        <w:rPr>
          <w:lang w:val="en-US"/>
        </w:rPr>
        <w:t xml:space="preserve"> </w:t>
      </w:r>
      <w:r w:rsidRPr="00614F5E">
        <w:rPr>
          <w:rFonts w:ascii="Arial" w:hAnsi="Arial" w:cs="Arial"/>
          <w:sz w:val="24"/>
          <w:szCs w:val="24"/>
          <w:lang w:val="en-US"/>
        </w:rPr>
        <w:t xml:space="preserve">Ultra Performance Liquid Chromatography,  VA: </w:t>
      </w:r>
      <w:proofErr w:type="spellStart"/>
      <w:r w:rsidRPr="00614F5E">
        <w:rPr>
          <w:rFonts w:ascii="Arial" w:hAnsi="Arial" w:cs="Arial"/>
          <w:sz w:val="24"/>
          <w:szCs w:val="24"/>
          <w:lang w:val="en-US"/>
        </w:rPr>
        <w:t>Valeric</w:t>
      </w:r>
      <w:proofErr w:type="spellEnd"/>
      <w:r w:rsidRPr="00614F5E">
        <w:rPr>
          <w:rFonts w:ascii="Arial" w:hAnsi="Arial" w:cs="Arial"/>
          <w:sz w:val="24"/>
          <w:szCs w:val="24"/>
          <w:lang w:val="en-US"/>
        </w:rPr>
        <w:t xml:space="preserve"> Acid.</w:t>
      </w:r>
      <w:proofErr w:type="gramEnd"/>
    </w:p>
    <w:p w:rsidR="004D5657" w:rsidRDefault="004D5657" w:rsidP="003B609C">
      <w:pPr>
        <w:pStyle w:val="Subtitle"/>
        <w:spacing w:line="360" w:lineRule="auto"/>
      </w:pPr>
      <w:bookmarkStart w:id="1" w:name="_GoBack"/>
      <w:bookmarkEnd w:id="1"/>
    </w:p>
    <w:p w:rsidR="004D5657" w:rsidRDefault="004D5657" w:rsidP="003B609C">
      <w:pPr>
        <w:pStyle w:val="Subtitle"/>
        <w:spacing w:line="360" w:lineRule="auto"/>
      </w:pPr>
      <w:bookmarkStart w:id="2" w:name="_Toc84585301"/>
      <w:r>
        <w:t>Table S1. Q1/Q3 transitions for all analytical ISTDs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6"/>
        <w:gridCol w:w="2001"/>
        <w:gridCol w:w="1359"/>
        <w:gridCol w:w="1801"/>
        <w:gridCol w:w="2225"/>
      </w:tblGrid>
      <w:tr w:rsidR="004D5657" w:rsidRPr="00F71223" w:rsidTr="002D3AF5">
        <w:trPr>
          <w:trHeight w:val="562"/>
        </w:trPr>
        <w:tc>
          <w:tcPr>
            <w:tcW w:w="0" w:type="auto"/>
            <w:shd w:val="clear" w:color="auto" w:fill="auto"/>
            <w:noWrap/>
            <w:vAlign w:val="center"/>
            <w:hideMark/>
          </w:tcPr>
          <w:p w:rsidR="004D5657" w:rsidRPr="0071573C" w:rsidRDefault="004D5657" w:rsidP="003B609C">
            <w:pPr>
              <w:spacing w:after="0" w:line="360" w:lineRule="auto"/>
              <w:rPr>
                <w:rFonts w:ascii="Arial" w:hAnsi="Arial" w:cs="Arial"/>
                <w:sz w:val="18"/>
                <w:szCs w:val="18"/>
                <w:lang w:val="en-US" w:eastAsia="de-DE"/>
              </w:rPr>
            </w:pPr>
            <w:r w:rsidRPr="0071573C">
              <w:rPr>
                <w:rFonts w:ascii="Arial" w:hAnsi="Arial" w:cs="Arial"/>
                <w:sz w:val="18"/>
                <w:szCs w:val="18"/>
                <w:lang w:val="en-US" w:eastAsia="de-DE"/>
              </w:rPr>
              <w:t>Compound</w:t>
            </w:r>
          </w:p>
        </w:tc>
        <w:tc>
          <w:tcPr>
            <w:tcW w:w="0" w:type="auto"/>
            <w:shd w:val="clear" w:color="auto" w:fill="auto"/>
            <w:noWrap/>
            <w:vAlign w:val="center"/>
            <w:hideMark/>
          </w:tcPr>
          <w:p w:rsidR="004D5657" w:rsidRPr="0071573C" w:rsidRDefault="004D5657" w:rsidP="003B609C">
            <w:pPr>
              <w:spacing w:after="0" w:line="360" w:lineRule="auto"/>
              <w:rPr>
                <w:rFonts w:ascii="Arial" w:hAnsi="Arial" w:cs="Arial"/>
                <w:sz w:val="18"/>
                <w:szCs w:val="18"/>
                <w:lang w:val="en-US" w:eastAsia="de-DE"/>
              </w:rPr>
            </w:pPr>
            <w:r w:rsidRPr="0071573C">
              <w:rPr>
                <w:rFonts w:ascii="Arial" w:hAnsi="Arial" w:cs="Arial"/>
                <w:sz w:val="18"/>
                <w:szCs w:val="18"/>
                <w:lang w:val="en-US" w:eastAsia="de-DE"/>
              </w:rPr>
              <w:t xml:space="preserve">Precursor ion </w:t>
            </w:r>
            <w:r w:rsidRPr="0071573C">
              <w:rPr>
                <w:rFonts w:ascii="Arial" w:hAnsi="Arial" w:cs="Arial"/>
                <w:i/>
                <w:sz w:val="18"/>
                <w:szCs w:val="18"/>
                <w:lang w:val="en-US" w:eastAsia="de-DE"/>
              </w:rPr>
              <w:t>m/z</w:t>
            </w:r>
          </w:p>
        </w:tc>
        <w:tc>
          <w:tcPr>
            <w:tcW w:w="0" w:type="auto"/>
            <w:vAlign w:val="center"/>
          </w:tcPr>
          <w:p w:rsidR="004D5657" w:rsidRPr="0071573C" w:rsidRDefault="004D5657" w:rsidP="003B609C">
            <w:pPr>
              <w:spacing w:after="0" w:line="360" w:lineRule="auto"/>
              <w:rPr>
                <w:rFonts w:ascii="Arial" w:hAnsi="Arial" w:cs="Arial"/>
                <w:sz w:val="18"/>
                <w:szCs w:val="18"/>
                <w:lang w:val="en-US" w:eastAsia="de-DE"/>
              </w:rPr>
            </w:pPr>
            <w:r w:rsidRPr="0071573C">
              <w:rPr>
                <w:rFonts w:ascii="Arial" w:hAnsi="Arial" w:cs="Arial"/>
                <w:sz w:val="18"/>
                <w:szCs w:val="18"/>
                <w:lang w:val="en-US" w:eastAsia="de-DE"/>
              </w:rPr>
              <w:t xml:space="preserve">RT modified </w:t>
            </w:r>
          </w:p>
          <w:p w:rsidR="004D5657" w:rsidRPr="0071573C" w:rsidRDefault="004D5657" w:rsidP="003B609C">
            <w:pPr>
              <w:spacing w:after="0" w:line="360" w:lineRule="auto"/>
              <w:rPr>
                <w:rFonts w:ascii="Arial" w:hAnsi="Arial" w:cs="Arial"/>
                <w:sz w:val="18"/>
                <w:szCs w:val="18"/>
                <w:lang w:val="en-US" w:eastAsia="de-DE"/>
              </w:rPr>
            </w:pPr>
            <w:r w:rsidRPr="0071573C">
              <w:rPr>
                <w:rFonts w:ascii="Arial" w:hAnsi="Arial" w:cs="Arial"/>
                <w:sz w:val="18"/>
                <w:szCs w:val="18"/>
                <w:lang w:val="en-US" w:eastAsia="de-DE"/>
              </w:rPr>
              <w:t>gradient (min)</w:t>
            </w:r>
          </w:p>
        </w:tc>
        <w:tc>
          <w:tcPr>
            <w:tcW w:w="0" w:type="auto"/>
            <w:shd w:val="clear" w:color="auto" w:fill="auto"/>
            <w:noWrap/>
            <w:vAlign w:val="center"/>
            <w:hideMark/>
          </w:tcPr>
          <w:p w:rsidR="004D5657" w:rsidRPr="0071573C" w:rsidRDefault="004D5657" w:rsidP="003B609C">
            <w:pPr>
              <w:spacing w:after="0" w:line="360" w:lineRule="auto"/>
              <w:rPr>
                <w:rFonts w:ascii="Arial" w:hAnsi="Arial" w:cs="Arial"/>
                <w:sz w:val="18"/>
                <w:szCs w:val="18"/>
                <w:lang w:val="en-US" w:eastAsia="de-DE"/>
              </w:rPr>
            </w:pPr>
            <w:r w:rsidRPr="0071573C">
              <w:rPr>
                <w:rFonts w:ascii="Arial" w:hAnsi="Arial" w:cs="Arial"/>
                <w:sz w:val="18"/>
                <w:szCs w:val="18"/>
                <w:lang w:val="en-US" w:eastAsia="de-DE"/>
              </w:rPr>
              <w:t xml:space="preserve">Product ion </w:t>
            </w:r>
            <w:r w:rsidRPr="0071573C">
              <w:rPr>
                <w:rFonts w:ascii="Arial" w:hAnsi="Arial" w:cs="Arial"/>
                <w:i/>
                <w:sz w:val="18"/>
                <w:szCs w:val="18"/>
                <w:lang w:val="en-US" w:eastAsia="de-DE"/>
              </w:rPr>
              <w:t>m/z</w:t>
            </w:r>
          </w:p>
        </w:tc>
        <w:tc>
          <w:tcPr>
            <w:tcW w:w="0" w:type="auto"/>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r w:rsidRPr="0071573C">
              <w:rPr>
                <w:rFonts w:ascii="Arial" w:hAnsi="Arial" w:cs="Arial"/>
                <w:sz w:val="18"/>
                <w:szCs w:val="18"/>
                <w:lang w:val="en-US" w:eastAsia="de-DE"/>
              </w:rPr>
              <w:t>Col</w:t>
            </w:r>
            <w:r w:rsidRPr="00F71223">
              <w:rPr>
                <w:rFonts w:ascii="Arial" w:hAnsi="Arial" w:cs="Arial"/>
                <w:sz w:val="18"/>
                <w:szCs w:val="18"/>
                <w:lang w:eastAsia="de-DE"/>
              </w:rPr>
              <w:t>lision Energy (V)</w:t>
            </w:r>
          </w:p>
        </w:tc>
      </w:tr>
      <w:tr w:rsidR="004D5657" w:rsidRPr="00F71223" w:rsidTr="002D3AF5">
        <w:trPr>
          <w:trHeight w:val="170"/>
        </w:trPr>
        <w:tc>
          <w:tcPr>
            <w:tcW w:w="0" w:type="auto"/>
            <w:vMerge w:val="restart"/>
            <w:shd w:val="clear" w:color="auto" w:fill="auto"/>
            <w:noWrap/>
            <w:vAlign w:val="center"/>
            <w:hideMark/>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d3-AA-3NPH</w:t>
            </w:r>
          </w:p>
        </w:tc>
        <w:tc>
          <w:tcPr>
            <w:tcW w:w="0" w:type="auto"/>
            <w:vMerge w:val="restart"/>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r w:rsidRPr="00F71223">
              <w:rPr>
                <w:rFonts w:ascii="Arial" w:hAnsi="Arial" w:cs="Arial"/>
                <w:sz w:val="18"/>
                <w:szCs w:val="18"/>
                <w:lang w:eastAsia="de-DE"/>
              </w:rPr>
              <w:t>197.054</w:t>
            </w:r>
          </w:p>
        </w:tc>
        <w:tc>
          <w:tcPr>
            <w:tcW w:w="0" w:type="auto"/>
            <w:vMerge w:val="restart"/>
            <w:vAlign w:val="center"/>
          </w:tcPr>
          <w:p w:rsidR="004D5657" w:rsidRPr="00F71223" w:rsidRDefault="004D5657" w:rsidP="003B609C">
            <w:pPr>
              <w:spacing w:after="0" w:line="360" w:lineRule="auto"/>
              <w:rPr>
                <w:rFonts w:ascii="Arial" w:hAnsi="Arial" w:cs="Arial"/>
                <w:sz w:val="18"/>
                <w:szCs w:val="18"/>
                <w:lang w:eastAsia="de-DE"/>
              </w:rPr>
            </w:pPr>
            <w:r w:rsidRPr="00F71223">
              <w:rPr>
                <w:rFonts w:ascii="Arial" w:hAnsi="Arial" w:cs="Arial"/>
                <w:sz w:val="18"/>
                <w:szCs w:val="18"/>
                <w:lang w:eastAsia="de-DE"/>
              </w:rPr>
              <w:t>8.4</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153</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-14</w:t>
            </w:r>
          </w:p>
        </w:tc>
      </w:tr>
      <w:tr w:rsidR="004D5657" w:rsidRPr="00F71223" w:rsidTr="002D3AF5">
        <w:trPr>
          <w:trHeight w:val="170"/>
        </w:trPr>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vAlign w:val="center"/>
          </w:tcPr>
          <w:p w:rsidR="004D5657" w:rsidRPr="00F71223" w:rsidRDefault="004D5657" w:rsidP="003B609C">
            <w:pPr>
              <w:spacing w:after="0" w:line="360" w:lineRule="auto"/>
              <w:rPr>
                <w:rFonts w:ascii="Arial" w:hAnsi="Arial" w:cs="Arial"/>
                <w:sz w:val="18"/>
                <w:szCs w:val="18"/>
                <w:lang w:eastAsia="de-DE"/>
              </w:rPr>
            </w:pP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154</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-14</w:t>
            </w:r>
          </w:p>
        </w:tc>
      </w:tr>
      <w:tr w:rsidR="004D5657" w:rsidRPr="00F71223" w:rsidTr="002D3AF5">
        <w:trPr>
          <w:trHeight w:val="170"/>
        </w:trPr>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vAlign w:val="center"/>
          </w:tcPr>
          <w:p w:rsidR="004D5657" w:rsidRPr="00F71223" w:rsidRDefault="004D5657" w:rsidP="003B609C">
            <w:pPr>
              <w:spacing w:after="0" w:line="360" w:lineRule="auto"/>
              <w:rPr>
                <w:rFonts w:ascii="Arial" w:hAnsi="Arial" w:cs="Arial"/>
                <w:sz w:val="18"/>
                <w:szCs w:val="18"/>
                <w:lang w:eastAsia="de-DE"/>
              </w:rPr>
            </w:pP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137</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-19</w:t>
            </w:r>
          </w:p>
        </w:tc>
      </w:tr>
      <w:tr w:rsidR="004D5657" w:rsidRPr="00F71223" w:rsidTr="002D3AF5">
        <w:trPr>
          <w:trHeight w:val="170"/>
        </w:trPr>
        <w:tc>
          <w:tcPr>
            <w:tcW w:w="0" w:type="auto"/>
            <w:vMerge w:val="restart"/>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r w:rsidRPr="00F71223">
              <w:rPr>
                <w:rFonts w:ascii="Arial" w:hAnsi="Arial" w:cs="Arial"/>
                <w:sz w:val="18"/>
                <w:szCs w:val="18"/>
                <w:lang w:val="en-US" w:eastAsia="de-DE"/>
              </w:rPr>
              <w:t>d5-PA-3NPH</w:t>
            </w:r>
          </w:p>
        </w:tc>
        <w:tc>
          <w:tcPr>
            <w:tcW w:w="0" w:type="auto"/>
            <w:vMerge w:val="restart"/>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r w:rsidRPr="00F71223">
              <w:rPr>
                <w:rFonts w:ascii="Arial" w:hAnsi="Arial" w:cs="Arial"/>
                <w:sz w:val="18"/>
                <w:szCs w:val="18"/>
                <w:lang w:eastAsia="de-DE"/>
              </w:rPr>
              <w:t>213.138</w:t>
            </w:r>
          </w:p>
        </w:tc>
        <w:tc>
          <w:tcPr>
            <w:tcW w:w="0" w:type="auto"/>
            <w:vMerge w:val="restart"/>
            <w:vAlign w:val="center"/>
          </w:tcPr>
          <w:p w:rsidR="004D5657" w:rsidRPr="00F71223" w:rsidRDefault="004D5657" w:rsidP="003B609C">
            <w:pPr>
              <w:spacing w:after="0" w:line="360" w:lineRule="auto"/>
              <w:rPr>
                <w:rFonts w:ascii="Arial" w:hAnsi="Arial" w:cs="Arial"/>
                <w:sz w:val="18"/>
                <w:szCs w:val="18"/>
                <w:lang w:eastAsia="de-DE"/>
              </w:rPr>
            </w:pPr>
            <w:r w:rsidRPr="00F71223">
              <w:rPr>
                <w:rFonts w:ascii="Arial" w:hAnsi="Arial" w:cs="Arial"/>
                <w:sz w:val="18"/>
                <w:szCs w:val="18"/>
                <w:lang w:eastAsia="de-DE"/>
              </w:rPr>
              <w:t>10.7</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170</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-14</w:t>
            </w:r>
          </w:p>
        </w:tc>
      </w:tr>
      <w:tr w:rsidR="004D5657" w:rsidRPr="00F71223" w:rsidTr="002D3AF5">
        <w:trPr>
          <w:trHeight w:val="170"/>
        </w:trPr>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vAlign w:val="center"/>
          </w:tcPr>
          <w:p w:rsidR="004D5657" w:rsidRPr="00F71223" w:rsidRDefault="004D5657" w:rsidP="003B609C">
            <w:pPr>
              <w:spacing w:after="0" w:line="360" w:lineRule="auto"/>
              <w:rPr>
                <w:rFonts w:ascii="Arial" w:hAnsi="Arial" w:cs="Arial"/>
                <w:sz w:val="18"/>
                <w:szCs w:val="18"/>
                <w:lang w:eastAsia="de-DE"/>
              </w:rPr>
            </w:pP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153</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-16</w:t>
            </w:r>
          </w:p>
        </w:tc>
      </w:tr>
      <w:tr w:rsidR="004D5657" w:rsidRPr="00F71223" w:rsidTr="002D3AF5">
        <w:trPr>
          <w:trHeight w:val="170"/>
        </w:trPr>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vAlign w:val="center"/>
          </w:tcPr>
          <w:p w:rsidR="004D5657" w:rsidRPr="00F71223" w:rsidRDefault="004D5657" w:rsidP="003B609C">
            <w:pPr>
              <w:spacing w:after="0" w:line="360" w:lineRule="auto"/>
              <w:rPr>
                <w:rFonts w:ascii="Arial" w:hAnsi="Arial" w:cs="Arial"/>
                <w:sz w:val="18"/>
                <w:szCs w:val="18"/>
                <w:lang w:eastAsia="de-DE"/>
              </w:rPr>
            </w:pP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137</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-21</w:t>
            </w:r>
          </w:p>
        </w:tc>
      </w:tr>
      <w:tr w:rsidR="004D5657" w:rsidRPr="00F71223" w:rsidTr="002D3AF5">
        <w:trPr>
          <w:trHeight w:val="170"/>
        </w:trPr>
        <w:tc>
          <w:tcPr>
            <w:tcW w:w="0" w:type="auto"/>
            <w:vMerge w:val="restart"/>
            <w:shd w:val="clear" w:color="auto" w:fill="auto"/>
            <w:noWrap/>
            <w:vAlign w:val="center"/>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d7-BA-3NPH</w:t>
            </w:r>
          </w:p>
        </w:tc>
        <w:tc>
          <w:tcPr>
            <w:tcW w:w="0" w:type="auto"/>
            <w:vMerge w:val="restart"/>
            <w:shd w:val="clear" w:color="auto" w:fill="auto"/>
            <w:noWrap/>
            <w:vAlign w:val="center"/>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229.129</w:t>
            </w:r>
          </w:p>
        </w:tc>
        <w:tc>
          <w:tcPr>
            <w:tcW w:w="0" w:type="auto"/>
            <w:vMerge w:val="restart"/>
            <w:vAlign w:val="center"/>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12.9</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153</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-17</w:t>
            </w:r>
          </w:p>
        </w:tc>
      </w:tr>
      <w:tr w:rsidR="004D5657" w:rsidRPr="00F71223" w:rsidTr="002D3AF5">
        <w:trPr>
          <w:trHeight w:val="170"/>
        </w:trPr>
        <w:tc>
          <w:tcPr>
            <w:tcW w:w="0" w:type="auto"/>
            <w:vMerge/>
            <w:shd w:val="clear" w:color="auto" w:fill="auto"/>
            <w:noWrap/>
            <w:vAlign w:val="center"/>
          </w:tcPr>
          <w:p w:rsidR="004D5657" w:rsidRPr="00F71223" w:rsidRDefault="004D5657" w:rsidP="003B609C">
            <w:pPr>
              <w:spacing w:after="0" w:line="360" w:lineRule="auto"/>
              <w:rPr>
                <w:rFonts w:ascii="Arial" w:hAnsi="Arial" w:cs="Arial"/>
                <w:sz w:val="18"/>
                <w:szCs w:val="18"/>
                <w:lang w:val="en-US" w:eastAsia="de-DE"/>
              </w:rPr>
            </w:pPr>
          </w:p>
        </w:tc>
        <w:tc>
          <w:tcPr>
            <w:tcW w:w="0" w:type="auto"/>
            <w:vMerge/>
            <w:shd w:val="clear" w:color="auto" w:fill="auto"/>
            <w:noWrap/>
            <w:vAlign w:val="center"/>
          </w:tcPr>
          <w:p w:rsidR="004D5657" w:rsidRPr="00F71223" w:rsidRDefault="004D5657" w:rsidP="003B609C">
            <w:pPr>
              <w:spacing w:after="0" w:line="360" w:lineRule="auto"/>
              <w:rPr>
                <w:rFonts w:ascii="Arial" w:hAnsi="Arial" w:cs="Arial"/>
                <w:sz w:val="18"/>
                <w:szCs w:val="18"/>
                <w:lang w:val="en-US" w:eastAsia="de-DE"/>
              </w:rPr>
            </w:pPr>
          </w:p>
        </w:tc>
        <w:tc>
          <w:tcPr>
            <w:tcW w:w="0" w:type="auto"/>
            <w:vMerge/>
            <w:vAlign w:val="center"/>
          </w:tcPr>
          <w:p w:rsidR="004D5657" w:rsidRPr="00F71223" w:rsidRDefault="004D5657" w:rsidP="003B609C">
            <w:pPr>
              <w:spacing w:after="0" w:line="360" w:lineRule="auto"/>
              <w:rPr>
                <w:rFonts w:ascii="Arial" w:hAnsi="Arial" w:cs="Arial"/>
                <w:sz w:val="18"/>
                <w:szCs w:val="18"/>
                <w:lang w:val="en-US" w:eastAsia="de-DE"/>
              </w:rPr>
            </w:pP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186</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-14</w:t>
            </w:r>
          </w:p>
        </w:tc>
      </w:tr>
      <w:tr w:rsidR="004D5657" w:rsidRPr="00F71223" w:rsidTr="002D3AF5">
        <w:trPr>
          <w:trHeight w:val="170"/>
        </w:trPr>
        <w:tc>
          <w:tcPr>
            <w:tcW w:w="0" w:type="auto"/>
            <w:vMerge/>
            <w:shd w:val="clear" w:color="auto" w:fill="auto"/>
            <w:noWrap/>
            <w:vAlign w:val="center"/>
          </w:tcPr>
          <w:p w:rsidR="004D5657" w:rsidRPr="00F71223" w:rsidRDefault="004D5657" w:rsidP="003B609C">
            <w:pPr>
              <w:spacing w:after="0" w:line="360" w:lineRule="auto"/>
              <w:rPr>
                <w:rFonts w:ascii="Arial" w:hAnsi="Arial" w:cs="Arial"/>
                <w:sz w:val="18"/>
                <w:szCs w:val="18"/>
                <w:lang w:val="en-US" w:eastAsia="de-DE"/>
              </w:rPr>
            </w:pPr>
          </w:p>
        </w:tc>
        <w:tc>
          <w:tcPr>
            <w:tcW w:w="0" w:type="auto"/>
            <w:vMerge/>
            <w:shd w:val="clear" w:color="auto" w:fill="auto"/>
            <w:noWrap/>
            <w:vAlign w:val="center"/>
          </w:tcPr>
          <w:p w:rsidR="004D5657" w:rsidRPr="00F71223" w:rsidRDefault="004D5657" w:rsidP="003B609C">
            <w:pPr>
              <w:spacing w:after="0" w:line="360" w:lineRule="auto"/>
              <w:rPr>
                <w:rFonts w:ascii="Arial" w:hAnsi="Arial" w:cs="Arial"/>
                <w:sz w:val="18"/>
                <w:szCs w:val="18"/>
                <w:lang w:val="en-US" w:eastAsia="de-DE"/>
              </w:rPr>
            </w:pPr>
          </w:p>
        </w:tc>
        <w:tc>
          <w:tcPr>
            <w:tcW w:w="0" w:type="auto"/>
            <w:vMerge/>
            <w:vAlign w:val="center"/>
          </w:tcPr>
          <w:p w:rsidR="004D5657" w:rsidRPr="00F71223" w:rsidRDefault="004D5657" w:rsidP="003B609C">
            <w:pPr>
              <w:spacing w:after="0" w:line="360" w:lineRule="auto"/>
              <w:rPr>
                <w:rFonts w:ascii="Arial" w:hAnsi="Arial" w:cs="Arial"/>
                <w:sz w:val="18"/>
                <w:szCs w:val="18"/>
                <w:lang w:val="en-US" w:eastAsia="de-DE"/>
              </w:rPr>
            </w:pP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137</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-21</w:t>
            </w:r>
          </w:p>
        </w:tc>
      </w:tr>
      <w:tr w:rsidR="004D5657" w:rsidRPr="00F71223" w:rsidTr="002D3AF5">
        <w:trPr>
          <w:trHeight w:val="170"/>
        </w:trPr>
        <w:tc>
          <w:tcPr>
            <w:tcW w:w="0" w:type="auto"/>
            <w:vMerge w:val="restart"/>
            <w:shd w:val="clear" w:color="auto" w:fill="auto"/>
            <w:noWrap/>
            <w:vAlign w:val="center"/>
            <w:hideMark/>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d9-VA-3NPH</w:t>
            </w:r>
          </w:p>
        </w:tc>
        <w:tc>
          <w:tcPr>
            <w:tcW w:w="0" w:type="auto"/>
            <w:vMerge w:val="restart"/>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r w:rsidRPr="00F71223">
              <w:rPr>
                <w:rFonts w:ascii="Arial" w:hAnsi="Arial" w:cs="Arial"/>
                <w:sz w:val="18"/>
                <w:szCs w:val="18"/>
                <w:lang w:eastAsia="de-DE"/>
              </w:rPr>
              <w:t>245.179</w:t>
            </w:r>
          </w:p>
        </w:tc>
        <w:tc>
          <w:tcPr>
            <w:tcW w:w="0" w:type="auto"/>
            <w:vMerge w:val="restart"/>
            <w:vAlign w:val="center"/>
          </w:tcPr>
          <w:p w:rsidR="004D5657" w:rsidRPr="00F71223" w:rsidRDefault="004D5657" w:rsidP="003B609C">
            <w:pPr>
              <w:spacing w:after="0" w:line="360" w:lineRule="auto"/>
              <w:rPr>
                <w:rFonts w:ascii="Arial" w:hAnsi="Arial" w:cs="Arial"/>
                <w:sz w:val="18"/>
                <w:szCs w:val="18"/>
                <w:lang w:eastAsia="de-DE"/>
              </w:rPr>
            </w:pPr>
            <w:r w:rsidRPr="00F71223">
              <w:rPr>
                <w:rFonts w:ascii="Arial" w:hAnsi="Arial" w:cs="Arial"/>
                <w:sz w:val="18"/>
                <w:szCs w:val="18"/>
                <w:lang w:eastAsia="de-DE"/>
              </w:rPr>
              <w:t>15.0</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153</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-18</w:t>
            </w:r>
          </w:p>
        </w:tc>
      </w:tr>
      <w:tr w:rsidR="004D5657" w:rsidRPr="00F71223" w:rsidTr="002D3AF5">
        <w:trPr>
          <w:trHeight w:val="170"/>
        </w:trPr>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vAlign w:val="center"/>
          </w:tcPr>
          <w:p w:rsidR="004D5657" w:rsidRPr="00F71223" w:rsidRDefault="004D5657" w:rsidP="003B609C">
            <w:pPr>
              <w:spacing w:after="0" w:line="360" w:lineRule="auto"/>
              <w:rPr>
                <w:rFonts w:ascii="Arial" w:hAnsi="Arial" w:cs="Arial"/>
                <w:sz w:val="18"/>
                <w:szCs w:val="18"/>
                <w:lang w:eastAsia="de-DE"/>
              </w:rPr>
            </w:pP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202</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-14</w:t>
            </w:r>
          </w:p>
        </w:tc>
      </w:tr>
      <w:tr w:rsidR="004D5657" w:rsidRPr="00F71223" w:rsidTr="002D3AF5">
        <w:trPr>
          <w:trHeight w:val="170"/>
        </w:trPr>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vAlign w:val="center"/>
          </w:tcPr>
          <w:p w:rsidR="004D5657" w:rsidRPr="00F71223" w:rsidRDefault="004D5657" w:rsidP="003B609C">
            <w:pPr>
              <w:spacing w:after="0" w:line="360" w:lineRule="auto"/>
              <w:rPr>
                <w:rFonts w:ascii="Arial" w:hAnsi="Arial" w:cs="Arial"/>
                <w:sz w:val="18"/>
                <w:szCs w:val="18"/>
                <w:lang w:eastAsia="de-DE"/>
              </w:rPr>
            </w:pP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137</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-22</w:t>
            </w:r>
          </w:p>
        </w:tc>
      </w:tr>
      <w:tr w:rsidR="004D5657" w:rsidRPr="00F71223" w:rsidTr="002D3AF5">
        <w:trPr>
          <w:trHeight w:val="170"/>
        </w:trPr>
        <w:tc>
          <w:tcPr>
            <w:tcW w:w="0" w:type="auto"/>
            <w:vMerge w:val="restart"/>
            <w:shd w:val="clear" w:color="auto" w:fill="auto"/>
            <w:noWrap/>
            <w:vAlign w:val="center"/>
            <w:hideMark/>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d11-HA-3NPH</w:t>
            </w:r>
          </w:p>
        </w:tc>
        <w:tc>
          <w:tcPr>
            <w:tcW w:w="0" w:type="auto"/>
            <w:vMerge w:val="restart"/>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r w:rsidRPr="00F71223">
              <w:rPr>
                <w:rFonts w:ascii="Arial" w:hAnsi="Arial" w:cs="Arial"/>
                <w:sz w:val="18"/>
                <w:szCs w:val="18"/>
                <w:lang w:eastAsia="de-DE"/>
              </w:rPr>
              <w:t>261.225</w:t>
            </w:r>
          </w:p>
        </w:tc>
        <w:tc>
          <w:tcPr>
            <w:tcW w:w="0" w:type="auto"/>
            <w:vMerge w:val="restart"/>
            <w:vAlign w:val="center"/>
          </w:tcPr>
          <w:p w:rsidR="004D5657" w:rsidRPr="00F71223" w:rsidRDefault="004D5657" w:rsidP="003B609C">
            <w:pPr>
              <w:spacing w:after="0" w:line="360" w:lineRule="auto"/>
              <w:rPr>
                <w:rFonts w:ascii="Arial" w:hAnsi="Arial" w:cs="Arial"/>
                <w:sz w:val="18"/>
                <w:szCs w:val="18"/>
                <w:lang w:eastAsia="de-DE"/>
              </w:rPr>
            </w:pPr>
            <w:r w:rsidRPr="00F71223">
              <w:rPr>
                <w:rFonts w:ascii="Arial" w:hAnsi="Arial" w:cs="Arial"/>
                <w:sz w:val="18"/>
                <w:szCs w:val="18"/>
                <w:lang w:eastAsia="de-DE"/>
              </w:rPr>
              <w:t>17.0</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153</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-20</w:t>
            </w:r>
          </w:p>
        </w:tc>
      </w:tr>
      <w:tr w:rsidR="004D5657" w:rsidRPr="00F71223" w:rsidTr="002D3AF5">
        <w:trPr>
          <w:trHeight w:val="170"/>
        </w:trPr>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vAlign w:val="center"/>
          </w:tcPr>
          <w:p w:rsidR="004D5657" w:rsidRPr="00F71223" w:rsidRDefault="004D5657" w:rsidP="003B609C">
            <w:pPr>
              <w:spacing w:after="0" w:line="360" w:lineRule="auto"/>
              <w:rPr>
                <w:rFonts w:ascii="Arial" w:hAnsi="Arial" w:cs="Arial"/>
                <w:sz w:val="18"/>
                <w:szCs w:val="18"/>
                <w:lang w:eastAsia="de-DE"/>
              </w:rPr>
            </w:pP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218</w:t>
            </w:r>
          </w:p>
        </w:tc>
        <w:tc>
          <w:tcPr>
            <w:tcW w:w="0" w:type="auto"/>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-15</w:t>
            </w:r>
          </w:p>
        </w:tc>
      </w:tr>
      <w:tr w:rsidR="004D5657" w:rsidRPr="00F71223" w:rsidTr="002D3AF5">
        <w:trPr>
          <w:trHeight w:val="170"/>
        </w:trPr>
        <w:tc>
          <w:tcPr>
            <w:tcW w:w="0" w:type="auto"/>
            <w:vMerge/>
            <w:tcBorders>
              <w:bottom w:val="single" w:sz="4" w:space="0" w:color="auto"/>
            </w:tcBorders>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tcBorders>
              <w:bottom w:val="single" w:sz="4" w:space="0" w:color="auto"/>
            </w:tcBorders>
            <w:shd w:val="clear" w:color="auto" w:fill="auto"/>
            <w:noWrap/>
            <w:vAlign w:val="center"/>
            <w:hideMark/>
          </w:tcPr>
          <w:p w:rsidR="004D5657" w:rsidRPr="00F71223" w:rsidRDefault="004D5657" w:rsidP="003B609C">
            <w:pPr>
              <w:spacing w:after="0" w:line="360" w:lineRule="auto"/>
              <w:rPr>
                <w:rFonts w:ascii="Arial" w:hAnsi="Arial" w:cs="Arial"/>
                <w:sz w:val="18"/>
                <w:szCs w:val="18"/>
                <w:lang w:eastAsia="de-DE"/>
              </w:rPr>
            </w:pPr>
          </w:p>
        </w:tc>
        <w:tc>
          <w:tcPr>
            <w:tcW w:w="0" w:type="auto"/>
            <w:vMerge/>
            <w:tcBorders>
              <w:bottom w:val="single" w:sz="4" w:space="0" w:color="auto"/>
            </w:tcBorders>
            <w:vAlign w:val="center"/>
          </w:tcPr>
          <w:p w:rsidR="004D5657" w:rsidRPr="00F71223" w:rsidRDefault="004D5657" w:rsidP="003B609C">
            <w:pPr>
              <w:spacing w:after="0" w:line="360" w:lineRule="auto"/>
              <w:rPr>
                <w:rFonts w:ascii="Arial" w:hAnsi="Arial" w:cs="Arial"/>
                <w:sz w:val="18"/>
                <w:szCs w:val="18"/>
                <w:lang w:eastAsia="de-DE"/>
              </w:rPr>
            </w:pPr>
          </w:p>
        </w:tc>
        <w:tc>
          <w:tcPr>
            <w:tcW w:w="0" w:type="auto"/>
            <w:tcBorders>
              <w:bottom w:val="single" w:sz="4" w:space="0" w:color="auto"/>
            </w:tcBorders>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137</w:t>
            </w:r>
          </w:p>
        </w:tc>
        <w:tc>
          <w:tcPr>
            <w:tcW w:w="0" w:type="auto"/>
            <w:tcBorders>
              <w:bottom w:val="single" w:sz="4" w:space="0" w:color="auto"/>
            </w:tcBorders>
            <w:shd w:val="clear" w:color="auto" w:fill="auto"/>
            <w:noWrap/>
            <w:vAlign w:val="bottom"/>
          </w:tcPr>
          <w:p w:rsidR="004D5657" w:rsidRPr="00F71223" w:rsidRDefault="004D5657" w:rsidP="003B609C">
            <w:pPr>
              <w:spacing w:after="0" w:line="360" w:lineRule="auto"/>
              <w:rPr>
                <w:rFonts w:ascii="Arial" w:hAnsi="Arial" w:cs="Arial"/>
                <w:sz w:val="18"/>
                <w:szCs w:val="18"/>
                <w:lang w:val="en-US" w:eastAsia="de-DE"/>
              </w:rPr>
            </w:pPr>
            <w:r w:rsidRPr="00F71223">
              <w:rPr>
                <w:rFonts w:ascii="Arial" w:hAnsi="Arial" w:cs="Arial"/>
                <w:sz w:val="18"/>
                <w:szCs w:val="18"/>
                <w:lang w:val="en-US" w:eastAsia="de-DE"/>
              </w:rPr>
              <w:t>-22</w:t>
            </w:r>
          </w:p>
        </w:tc>
      </w:tr>
      <w:tr w:rsidR="004D5657" w:rsidRPr="003A543A" w:rsidTr="002D3AF5">
        <w:trPr>
          <w:trHeight w:val="170"/>
        </w:trPr>
        <w:tc>
          <w:tcPr>
            <w:tcW w:w="0" w:type="auto"/>
            <w:gridSpan w:val="5"/>
            <w:tcBorders>
              <w:top w:val="single" w:sz="4" w:space="0" w:color="auto"/>
              <w:left w:val="nil"/>
              <w:bottom w:val="nil"/>
              <w:right w:val="nil"/>
            </w:tcBorders>
            <w:shd w:val="clear" w:color="auto" w:fill="auto"/>
            <w:noWrap/>
            <w:vAlign w:val="center"/>
          </w:tcPr>
          <w:p w:rsidR="004D5657" w:rsidRPr="00901789" w:rsidRDefault="004D5657" w:rsidP="003B609C">
            <w:pPr>
              <w:spacing w:after="0" w:line="360" w:lineRule="auto"/>
              <w:rPr>
                <w:rFonts w:ascii="Arial" w:hAnsi="Arial" w:cs="Arial"/>
                <w:sz w:val="18"/>
                <w:szCs w:val="18"/>
                <w:lang w:val="en-US" w:eastAsia="de-DE"/>
              </w:rPr>
            </w:pPr>
            <w:r w:rsidRPr="00901789">
              <w:rPr>
                <w:rFonts w:ascii="Arial" w:hAnsi="Arial" w:cs="Arial"/>
                <w:sz w:val="18"/>
                <w:szCs w:val="18"/>
                <w:lang w:val="en-US" w:eastAsia="de-DE"/>
              </w:rPr>
              <w:t>d3-AA-3NPH: d3-acetic acid derivative, d5-PA-3NPH</w:t>
            </w:r>
            <w:r>
              <w:rPr>
                <w:rFonts w:ascii="Arial" w:hAnsi="Arial" w:cs="Arial"/>
                <w:sz w:val="18"/>
                <w:szCs w:val="18"/>
                <w:lang w:val="en-US" w:eastAsia="de-DE"/>
              </w:rPr>
              <w:t>: d5-propanoic</w:t>
            </w:r>
            <w:r w:rsidRPr="00901789">
              <w:rPr>
                <w:rFonts w:ascii="Arial" w:hAnsi="Arial" w:cs="Arial"/>
                <w:sz w:val="18"/>
                <w:szCs w:val="18"/>
                <w:lang w:val="en-US" w:eastAsia="de-DE"/>
              </w:rPr>
              <w:t xml:space="preserve"> acid derivative, d7-BA-3NPH</w:t>
            </w:r>
            <w:r>
              <w:rPr>
                <w:rFonts w:ascii="Arial" w:hAnsi="Arial" w:cs="Arial"/>
                <w:sz w:val="18"/>
                <w:szCs w:val="18"/>
                <w:lang w:val="en-US" w:eastAsia="de-DE"/>
              </w:rPr>
              <w:t xml:space="preserve">: d7-butyric acid </w:t>
            </w:r>
            <w:r w:rsidRPr="00901789">
              <w:rPr>
                <w:rFonts w:ascii="Arial" w:hAnsi="Arial" w:cs="Arial"/>
                <w:sz w:val="18"/>
                <w:szCs w:val="18"/>
                <w:lang w:val="en-US" w:eastAsia="de-DE"/>
              </w:rPr>
              <w:t>derivative, d9-VA-3NPH</w:t>
            </w:r>
            <w:r>
              <w:rPr>
                <w:rFonts w:ascii="Arial" w:hAnsi="Arial" w:cs="Arial"/>
                <w:sz w:val="18"/>
                <w:szCs w:val="18"/>
                <w:lang w:val="en-US" w:eastAsia="de-DE"/>
              </w:rPr>
              <w:t xml:space="preserve">: d9-valeric </w:t>
            </w:r>
            <w:r w:rsidRPr="00901789">
              <w:rPr>
                <w:rFonts w:ascii="Arial" w:hAnsi="Arial" w:cs="Arial"/>
                <w:sz w:val="18"/>
                <w:szCs w:val="18"/>
                <w:lang w:val="en-US" w:eastAsia="de-DE"/>
              </w:rPr>
              <w:t>acid derivative, d11-HA-3NPH</w:t>
            </w:r>
            <w:r>
              <w:rPr>
                <w:rFonts w:ascii="Arial" w:hAnsi="Arial" w:cs="Arial"/>
                <w:sz w:val="18"/>
                <w:szCs w:val="18"/>
                <w:lang w:val="en-US" w:eastAsia="de-DE"/>
              </w:rPr>
              <w:t xml:space="preserve">: d11-hexanoic </w:t>
            </w:r>
            <w:r w:rsidRPr="00901789">
              <w:rPr>
                <w:rFonts w:ascii="Arial" w:hAnsi="Arial" w:cs="Arial"/>
                <w:sz w:val="18"/>
                <w:szCs w:val="18"/>
                <w:lang w:val="en-US" w:eastAsia="de-DE"/>
              </w:rPr>
              <w:t>acid derivative</w:t>
            </w:r>
          </w:p>
        </w:tc>
      </w:tr>
    </w:tbl>
    <w:p w:rsidR="004D5657" w:rsidRPr="00901789" w:rsidRDefault="004D5657" w:rsidP="003B609C">
      <w:pPr>
        <w:spacing w:after="0" w:line="360" w:lineRule="auto"/>
        <w:jc w:val="both"/>
        <w:rPr>
          <w:rFonts w:ascii="Arial" w:hAnsi="Arial" w:cs="Arial"/>
          <w:sz w:val="24"/>
          <w:szCs w:val="24"/>
          <w:lang w:val="en-US"/>
        </w:rPr>
      </w:pPr>
    </w:p>
    <w:p w:rsidR="004D5657" w:rsidRPr="0046532B" w:rsidRDefault="004D5657" w:rsidP="003B609C">
      <w:pPr>
        <w:pStyle w:val="Subtitle"/>
        <w:spacing w:line="360" w:lineRule="auto"/>
      </w:pPr>
      <w:bookmarkStart w:id="3" w:name="_Toc84585302"/>
      <w:r>
        <w:t>Partial m</w:t>
      </w:r>
      <w:r w:rsidRPr="0046532B">
        <w:t>ethod validation</w:t>
      </w:r>
      <w:bookmarkEnd w:id="3"/>
    </w:p>
    <w:p w:rsidR="004D5657" w:rsidRDefault="004D5657" w:rsidP="003B609C">
      <w:pPr>
        <w:spacing w:after="0" w:line="360" w:lineRule="auto"/>
        <w:jc w:val="both"/>
        <w:rPr>
          <w:rFonts w:ascii="Arial" w:hAnsi="Arial" w:cs="Arial"/>
          <w:sz w:val="24"/>
          <w:szCs w:val="24"/>
          <w:lang w:val="en-US"/>
        </w:rPr>
      </w:pPr>
      <w:r>
        <w:rPr>
          <w:rFonts w:ascii="Arial" w:hAnsi="Arial" w:cs="Arial"/>
          <w:sz w:val="24"/>
          <w:szCs w:val="24"/>
          <w:lang w:val="en-US"/>
        </w:rPr>
        <w:t xml:space="preserve">The proposed method </w:t>
      </w:r>
      <w:proofErr w:type="gramStart"/>
      <w:r>
        <w:rPr>
          <w:rFonts w:ascii="Arial" w:hAnsi="Arial" w:cs="Arial"/>
          <w:sz w:val="24"/>
          <w:szCs w:val="24"/>
          <w:lang w:val="en-US"/>
        </w:rPr>
        <w:t>was partially validated</w:t>
      </w:r>
      <w:proofErr w:type="gramEnd"/>
      <w:r>
        <w:rPr>
          <w:rFonts w:ascii="Arial" w:hAnsi="Arial" w:cs="Arial"/>
          <w:sz w:val="24"/>
          <w:szCs w:val="24"/>
          <w:lang w:val="en-US"/>
        </w:rPr>
        <w:t xml:space="preserve"> according to the EMA guidelines for bioanalytical method validation </w:t>
      </w:r>
      <w:r>
        <w:rPr>
          <w:rFonts w:ascii="Arial" w:hAnsi="Arial" w:cs="Arial"/>
          <w:noProof/>
          <w:sz w:val="24"/>
          <w:szCs w:val="24"/>
          <w:lang w:val="en-US"/>
        </w:rPr>
        <w:t>[1]</w:t>
      </w:r>
      <w:r>
        <w:rPr>
          <w:rFonts w:ascii="Arial" w:hAnsi="Arial" w:cs="Arial"/>
          <w:sz w:val="24"/>
          <w:szCs w:val="24"/>
          <w:lang w:val="en-US"/>
        </w:rPr>
        <w:t xml:space="preserve">. Peak areas of the metabolites of interest </w:t>
      </w:r>
      <w:proofErr w:type="gramStart"/>
      <w:r>
        <w:rPr>
          <w:rFonts w:ascii="Arial" w:hAnsi="Arial" w:cs="Arial"/>
          <w:sz w:val="24"/>
          <w:szCs w:val="24"/>
          <w:lang w:val="en-US"/>
        </w:rPr>
        <w:t>were first normalized</w:t>
      </w:r>
      <w:proofErr w:type="gramEnd"/>
      <w:r>
        <w:rPr>
          <w:rFonts w:ascii="Arial" w:hAnsi="Arial" w:cs="Arial"/>
          <w:sz w:val="24"/>
          <w:szCs w:val="24"/>
          <w:lang w:val="en-US"/>
        </w:rPr>
        <w:t xml:space="preserve"> to the following heavy labelled internal standards (ISTD): d3-AA for AA and HBA; d5-PA for PA and HMB; d7-BA for IBA and BA; d9-VA for MBA, IVA and VA; and d11-HA for HA and </w:t>
      </w:r>
      <w:proofErr w:type="spellStart"/>
      <w:r>
        <w:rPr>
          <w:rFonts w:ascii="Arial" w:hAnsi="Arial" w:cs="Arial"/>
          <w:sz w:val="24"/>
          <w:szCs w:val="24"/>
          <w:lang w:val="en-US"/>
        </w:rPr>
        <w:t>AcAA</w:t>
      </w:r>
      <w:proofErr w:type="spellEnd"/>
      <w:r>
        <w:rPr>
          <w:rFonts w:ascii="Arial" w:hAnsi="Arial" w:cs="Arial"/>
          <w:sz w:val="24"/>
          <w:szCs w:val="24"/>
          <w:lang w:val="en-US"/>
        </w:rPr>
        <w:t xml:space="preserve">. Calibration curves spiked into commercial mouse plasma </w:t>
      </w:r>
      <w:proofErr w:type="gramStart"/>
      <w:r>
        <w:rPr>
          <w:rFonts w:ascii="Arial" w:hAnsi="Arial" w:cs="Arial"/>
          <w:sz w:val="24"/>
          <w:szCs w:val="24"/>
          <w:lang w:val="en-US"/>
        </w:rPr>
        <w:lastRenderedPageBreak/>
        <w:t>were used</w:t>
      </w:r>
      <w:proofErr w:type="gramEnd"/>
      <w:r>
        <w:rPr>
          <w:rFonts w:ascii="Arial" w:hAnsi="Arial" w:cs="Arial"/>
          <w:sz w:val="24"/>
          <w:szCs w:val="24"/>
          <w:lang w:val="en-US"/>
        </w:rPr>
        <w:t xml:space="preserve"> for the calculation of concentration accuracy and precision (Table S2). </w:t>
      </w:r>
      <w:r w:rsidRPr="007978FC">
        <w:rPr>
          <w:rFonts w:ascii="Arial" w:hAnsi="Arial" w:cs="Arial"/>
          <w:sz w:val="24"/>
          <w:szCs w:val="24"/>
          <w:lang w:val="en-US"/>
        </w:rPr>
        <w:t xml:space="preserve">Background </w:t>
      </w:r>
      <w:r>
        <w:rPr>
          <w:rFonts w:ascii="Arial" w:hAnsi="Arial" w:cs="Arial"/>
          <w:sz w:val="24"/>
          <w:szCs w:val="24"/>
          <w:lang w:val="en-US"/>
        </w:rPr>
        <w:t xml:space="preserve">(endogenous) </w:t>
      </w:r>
      <w:r w:rsidRPr="007978FC">
        <w:rPr>
          <w:rFonts w:ascii="Arial" w:hAnsi="Arial" w:cs="Arial"/>
          <w:sz w:val="24"/>
          <w:szCs w:val="24"/>
          <w:lang w:val="en-US"/>
        </w:rPr>
        <w:t>levels of metabolites</w:t>
      </w:r>
      <w:r>
        <w:rPr>
          <w:rFonts w:ascii="Arial" w:hAnsi="Arial" w:cs="Arial"/>
          <w:sz w:val="24"/>
          <w:szCs w:val="24"/>
          <w:lang w:val="en-US"/>
        </w:rPr>
        <w:t xml:space="preserve"> found </w:t>
      </w:r>
      <w:r w:rsidRPr="007978FC">
        <w:rPr>
          <w:rFonts w:ascii="Arial" w:hAnsi="Arial" w:cs="Arial"/>
          <w:sz w:val="24"/>
          <w:szCs w:val="24"/>
          <w:lang w:val="en-US"/>
        </w:rPr>
        <w:t xml:space="preserve">in the original plasma </w:t>
      </w:r>
      <w:proofErr w:type="gramStart"/>
      <w:r w:rsidRPr="007978FC">
        <w:rPr>
          <w:rFonts w:ascii="Arial" w:hAnsi="Arial" w:cs="Arial"/>
          <w:sz w:val="24"/>
          <w:szCs w:val="24"/>
          <w:lang w:val="en-US"/>
        </w:rPr>
        <w:t>were first subtracted</w:t>
      </w:r>
      <w:proofErr w:type="gramEnd"/>
      <w:r>
        <w:rPr>
          <w:rFonts w:ascii="Arial" w:hAnsi="Arial" w:cs="Arial"/>
          <w:sz w:val="24"/>
          <w:szCs w:val="24"/>
          <w:lang w:val="en-US"/>
        </w:rPr>
        <w:t xml:space="preserve"> before the analysis.</w:t>
      </w:r>
      <w:r w:rsidRPr="007978FC">
        <w:rPr>
          <w:rFonts w:ascii="Arial" w:hAnsi="Arial" w:cs="Arial"/>
          <w:sz w:val="24"/>
          <w:szCs w:val="24"/>
          <w:lang w:val="en-US"/>
        </w:rPr>
        <w:t xml:space="preserve"> </w:t>
      </w:r>
      <w:r>
        <w:rPr>
          <w:rFonts w:ascii="Arial" w:hAnsi="Arial" w:cs="Arial"/>
          <w:sz w:val="24"/>
          <w:szCs w:val="24"/>
          <w:lang w:val="en-US"/>
        </w:rPr>
        <w:t xml:space="preserve">Linearity </w:t>
      </w:r>
      <w:proofErr w:type="gramStart"/>
      <w:r>
        <w:rPr>
          <w:rFonts w:ascii="Arial" w:hAnsi="Arial" w:cs="Arial"/>
          <w:sz w:val="24"/>
          <w:szCs w:val="24"/>
          <w:lang w:val="en-US"/>
        </w:rPr>
        <w:t>was then assessed</w:t>
      </w:r>
      <w:proofErr w:type="gramEnd"/>
      <w:r>
        <w:rPr>
          <w:rFonts w:ascii="Arial" w:hAnsi="Arial" w:cs="Arial"/>
          <w:sz w:val="24"/>
          <w:szCs w:val="24"/>
          <w:lang w:val="en-US"/>
        </w:rPr>
        <w:t xml:space="preserve"> by evaluating the R</w:t>
      </w:r>
      <w:r w:rsidRPr="00045181">
        <w:rPr>
          <w:rFonts w:ascii="Arial" w:hAnsi="Arial" w:cs="Arial"/>
          <w:sz w:val="24"/>
          <w:szCs w:val="24"/>
          <w:vertAlign w:val="superscript"/>
          <w:lang w:val="en-US"/>
        </w:rPr>
        <w:t>2</w:t>
      </w:r>
      <w:r>
        <w:rPr>
          <w:rFonts w:ascii="Arial" w:hAnsi="Arial" w:cs="Arial"/>
          <w:sz w:val="24"/>
          <w:szCs w:val="24"/>
          <w:lang w:val="en-US"/>
        </w:rPr>
        <w:t xml:space="preserve"> of the subsequent calibration curves. Lower limits of quantification (LLOQs) and upper limits of quantification (ULOQs) were set as the lowest and highest calibration points of each compound’s linear range, respectively. LLOQs had to be equal or higher than </w:t>
      </w:r>
      <w:proofErr w:type="gramStart"/>
      <w:r>
        <w:rPr>
          <w:rFonts w:ascii="Arial" w:hAnsi="Arial" w:cs="Arial"/>
          <w:sz w:val="24"/>
          <w:szCs w:val="24"/>
          <w:lang w:val="en-US"/>
        </w:rPr>
        <w:t>5 x</w:t>
      </w:r>
      <w:proofErr w:type="gramEnd"/>
      <w:r>
        <w:rPr>
          <w:rFonts w:ascii="Arial" w:hAnsi="Arial" w:cs="Arial"/>
          <w:sz w:val="24"/>
          <w:szCs w:val="24"/>
          <w:lang w:val="en-US"/>
        </w:rPr>
        <w:t xml:space="preserve"> mean peak area of six process blank samples </w:t>
      </w:r>
      <w:r>
        <w:rPr>
          <w:rFonts w:ascii="Arial" w:hAnsi="Arial" w:cs="Arial"/>
          <w:noProof/>
          <w:sz w:val="24"/>
          <w:szCs w:val="24"/>
          <w:lang w:val="en-US"/>
        </w:rPr>
        <w:t>[1]</w:t>
      </w:r>
      <w:r>
        <w:rPr>
          <w:rFonts w:ascii="Arial" w:hAnsi="Arial" w:cs="Arial"/>
          <w:sz w:val="24"/>
          <w:szCs w:val="24"/>
          <w:lang w:val="en-US"/>
        </w:rPr>
        <w:t>.</w:t>
      </w:r>
    </w:p>
    <w:p w:rsidR="004D5657" w:rsidRDefault="004D5657" w:rsidP="003B609C">
      <w:pPr>
        <w:spacing w:after="0" w:line="360" w:lineRule="auto"/>
        <w:jc w:val="both"/>
        <w:rPr>
          <w:rFonts w:ascii="Arial" w:hAnsi="Arial" w:cs="Arial"/>
          <w:sz w:val="24"/>
          <w:szCs w:val="24"/>
          <w:lang w:val="en-US"/>
        </w:rPr>
      </w:pPr>
      <w:r>
        <w:rPr>
          <w:rFonts w:ascii="Arial" w:hAnsi="Arial" w:cs="Arial"/>
          <w:sz w:val="24"/>
          <w:szCs w:val="24"/>
          <w:lang w:val="en-US"/>
        </w:rPr>
        <w:t xml:space="preserve">Accuracy and precision were monitored using three levels of spiked standards in quality control (QC) samples </w:t>
      </w:r>
      <w:r>
        <w:rPr>
          <w:rFonts w:ascii="Arial" w:hAnsi="Arial" w:cs="Arial"/>
          <w:noProof/>
          <w:sz w:val="24"/>
          <w:szCs w:val="24"/>
          <w:lang w:val="en-US"/>
        </w:rPr>
        <w:t>[1]</w:t>
      </w:r>
      <w:r>
        <w:rPr>
          <w:rFonts w:ascii="Arial" w:hAnsi="Arial" w:cs="Arial"/>
          <w:sz w:val="24"/>
          <w:szCs w:val="24"/>
          <w:lang w:val="en-US"/>
        </w:rPr>
        <w:t xml:space="preserve">: low (QC_L), medium (QC_M) and high (QC_H) concentration (Table S2). For AA and HBA: </w:t>
      </w:r>
      <w:r w:rsidRPr="00F71223">
        <w:rPr>
          <w:rFonts w:ascii="Arial" w:hAnsi="Arial" w:cs="Arial"/>
          <w:sz w:val="24"/>
          <w:szCs w:val="24"/>
          <w:lang w:val="en-US"/>
        </w:rPr>
        <w:t>QC_L</w:t>
      </w:r>
      <w:r>
        <w:rPr>
          <w:rFonts w:ascii="Arial" w:hAnsi="Arial" w:cs="Arial"/>
          <w:sz w:val="24"/>
          <w:szCs w:val="24"/>
          <w:lang w:val="en-US"/>
        </w:rPr>
        <w:t xml:space="preserve"> = </w:t>
      </w:r>
      <w:r w:rsidRPr="00F71223">
        <w:rPr>
          <w:rFonts w:ascii="Arial" w:hAnsi="Arial" w:cs="Arial"/>
          <w:sz w:val="24"/>
          <w:szCs w:val="24"/>
          <w:lang w:val="en-US"/>
        </w:rPr>
        <w:t>111.11</w:t>
      </w:r>
      <w:r>
        <w:rPr>
          <w:rFonts w:ascii="Arial" w:hAnsi="Arial" w:cs="Arial"/>
          <w:sz w:val="24"/>
          <w:szCs w:val="24"/>
          <w:lang w:val="en-US"/>
        </w:rPr>
        <w:t xml:space="preserve"> µM, QC_M = </w:t>
      </w:r>
      <w:r w:rsidRPr="00F71223">
        <w:rPr>
          <w:rFonts w:ascii="Arial" w:hAnsi="Arial" w:cs="Arial"/>
          <w:sz w:val="24"/>
          <w:szCs w:val="24"/>
          <w:lang w:val="en-US"/>
        </w:rPr>
        <w:t>333.33</w:t>
      </w:r>
      <w:r w:rsidRPr="008270BF">
        <w:rPr>
          <w:rFonts w:ascii="Arial" w:hAnsi="Arial" w:cs="Arial"/>
          <w:sz w:val="24"/>
          <w:szCs w:val="24"/>
          <w:lang w:val="en-US"/>
        </w:rPr>
        <w:t xml:space="preserve"> </w:t>
      </w:r>
      <w:r>
        <w:rPr>
          <w:rFonts w:ascii="Arial" w:hAnsi="Arial" w:cs="Arial"/>
          <w:sz w:val="24"/>
          <w:szCs w:val="24"/>
          <w:lang w:val="en-US"/>
        </w:rPr>
        <w:t xml:space="preserve">µM, </w:t>
      </w:r>
      <w:r w:rsidRPr="00F71223">
        <w:rPr>
          <w:rFonts w:ascii="Arial" w:hAnsi="Arial" w:cs="Arial"/>
          <w:sz w:val="24"/>
          <w:szCs w:val="24"/>
          <w:lang w:val="en-US"/>
        </w:rPr>
        <w:t>QC_H</w:t>
      </w:r>
      <w:r>
        <w:rPr>
          <w:rFonts w:ascii="Arial" w:hAnsi="Arial" w:cs="Arial"/>
          <w:sz w:val="24"/>
          <w:szCs w:val="24"/>
          <w:lang w:val="en-US"/>
        </w:rPr>
        <w:t xml:space="preserve"> = 1,</w:t>
      </w:r>
      <w:r w:rsidRPr="00F71223">
        <w:rPr>
          <w:rFonts w:ascii="Arial" w:hAnsi="Arial" w:cs="Arial"/>
          <w:sz w:val="24"/>
          <w:szCs w:val="24"/>
          <w:lang w:val="en-US"/>
        </w:rPr>
        <w:t>000</w:t>
      </w:r>
      <w:r>
        <w:rPr>
          <w:rFonts w:ascii="Arial" w:hAnsi="Arial" w:cs="Arial"/>
          <w:sz w:val="24"/>
          <w:szCs w:val="24"/>
          <w:lang w:val="en-US"/>
        </w:rPr>
        <w:t xml:space="preserve">.00 µM. For the rest of the compounds: </w:t>
      </w:r>
      <w:r w:rsidRPr="00F71223">
        <w:rPr>
          <w:rFonts w:ascii="Arial" w:hAnsi="Arial" w:cs="Arial"/>
          <w:sz w:val="24"/>
          <w:szCs w:val="24"/>
          <w:lang w:val="en-US"/>
        </w:rPr>
        <w:t>QC_L</w:t>
      </w:r>
      <w:r>
        <w:rPr>
          <w:rFonts w:ascii="Arial" w:hAnsi="Arial" w:cs="Arial"/>
          <w:sz w:val="24"/>
          <w:szCs w:val="24"/>
          <w:lang w:val="en-US"/>
        </w:rPr>
        <w:t xml:space="preserve"> = </w:t>
      </w:r>
      <w:r w:rsidRPr="00F71223">
        <w:rPr>
          <w:rFonts w:ascii="Arial" w:hAnsi="Arial" w:cs="Arial"/>
          <w:sz w:val="24"/>
          <w:szCs w:val="24"/>
          <w:lang w:val="en-US"/>
        </w:rPr>
        <w:t>13.89</w:t>
      </w:r>
      <w:r w:rsidRPr="008270BF">
        <w:rPr>
          <w:rFonts w:ascii="Arial" w:hAnsi="Arial" w:cs="Arial"/>
          <w:sz w:val="24"/>
          <w:szCs w:val="24"/>
          <w:lang w:val="en-US"/>
        </w:rPr>
        <w:t xml:space="preserve"> </w:t>
      </w:r>
      <w:r>
        <w:rPr>
          <w:rFonts w:ascii="Arial" w:hAnsi="Arial" w:cs="Arial"/>
          <w:sz w:val="24"/>
          <w:szCs w:val="24"/>
          <w:lang w:val="en-US"/>
        </w:rPr>
        <w:t xml:space="preserve">µM, QC_M = </w:t>
      </w:r>
      <w:r w:rsidRPr="00F71223">
        <w:rPr>
          <w:rFonts w:ascii="Arial" w:hAnsi="Arial" w:cs="Arial"/>
          <w:sz w:val="24"/>
          <w:szCs w:val="24"/>
          <w:lang w:val="en-US"/>
        </w:rPr>
        <w:t>41.67</w:t>
      </w:r>
      <w:r w:rsidRPr="008270BF">
        <w:rPr>
          <w:rFonts w:ascii="Arial" w:hAnsi="Arial" w:cs="Arial"/>
          <w:sz w:val="24"/>
          <w:szCs w:val="24"/>
          <w:lang w:val="en-US"/>
        </w:rPr>
        <w:t xml:space="preserve"> </w:t>
      </w:r>
      <w:r>
        <w:rPr>
          <w:rFonts w:ascii="Arial" w:hAnsi="Arial" w:cs="Arial"/>
          <w:sz w:val="24"/>
          <w:szCs w:val="24"/>
          <w:lang w:val="en-US"/>
        </w:rPr>
        <w:t xml:space="preserve">µM, </w:t>
      </w:r>
      <w:r w:rsidRPr="00F71223">
        <w:rPr>
          <w:rFonts w:ascii="Arial" w:hAnsi="Arial" w:cs="Arial"/>
          <w:sz w:val="24"/>
          <w:szCs w:val="24"/>
          <w:lang w:val="en-US"/>
        </w:rPr>
        <w:t>QC_H</w:t>
      </w:r>
      <w:r>
        <w:rPr>
          <w:rFonts w:ascii="Arial" w:hAnsi="Arial" w:cs="Arial"/>
          <w:sz w:val="24"/>
          <w:szCs w:val="24"/>
          <w:lang w:val="en-US"/>
        </w:rPr>
        <w:t xml:space="preserve"> = </w:t>
      </w:r>
      <w:r w:rsidRPr="00F71223">
        <w:rPr>
          <w:rFonts w:ascii="Arial" w:hAnsi="Arial" w:cs="Arial"/>
          <w:sz w:val="24"/>
          <w:szCs w:val="24"/>
          <w:lang w:val="en-US"/>
        </w:rPr>
        <w:t>125</w:t>
      </w:r>
      <w:r>
        <w:rPr>
          <w:rFonts w:ascii="Arial" w:hAnsi="Arial" w:cs="Arial"/>
          <w:sz w:val="24"/>
          <w:szCs w:val="24"/>
          <w:lang w:val="en-US"/>
        </w:rPr>
        <w:t>.00 µM.</w:t>
      </w:r>
      <w:r w:rsidRPr="00101547">
        <w:rPr>
          <w:rFonts w:ascii="Arial" w:hAnsi="Arial" w:cs="Arial"/>
          <w:sz w:val="24"/>
          <w:szCs w:val="24"/>
          <w:lang w:val="en-US"/>
        </w:rPr>
        <w:t xml:space="preserve"> </w:t>
      </w:r>
    </w:p>
    <w:p w:rsidR="004D5657" w:rsidRDefault="004D5657" w:rsidP="003B609C">
      <w:pPr>
        <w:spacing w:after="0" w:line="360" w:lineRule="auto"/>
        <w:jc w:val="both"/>
        <w:rPr>
          <w:rFonts w:ascii="Arial" w:hAnsi="Arial" w:cs="Arial"/>
          <w:sz w:val="24"/>
          <w:szCs w:val="24"/>
          <w:lang w:val="en-US"/>
        </w:rPr>
      </w:pPr>
      <w:r>
        <w:rPr>
          <w:rFonts w:ascii="Arial" w:hAnsi="Arial" w:cs="Arial"/>
          <w:sz w:val="24"/>
          <w:szCs w:val="24"/>
          <w:lang w:val="en-US"/>
        </w:rPr>
        <w:t xml:space="preserve">Matrix effects were evaluated by calculating a matrix factor </w:t>
      </w:r>
      <w:r w:rsidRPr="007978FC">
        <w:rPr>
          <w:rFonts w:ascii="Arial" w:hAnsi="Arial" w:cs="Arial"/>
          <w:sz w:val="24"/>
          <w:szCs w:val="24"/>
          <w:lang w:val="en-US"/>
        </w:rPr>
        <w:t xml:space="preserve">(MF = level in plasma/level in solvent) </w:t>
      </w:r>
      <w:r>
        <w:rPr>
          <w:rFonts w:ascii="Arial" w:hAnsi="Arial" w:cs="Arial"/>
          <w:sz w:val="24"/>
          <w:szCs w:val="24"/>
          <w:lang w:val="en-US"/>
        </w:rPr>
        <w:t>for measured intensities of low (MF_L), medium (MF_M) and high (MF_H) concentrations of the standards spiked into plasma and into solvent (50 % ACN</w:t>
      </w:r>
      <w:proofErr w:type="gramStart"/>
      <w:r>
        <w:rPr>
          <w:rFonts w:ascii="Arial" w:hAnsi="Arial" w:cs="Arial"/>
          <w:sz w:val="24"/>
          <w:szCs w:val="24"/>
          <w:lang w:val="en-US"/>
        </w:rPr>
        <w:t>:H</w:t>
      </w:r>
      <w:r w:rsidRPr="00F1582B">
        <w:rPr>
          <w:rFonts w:ascii="Arial" w:hAnsi="Arial" w:cs="Arial"/>
          <w:sz w:val="24"/>
          <w:szCs w:val="24"/>
          <w:vertAlign w:val="subscript"/>
          <w:lang w:val="en-US"/>
        </w:rPr>
        <w:t>2</w:t>
      </w:r>
      <w:r>
        <w:rPr>
          <w:rFonts w:ascii="Arial" w:hAnsi="Arial" w:cs="Arial"/>
          <w:sz w:val="24"/>
          <w:szCs w:val="24"/>
          <w:lang w:val="en-US"/>
        </w:rPr>
        <w:t>O</w:t>
      </w:r>
      <w:proofErr w:type="gramEnd"/>
      <w:r>
        <w:rPr>
          <w:rFonts w:ascii="Arial" w:hAnsi="Arial" w:cs="Arial"/>
          <w:sz w:val="24"/>
          <w:szCs w:val="24"/>
          <w:lang w:val="en-US"/>
        </w:rPr>
        <w:t>). For AA and HBA: MF</w:t>
      </w:r>
      <w:r w:rsidRPr="00F71223">
        <w:rPr>
          <w:rFonts w:ascii="Arial" w:hAnsi="Arial" w:cs="Arial"/>
          <w:sz w:val="24"/>
          <w:szCs w:val="24"/>
          <w:lang w:val="en-US"/>
        </w:rPr>
        <w:t>_L</w:t>
      </w:r>
      <w:r>
        <w:rPr>
          <w:rFonts w:ascii="Arial" w:hAnsi="Arial" w:cs="Arial"/>
          <w:sz w:val="24"/>
          <w:szCs w:val="24"/>
          <w:lang w:val="en-US"/>
        </w:rPr>
        <w:t xml:space="preserve"> = 49.38 µM, MF_M = 444.44 µM, MF</w:t>
      </w:r>
      <w:r w:rsidRPr="00F71223">
        <w:rPr>
          <w:rFonts w:ascii="Arial" w:hAnsi="Arial" w:cs="Arial"/>
          <w:sz w:val="24"/>
          <w:szCs w:val="24"/>
          <w:lang w:val="en-US"/>
        </w:rPr>
        <w:t>_H</w:t>
      </w:r>
      <w:r>
        <w:rPr>
          <w:rFonts w:ascii="Arial" w:hAnsi="Arial" w:cs="Arial"/>
          <w:sz w:val="24"/>
          <w:szCs w:val="24"/>
          <w:lang w:val="en-US"/>
        </w:rPr>
        <w:t xml:space="preserve"> = 1333.33 µM. For the rest of the compounds: MF</w:t>
      </w:r>
      <w:r w:rsidRPr="00F71223">
        <w:rPr>
          <w:rFonts w:ascii="Arial" w:hAnsi="Arial" w:cs="Arial"/>
          <w:sz w:val="24"/>
          <w:szCs w:val="24"/>
          <w:lang w:val="en-US"/>
        </w:rPr>
        <w:t>_L</w:t>
      </w:r>
      <w:r>
        <w:rPr>
          <w:rFonts w:ascii="Arial" w:hAnsi="Arial" w:cs="Arial"/>
          <w:sz w:val="24"/>
          <w:szCs w:val="24"/>
          <w:lang w:val="en-US"/>
        </w:rPr>
        <w:t xml:space="preserve"> = 6.17 µM, MF_M = 55.56 µM, MF</w:t>
      </w:r>
      <w:r w:rsidRPr="00F71223">
        <w:rPr>
          <w:rFonts w:ascii="Arial" w:hAnsi="Arial" w:cs="Arial"/>
          <w:sz w:val="24"/>
          <w:szCs w:val="24"/>
          <w:lang w:val="en-US"/>
        </w:rPr>
        <w:t>_H</w:t>
      </w:r>
      <w:r>
        <w:rPr>
          <w:rFonts w:ascii="Arial" w:hAnsi="Arial" w:cs="Arial"/>
          <w:sz w:val="24"/>
          <w:szCs w:val="24"/>
          <w:lang w:val="en-US"/>
        </w:rPr>
        <w:t xml:space="preserve"> = 166.67 µM the</w:t>
      </w:r>
      <w:r w:rsidRPr="007978FC">
        <w:rPr>
          <w:rFonts w:ascii="Arial" w:hAnsi="Arial" w:cs="Arial"/>
          <w:sz w:val="24"/>
          <w:szCs w:val="24"/>
          <w:lang w:val="en-US"/>
        </w:rPr>
        <w:t xml:space="preserve"> matrix factor was calculated.</w:t>
      </w:r>
      <w:r w:rsidRPr="006162C5">
        <w:rPr>
          <w:rFonts w:ascii="Arial" w:hAnsi="Arial" w:cs="Arial"/>
          <w:sz w:val="24"/>
          <w:szCs w:val="24"/>
          <w:lang w:val="en-US"/>
        </w:rPr>
        <w:t xml:space="preserve"> </w:t>
      </w:r>
    </w:p>
    <w:p w:rsidR="004D5657" w:rsidRDefault="004D5657" w:rsidP="003B609C">
      <w:pPr>
        <w:spacing w:after="0" w:line="360" w:lineRule="auto"/>
        <w:jc w:val="both"/>
        <w:rPr>
          <w:rFonts w:ascii="Arial" w:hAnsi="Arial" w:cs="Arial"/>
          <w:sz w:val="24"/>
          <w:szCs w:val="24"/>
          <w:lang w:val="en-US"/>
        </w:rPr>
      </w:pPr>
      <w:r>
        <w:rPr>
          <w:rFonts w:ascii="Arial" w:hAnsi="Arial" w:cs="Arial"/>
          <w:sz w:val="24"/>
          <w:szCs w:val="24"/>
          <w:lang w:val="en-US"/>
        </w:rPr>
        <w:t xml:space="preserve">Endogenous concentrations in </w:t>
      </w:r>
      <w:proofErr w:type="spellStart"/>
      <w:r>
        <w:rPr>
          <w:rFonts w:ascii="Arial" w:hAnsi="Arial" w:cs="Arial"/>
          <w:sz w:val="24"/>
          <w:szCs w:val="24"/>
          <w:lang w:val="en-US"/>
        </w:rPr>
        <w:t>unspiked</w:t>
      </w:r>
      <w:proofErr w:type="spellEnd"/>
      <w:r>
        <w:rPr>
          <w:rFonts w:ascii="Arial" w:hAnsi="Arial" w:cs="Arial"/>
          <w:sz w:val="24"/>
          <w:szCs w:val="24"/>
          <w:lang w:val="en-US"/>
        </w:rPr>
        <w:t xml:space="preserve"> commercial mouse plasma were calculated using background-removed calibration curves.</w:t>
      </w:r>
    </w:p>
    <w:p w:rsidR="004D5657"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lang w:val="en-US"/>
        </w:rPr>
        <w:sectPr w:rsidR="004D5657">
          <w:footerReference w:type="default" r:id="rId7"/>
          <w:pgSz w:w="11906" w:h="16838"/>
          <w:pgMar w:top="1417" w:right="1417" w:bottom="1134" w:left="1417" w:header="708" w:footer="708" w:gutter="0"/>
          <w:cols w:space="708"/>
          <w:docGrid w:linePitch="360"/>
        </w:sectPr>
      </w:pPr>
    </w:p>
    <w:p w:rsidR="004D5657" w:rsidRDefault="004D5657" w:rsidP="003B609C">
      <w:pPr>
        <w:pStyle w:val="Subtitle"/>
        <w:spacing w:line="360" w:lineRule="auto"/>
      </w:pPr>
      <w:bookmarkStart w:id="4" w:name="_Toc84585303"/>
      <w:r>
        <w:lastRenderedPageBreak/>
        <w:t>Table S2. Method validation parameters for each SCFA and ketone body</w:t>
      </w:r>
      <w:bookmarkEnd w:id="4"/>
      <w:r>
        <w:t xml:space="preserve"> </w:t>
      </w:r>
    </w:p>
    <w:tbl>
      <w:tblPr>
        <w:tblStyle w:val="TableGrid"/>
        <w:tblW w:w="0" w:type="auto"/>
        <w:tblLayout w:type="fixed"/>
        <w:tblLook w:val="04A0" w:firstRow="1" w:lastRow="0" w:firstColumn="1" w:lastColumn="0" w:noHBand="0" w:noVBand="1"/>
      </w:tblPr>
      <w:tblGrid>
        <w:gridCol w:w="1255"/>
        <w:gridCol w:w="868"/>
        <w:gridCol w:w="1022"/>
        <w:gridCol w:w="992"/>
        <w:gridCol w:w="959"/>
        <w:gridCol w:w="960"/>
        <w:gridCol w:w="960"/>
        <w:gridCol w:w="960"/>
        <w:gridCol w:w="959"/>
        <w:gridCol w:w="960"/>
        <w:gridCol w:w="960"/>
        <w:gridCol w:w="960"/>
        <w:gridCol w:w="960"/>
      </w:tblGrid>
      <w:tr w:rsidR="004D5657" w:rsidRPr="00820FA2" w:rsidTr="005A2208">
        <w:trPr>
          <w:trHeight w:val="300"/>
        </w:trPr>
        <w:tc>
          <w:tcPr>
            <w:tcW w:w="1255" w:type="dxa"/>
            <w:vMerge w:val="restart"/>
            <w:noWrap/>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Compound</w:t>
            </w:r>
          </w:p>
        </w:tc>
        <w:tc>
          <w:tcPr>
            <w:tcW w:w="868" w:type="dxa"/>
            <w:vMerge w:val="restart"/>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LLOQ (µM)</w:t>
            </w:r>
          </w:p>
        </w:tc>
        <w:tc>
          <w:tcPr>
            <w:tcW w:w="1022" w:type="dxa"/>
            <w:vMerge w:val="restart"/>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ULOQ (µM)</w:t>
            </w:r>
          </w:p>
        </w:tc>
        <w:tc>
          <w:tcPr>
            <w:tcW w:w="992" w:type="dxa"/>
            <w:vMerge w:val="restart"/>
            <w:noWrap/>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R</w:t>
            </w:r>
            <w:r w:rsidRPr="006230D0">
              <w:rPr>
                <w:rFonts w:ascii="Arial" w:hAnsi="Arial" w:cs="Arial"/>
                <w:sz w:val="20"/>
                <w:szCs w:val="20"/>
                <w:vertAlign w:val="superscript"/>
              </w:rPr>
              <w:t>2</w:t>
            </w:r>
          </w:p>
        </w:tc>
        <w:tc>
          <w:tcPr>
            <w:tcW w:w="2879" w:type="dxa"/>
            <w:gridSpan w:val="3"/>
            <w:noWrap/>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Accuracy % (n=6)</w:t>
            </w:r>
          </w:p>
        </w:tc>
        <w:tc>
          <w:tcPr>
            <w:tcW w:w="2879" w:type="dxa"/>
            <w:gridSpan w:val="3"/>
            <w:noWrap/>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Precision % (n=6)</w:t>
            </w:r>
          </w:p>
        </w:tc>
        <w:tc>
          <w:tcPr>
            <w:tcW w:w="2880" w:type="dxa"/>
            <w:gridSpan w:val="3"/>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Matrix factor (MF)*</w:t>
            </w:r>
          </w:p>
        </w:tc>
      </w:tr>
      <w:tr w:rsidR="004D5657" w:rsidRPr="00C16E29" w:rsidTr="005A2208">
        <w:trPr>
          <w:trHeight w:val="300"/>
        </w:trPr>
        <w:tc>
          <w:tcPr>
            <w:tcW w:w="1255" w:type="dxa"/>
            <w:vMerge/>
            <w:noWrap/>
            <w:vAlign w:val="center"/>
          </w:tcPr>
          <w:p w:rsidR="004D5657" w:rsidRPr="006230D0" w:rsidRDefault="004D5657" w:rsidP="003B609C">
            <w:pPr>
              <w:spacing w:line="360" w:lineRule="auto"/>
              <w:jc w:val="center"/>
              <w:rPr>
                <w:rFonts w:ascii="Arial" w:hAnsi="Arial" w:cs="Arial"/>
                <w:sz w:val="20"/>
                <w:szCs w:val="20"/>
                <w:lang w:val="en-US"/>
              </w:rPr>
            </w:pPr>
          </w:p>
        </w:tc>
        <w:tc>
          <w:tcPr>
            <w:tcW w:w="868" w:type="dxa"/>
            <w:vMerge/>
            <w:vAlign w:val="center"/>
          </w:tcPr>
          <w:p w:rsidR="004D5657" w:rsidRPr="006230D0" w:rsidRDefault="004D5657" w:rsidP="003B609C">
            <w:pPr>
              <w:spacing w:line="360" w:lineRule="auto"/>
              <w:jc w:val="center"/>
              <w:rPr>
                <w:rFonts w:ascii="Arial" w:hAnsi="Arial" w:cs="Arial"/>
                <w:sz w:val="20"/>
                <w:szCs w:val="20"/>
                <w:lang w:val="en-US"/>
              </w:rPr>
            </w:pPr>
          </w:p>
        </w:tc>
        <w:tc>
          <w:tcPr>
            <w:tcW w:w="1022" w:type="dxa"/>
            <w:vMerge/>
          </w:tcPr>
          <w:p w:rsidR="004D5657" w:rsidRPr="006230D0" w:rsidRDefault="004D5657" w:rsidP="003B609C">
            <w:pPr>
              <w:spacing w:line="360" w:lineRule="auto"/>
              <w:jc w:val="center"/>
              <w:rPr>
                <w:rFonts w:ascii="Arial" w:hAnsi="Arial" w:cs="Arial"/>
                <w:sz w:val="20"/>
                <w:szCs w:val="20"/>
                <w:lang w:val="en-US"/>
              </w:rPr>
            </w:pPr>
          </w:p>
        </w:tc>
        <w:tc>
          <w:tcPr>
            <w:tcW w:w="992" w:type="dxa"/>
            <w:vMerge/>
            <w:noWrap/>
            <w:vAlign w:val="center"/>
          </w:tcPr>
          <w:p w:rsidR="004D5657" w:rsidRPr="006230D0" w:rsidRDefault="004D5657" w:rsidP="003B609C">
            <w:pPr>
              <w:spacing w:line="360" w:lineRule="auto"/>
              <w:jc w:val="center"/>
              <w:rPr>
                <w:rFonts w:ascii="Arial" w:hAnsi="Arial" w:cs="Arial"/>
                <w:sz w:val="20"/>
                <w:szCs w:val="20"/>
                <w:lang w:val="en-US"/>
              </w:rPr>
            </w:pPr>
          </w:p>
        </w:tc>
        <w:tc>
          <w:tcPr>
            <w:tcW w:w="959" w:type="dxa"/>
            <w:noWrap/>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QC_L</w:t>
            </w:r>
          </w:p>
        </w:tc>
        <w:tc>
          <w:tcPr>
            <w:tcW w:w="960" w:type="dxa"/>
            <w:noWrap/>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QC_M</w:t>
            </w:r>
          </w:p>
        </w:tc>
        <w:tc>
          <w:tcPr>
            <w:tcW w:w="960" w:type="dxa"/>
            <w:noWrap/>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QC_H</w:t>
            </w:r>
          </w:p>
        </w:tc>
        <w:tc>
          <w:tcPr>
            <w:tcW w:w="960" w:type="dxa"/>
            <w:noWrap/>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QC_L</w:t>
            </w:r>
          </w:p>
        </w:tc>
        <w:tc>
          <w:tcPr>
            <w:tcW w:w="959" w:type="dxa"/>
            <w:noWrap/>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QC_M</w:t>
            </w:r>
          </w:p>
        </w:tc>
        <w:tc>
          <w:tcPr>
            <w:tcW w:w="960" w:type="dxa"/>
            <w:noWrap/>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QC_H</w:t>
            </w:r>
          </w:p>
        </w:tc>
        <w:tc>
          <w:tcPr>
            <w:tcW w:w="960"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MF_L</w:t>
            </w:r>
          </w:p>
        </w:tc>
        <w:tc>
          <w:tcPr>
            <w:tcW w:w="960"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MF_M</w:t>
            </w:r>
          </w:p>
        </w:tc>
        <w:tc>
          <w:tcPr>
            <w:tcW w:w="960"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MF_H</w:t>
            </w:r>
          </w:p>
        </w:tc>
      </w:tr>
      <w:tr w:rsidR="004D5657" w:rsidRPr="00F80F09" w:rsidTr="00061124">
        <w:trPr>
          <w:trHeight w:val="300"/>
        </w:trPr>
        <w:tc>
          <w:tcPr>
            <w:tcW w:w="1255" w:type="dxa"/>
            <w:noWrap/>
            <w:vAlign w:val="center"/>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AA</w:t>
            </w:r>
          </w:p>
        </w:tc>
        <w:tc>
          <w:tcPr>
            <w:tcW w:w="868"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0.61</w:t>
            </w:r>
          </w:p>
        </w:tc>
        <w:tc>
          <w:tcPr>
            <w:tcW w:w="1022"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3000.00</w:t>
            </w:r>
          </w:p>
        </w:tc>
        <w:tc>
          <w:tcPr>
            <w:tcW w:w="992" w:type="dxa"/>
            <w:noWrap/>
            <w:vAlign w:val="bottom"/>
          </w:tcPr>
          <w:p w:rsidR="004D5657" w:rsidRPr="005A2208" w:rsidRDefault="004D5657" w:rsidP="003B609C">
            <w:pPr>
              <w:spacing w:line="360" w:lineRule="auto"/>
              <w:jc w:val="center"/>
              <w:rPr>
                <w:rFonts w:ascii="Arial" w:hAnsi="Arial" w:cs="Arial"/>
                <w:color w:val="000000"/>
                <w:sz w:val="20"/>
                <w:szCs w:val="20"/>
              </w:rPr>
            </w:pPr>
            <w:r w:rsidRPr="005A2208">
              <w:rPr>
                <w:rFonts w:ascii="Arial" w:hAnsi="Arial" w:cs="Arial"/>
                <w:color w:val="000000"/>
                <w:sz w:val="20"/>
                <w:szCs w:val="20"/>
              </w:rPr>
              <w:t>0.9956</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86.75</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113.17</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110.68</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12.83</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12.54</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12.92</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0.90</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1.17</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1.26</w:t>
            </w:r>
          </w:p>
        </w:tc>
      </w:tr>
      <w:tr w:rsidR="004D5657" w:rsidRPr="00F80F09" w:rsidTr="00061124">
        <w:trPr>
          <w:trHeight w:val="300"/>
        </w:trPr>
        <w:tc>
          <w:tcPr>
            <w:tcW w:w="1255" w:type="dxa"/>
            <w:noWrap/>
            <w:vAlign w:val="center"/>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AcAA</w:t>
            </w:r>
          </w:p>
        </w:tc>
        <w:tc>
          <w:tcPr>
            <w:tcW w:w="868"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0.69</w:t>
            </w:r>
          </w:p>
        </w:tc>
        <w:tc>
          <w:tcPr>
            <w:tcW w:w="1022"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166.67</w:t>
            </w:r>
          </w:p>
        </w:tc>
        <w:tc>
          <w:tcPr>
            <w:tcW w:w="992" w:type="dxa"/>
            <w:noWrap/>
            <w:vAlign w:val="bottom"/>
          </w:tcPr>
          <w:p w:rsidR="004D5657" w:rsidRPr="005A2208" w:rsidRDefault="004D5657" w:rsidP="003B609C">
            <w:pPr>
              <w:spacing w:line="360" w:lineRule="auto"/>
              <w:jc w:val="center"/>
              <w:rPr>
                <w:rFonts w:ascii="Arial" w:hAnsi="Arial" w:cs="Arial"/>
                <w:color w:val="000000"/>
                <w:sz w:val="20"/>
                <w:szCs w:val="20"/>
              </w:rPr>
            </w:pPr>
            <w:r w:rsidRPr="005A2208">
              <w:rPr>
                <w:rFonts w:ascii="Arial" w:hAnsi="Arial" w:cs="Arial"/>
                <w:color w:val="000000"/>
                <w:sz w:val="20"/>
                <w:szCs w:val="20"/>
              </w:rPr>
              <w:t>0.9996</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89.88</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96.51</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84.69</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6.41</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9.41</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9.22</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0.80</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0.81</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0.78</w:t>
            </w:r>
          </w:p>
        </w:tc>
      </w:tr>
      <w:tr w:rsidR="004D5657" w:rsidRPr="00F80F09" w:rsidTr="00061124">
        <w:trPr>
          <w:trHeight w:val="300"/>
        </w:trPr>
        <w:tc>
          <w:tcPr>
            <w:tcW w:w="1255" w:type="dxa"/>
            <w:noWrap/>
            <w:vAlign w:val="center"/>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BA</w:t>
            </w:r>
          </w:p>
        </w:tc>
        <w:tc>
          <w:tcPr>
            <w:tcW w:w="868"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0.08</w:t>
            </w:r>
          </w:p>
        </w:tc>
        <w:tc>
          <w:tcPr>
            <w:tcW w:w="1022"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166.67</w:t>
            </w:r>
          </w:p>
        </w:tc>
        <w:tc>
          <w:tcPr>
            <w:tcW w:w="992" w:type="dxa"/>
            <w:noWrap/>
            <w:vAlign w:val="bottom"/>
          </w:tcPr>
          <w:p w:rsidR="004D5657" w:rsidRPr="005A2208" w:rsidRDefault="004D5657" w:rsidP="003B609C">
            <w:pPr>
              <w:spacing w:line="360" w:lineRule="auto"/>
              <w:jc w:val="center"/>
              <w:rPr>
                <w:rFonts w:ascii="Arial" w:hAnsi="Arial" w:cs="Arial"/>
                <w:color w:val="000000"/>
                <w:sz w:val="20"/>
                <w:szCs w:val="20"/>
              </w:rPr>
            </w:pPr>
            <w:r w:rsidRPr="005A2208">
              <w:rPr>
                <w:rFonts w:ascii="Arial" w:hAnsi="Arial" w:cs="Arial"/>
                <w:color w:val="000000"/>
                <w:sz w:val="20"/>
                <w:szCs w:val="20"/>
              </w:rPr>
              <w:t>0.9999</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90.77</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107.33</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94.10</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7.63</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7.06</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9.29</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1.13</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1.03</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1.09</w:t>
            </w:r>
          </w:p>
        </w:tc>
      </w:tr>
      <w:tr w:rsidR="004D5657" w:rsidRPr="00F80F09" w:rsidTr="00061124">
        <w:trPr>
          <w:trHeight w:val="300"/>
        </w:trPr>
        <w:tc>
          <w:tcPr>
            <w:tcW w:w="1255" w:type="dxa"/>
            <w:noWrap/>
            <w:vAlign w:val="center"/>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HA</w:t>
            </w:r>
          </w:p>
        </w:tc>
        <w:tc>
          <w:tcPr>
            <w:tcW w:w="868"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0.23</w:t>
            </w:r>
          </w:p>
        </w:tc>
        <w:tc>
          <w:tcPr>
            <w:tcW w:w="1022"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166.67</w:t>
            </w:r>
          </w:p>
        </w:tc>
        <w:tc>
          <w:tcPr>
            <w:tcW w:w="992" w:type="dxa"/>
            <w:noWrap/>
            <w:vAlign w:val="bottom"/>
          </w:tcPr>
          <w:p w:rsidR="004D5657" w:rsidRPr="005A2208" w:rsidRDefault="004D5657" w:rsidP="003B609C">
            <w:pPr>
              <w:spacing w:line="360" w:lineRule="auto"/>
              <w:jc w:val="center"/>
              <w:rPr>
                <w:rFonts w:ascii="Arial" w:hAnsi="Arial" w:cs="Arial"/>
                <w:color w:val="000000"/>
                <w:sz w:val="20"/>
                <w:szCs w:val="20"/>
              </w:rPr>
            </w:pPr>
            <w:r w:rsidRPr="005A2208">
              <w:rPr>
                <w:rFonts w:ascii="Arial" w:hAnsi="Arial" w:cs="Arial"/>
                <w:color w:val="000000"/>
                <w:sz w:val="20"/>
                <w:szCs w:val="20"/>
              </w:rPr>
              <w:t>0.9941</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91.69</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112.05</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88.56</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17.74</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7.79</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4.51</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0.87</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0.98</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0.82</w:t>
            </w:r>
          </w:p>
        </w:tc>
      </w:tr>
      <w:tr w:rsidR="004D5657" w:rsidRPr="00F80F09" w:rsidTr="00061124">
        <w:trPr>
          <w:trHeight w:val="300"/>
        </w:trPr>
        <w:tc>
          <w:tcPr>
            <w:tcW w:w="1255" w:type="dxa"/>
            <w:noWrap/>
            <w:vAlign w:val="center"/>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HBA</w:t>
            </w:r>
          </w:p>
        </w:tc>
        <w:tc>
          <w:tcPr>
            <w:tcW w:w="868"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49.38</w:t>
            </w:r>
          </w:p>
        </w:tc>
        <w:tc>
          <w:tcPr>
            <w:tcW w:w="1022"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1333.33</w:t>
            </w:r>
          </w:p>
        </w:tc>
        <w:tc>
          <w:tcPr>
            <w:tcW w:w="992" w:type="dxa"/>
            <w:noWrap/>
            <w:vAlign w:val="bottom"/>
          </w:tcPr>
          <w:p w:rsidR="004D5657" w:rsidRPr="005A2208" w:rsidRDefault="004D5657" w:rsidP="003B609C">
            <w:pPr>
              <w:spacing w:line="360" w:lineRule="auto"/>
              <w:jc w:val="center"/>
              <w:rPr>
                <w:rFonts w:ascii="Arial" w:hAnsi="Arial" w:cs="Arial"/>
                <w:color w:val="000000"/>
                <w:sz w:val="20"/>
                <w:szCs w:val="20"/>
              </w:rPr>
            </w:pPr>
            <w:r w:rsidRPr="005A2208">
              <w:rPr>
                <w:rFonts w:ascii="Arial" w:hAnsi="Arial" w:cs="Arial"/>
                <w:color w:val="000000"/>
                <w:sz w:val="20"/>
                <w:szCs w:val="20"/>
              </w:rPr>
              <w:t>0.9970</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80.98</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105.60</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95.07</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14.63</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9.88</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13.66</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1.59</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1.68</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1.73</w:t>
            </w:r>
          </w:p>
        </w:tc>
      </w:tr>
      <w:tr w:rsidR="004D5657" w:rsidRPr="00F80F09" w:rsidTr="00061124">
        <w:trPr>
          <w:trHeight w:val="300"/>
        </w:trPr>
        <w:tc>
          <w:tcPr>
            <w:tcW w:w="1255" w:type="dxa"/>
            <w:noWrap/>
            <w:vAlign w:val="center"/>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HMB</w:t>
            </w:r>
          </w:p>
        </w:tc>
        <w:tc>
          <w:tcPr>
            <w:tcW w:w="868"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2.06</w:t>
            </w:r>
          </w:p>
        </w:tc>
        <w:tc>
          <w:tcPr>
            <w:tcW w:w="1022"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166.67</w:t>
            </w:r>
          </w:p>
        </w:tc>
        <w:tc>
          <w:tcPr>
            <w:tcW w:w="992" w:type="dxa"/>
            <w:noWrap/>
            <w:vAlign w:val="bottom"/>
          </w:tcPr>
          <w:p w:rsidR="004D5657" w:rsidRPr="005A2208" w:rsidRDefault="004D5657" w:rsidP="003B609C">
            <w:pPr>
              <w:spacing w:line="360" w:lineRule="auto"/>
              <w:jc w:val="center"/>
              <w:rPr>
                <w:rFonts w:ascii="Arial" w:hAnsi="Arial" w:cs="Arial"/>
                <w:color w:val="000000"/>
                <w:sz w:val="20"/>
                <w:szCs w:val="20"/>
              </w:rPr>
            </w:pPr>
            <w:r w:rsidRPr="005A2208">
              <w:rPr>
                <w:rFonts w:ascii="Arial" w:hAnsi="Arial" w:cs="Arial"/>
                <w:color w:val="000000"/>
                <w:sz w:val="20"/>
                <w:szCs w:val="20"/>
              </w:rPr>
              <w:t>0.9995</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90.09</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97.74</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85.96</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4.19</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6.98</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9.06</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0.94</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0.96</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1.07</w:t>
            </w:r>
          </w:p>
        </w:tc>
      </w:tr>
      <w:tr w:rsidR="004D5657" w:rsidRPr="00F80F09" w:rsidTr="00061124">
        <w:trPr>
          <w:trHeight w:val="300"/>
        </w:trPr>
        <w:tc>
          <w:tcPr>
            <w:tcW w:w="1255" w:type="dxa"/>
            <w:noWrap/>
            <w:vAlign w:val="center"/>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IBA</w:t>
            </w:r>
          </w:p>
        </w:tc>
        <w:tc>
          <w:tcPr>
            <w:tcW w:w="868"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0.08</w:t>
            </w:r>
          </w:p>
        </w:tc>
        <w:tc>
          <w:tcPr>
            <w:tcW w:w="1022"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166.67</w:t>
            </w:r>
          </w:p>
        </w:tc>
        <w:tc>
          <w:tcPr>
            <w:tcW w:w="992" w:type="dxa"/>
            <w:noWrap/>
            <w:vAlign w:val="bottom"/>
          </w:tcPr>
          <w:p w:rsidR="004D5657" w:rsidRPr="005A2208" w:rsidRDefault="004D5657" w:rsidP="003B609C">
            <w:pPr>
              <w:spacing w:line="360" w:lineRule="auto"/>
              <w:jc w:val="center"/>
              <w:rPr>
                <w:rFonts w:ascii="Arial" w:hAnsi="Arial" w:cs="Arial"/>
                <w:color w:val="000000"/>
                <w:sz w:val="20"/>
                <w:szCs w:val="20"/>
              </w:rPr>
            </w:pPr>
            <w:r w:rsidRPr="005A2208">
              <w:rPr>
                <w:rFonts w:ascii="Arial" w:hAnsi="Arial" w:cs="Arial"/>
                <w:color w:val="000000"/>
                <w:sz w:val="20"/>
                <w:szCs w:val="20"/>
              </w:rPr>
              <w:t>0.9963</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85.49</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109.80</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100.67</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7.03</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4.46</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3.05</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0.99</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1.06</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1.02</w:t>
            </w:r>
          </w:p>
        </w:tc>
      </w:tr>
      <w:tr w:rsidR="004D5657" w:rsidRPr="00F80F09" w:rsidTr="00061124">
        <w:trPr>
          <w:trHeight w:val="300"/>
        </w:trPr>
        <w:tc>
          <w:tcPr>
            <w:tcW w:w="1255" w:type="dxa"/>
            <w:noWrap/>
            <w:vAlign w:val="center"/>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IVA</w:t>
            </w:r>
          </w:p>
        </w:tc>
        <w:tc>
          <w:tcPr>
            <w:tcW w:w="868"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0.23</w:t>
            </w:r>
          </w:p>
        </w:tc>
        <w:tc>
          <w:tcPr>
            <w:tcW w:w="1022"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166.67</w:t>
            </w:r>
          </w:p>
        </w:tc>
        <w:tc>
          <w:tcPr>
            <w:tcW w:w="992" w:type="dxa"/>
            <w:noWrap/>
            <w:vAlign w:val="bottom"/>
          </w:tcPr>
          <w:p w:rsidR="004D5657" w:rsidRPr="005A2208" w:rsidRDefault="004D5657" w:rsidP="003B609C">
            <w:pPr>
              <w:spacing w:line="360" w:lineRule="auto"/>
              <w:jc w:val="center"/>
              <w:rPr>
                <w:rFonts w:ascii="Arial" w:hAnsi="Arial" w:cs="Arial"/>
                <w:color w:val="000000"/>
                <w:sz w:val="20"/>
                <w:szCs w:val="20"/>
              </w:rPr>
            </w:pPr>
            <w:r w:rsidRPr="005A2208">
              <w:rPr>
                <w:rFonts w:ascii="Arial" w:hAnsi="Arial" w:cs="Arial"/>
                <w:color w:val="000000"/>
                <w:sz w:val="20"/>
                <w:szCs w:val="20"/>
              </w:rPr>
              <w:t>0.9991</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89.08</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111.73</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96.88</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7.32</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2.33</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6.24</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0.89</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1.00</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1.05</w:t>
            </w:r>
          </w:p>
        </w:tc>
      </w:tr>
      <w:tr w:rsidR="004D5657" w:rsidRPr="00F80F09" w:rsidTr="00061124">
        <w:trPr>
          <w:trHeight w:val="300"/>
        </w:trPr>
        <w:tc>
          <w:tcPr>
            <w:tcW w:w="1255" w:type="dxa"/>
            <w:noWrap/>
            <w:vAlign w:val="center"/>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MBA</w:t>
            </w:r>
          </w:p>
        </w:tc>
        <w:tc>
          <w:tcPr>
            <w:tcW w:w="868"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0.08</w:t>
            </w:r>
          </w:p>
        </w:tc>
        <w:tc>
          <w:tcPr>
            <w:tcW w:w="1022"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166.67</w:t>
            </w:r>
          </w:p>
        </w:tc>
        <w:tc>
          <w:tcPr>
            <w:tcW w:w="992" w:type="dxa"/>
            <w:noWrap/>
            <w:vAlign w:val="bottom"/>
          </w:tcPr>
          <w:p w:rsidR="004D5657" w:rsidRPr="005A2208" w:rsidRDefault="004D5657" w:rsidP="003B609C">
            <w:pPr>
              <w:spacing w:line="360" w:lineRule="auto"/>
              <w:jc w:val="center"/>
              <w:rPr>
                <w:rFonts w:ascii="Arial" w:hAnsi="Arial" w:cs="Arial"/>
                <w:color w:val="000000"/>
                <w:sz w:val="20"/>
                <w:szCs w:val="20"/>
              </w:rPr>
            </w:pPr>
            <w:r w:rsidRPr="005A2208">
              <w:rPr>
                <w:rFonts w:ascii="Arial" w:hAnsi="Arial" w:cs="Arial"/>
                <w:color w:val="000000"/>
                <w:sz w:val="20"/>
                <w:szCs w:val="20"/>
              </w:rPr>
              <w:t>1.0000</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96.29</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106.13</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94.51</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8.65</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6.29</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7.81</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0.93</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1.03</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1.21</w:t>
            </w:r>
          </w:p>
        </w:tc>
      </w:tr>
      <w:tr w:rsidR="004D5657" w:rsidRPr="00F80F09" w:rsidTr="00061124">
        <w:trPr>
          <w:trHeight w:val="300"/>
        </w:trPr>
        <w:tc>
          <w:tcPr>
            <w:tcW w:w="1255" w:type="dxa"/>
            <w:noWrap/>
            <w:vAlign w:val="center"/>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PA</w:t>
            </w:r>
          </w:p>
        </w:tc>
        <w:tc>
          <w:tcPr>
            <w:tcW w:w="868"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0.08</w:t>
            </w:r>
          </w:p>
        </w:tc>
        <w:tc>
          <w:tcPr>
            <w:tcW w:w="1022"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500.00</w:t>
            </w:r>
          </w:p>
        </w:tc>
        <w:tc>
          <w:tcPr>
            <w:tcW w:w="992" w:type="dxa"/>
            <w:noWrap/>
            <w:vAlign w:val="bottom"/>
          </w:tcPr>
          <w:p w:rsidR="004D5657" w:rsidRPr="005A2208" w:rsidRDefault="004D5657" w:rsidP="003B609C">
            <w:pPr>
              <w:spacing w:line="360" w:lineRule="auto"/>
              <w:jc w:val="center"/>
              <w:rPr>
                <w:rFonts w:ascii="Arial" w:hAnsi="Arial" w:cs="Arial"/>
                <w:color w:val="000000"/>
                <w:sz w:val="20"/>
                <w:szCs w:val="20"/>
              </w:rPr>
            </w:pPr>
            <w:r w:rsidRPr="005A2208">
              <w:rPr>
                <w:rFonts w:ascii="Arial" w:hAnsi="Arial" w:cs="Arial"/>
                <w:color w:val="000000"/>
                <w:sz w:val="20"/>
                <w:szCs w:val="20"/>
              </w:rPr>
              <w:t>0.9953</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90.22</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95.45</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84.98</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7.16</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8.51</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11.37</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1.03</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1.01</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1.08</w:t>
            </w:r>
          </w:p>
        </w:tc>
      </w:tr>
      <w:tr w:rsidR="004D5657" w:rsidRPr="00663EDF" w:rsidTr="00061124">
        <w:trPr>
          <w:trHeight w:val="300"/>
        </w:trPr>
        <w:tc>
          <w:tcPr>
            <w:tcW w:w="1255" w:type="dxa"/>
            <w:noWrap/>
            <w:vAlign w:val="center"/>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VA</w:t>
            </w:r>
          </w:p>
        </w:tc>
        <w:tc>
          <w:tcPr>
            <w:tcW w:w="868"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0.23</w:t>
            </w:r>
          </w:p>
        </w:tc>
        <w:tc>
          <w:tcPr>
            <w:tcW w:w="1022"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166.67</w:t>
            </w:r>
          </w:p>
        </w:tc>
        <w:tc>
          <w:tcPr>
            <w:tcW w:w="992" w:type="dxa"/>
            <w:noWrap/>
            <w:vAlign w:val="bottom"/>
          </w:tcPr>
          <w:p w:rsidR="004D5657" w:rsidRPr="005A2208" w:rsidRDefault="004D5657" w:rsidP="003B609C">
            <w:pPr>
              <w:spacing w:line="360" w:lineRule="auto"/>
              <w:jc w:val="center"/>
              <w:rPr>
                <w:rFonts w:ascii="Arial" w:hAnsi="Arial" w:cs="Arial"/>
                <w:color w:val="000000"/>
                <w:sz w:val="20"/>
                <w:szCs w:val="20"/>
              </w:rPr>
            </w:pPr>
            <w:r w:rsidRPr="005A2208">
              <w:rPr>
                <w:rFonts w:ascii="Arial" w:hAnsi="Arial" w:cs="Arial"/>
                <w:color w:val="000000"/>
                <w:sz w:val="20"/>
                <w:szCs w:val="20"/>
              </w:rPr>
              <w:t>0.9999</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94.52</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108.19</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96.73</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7.21</w:t>
            </w:r>
          </w:p>
        </w:tc>
        <w:tc>
          <w:tcPr>
            <w:tcW w:w="959"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6.46</w:t>
            </w:r>
          </w:p>
        </w:tc>
        <w:tc>
          <w:tcPr>
            <w:tcW w:w="960" w:type="dxa"/>
            <w:noWrap/>
            <w:vAlign w:val="bottom"/>
            <w:hideMark/>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6.38</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0.90</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0.99</w:t>
            </w:r>
          </w:p>
        </w:tc>
        <w:tc>
          <w:tcPr>
            <w:tcW w:w="960" w:type="dxa"/>
            <w:vAlign w:val="bottom"/>
          </w:tcPr>
          <w:p w:rsidR="004D5657" w:rsidRPr="006230D0" w:rsidRDefault="004D5657" w:rsidP="003B609C">
            <w:pPr>
              <w:spacing w:line="360" w:lineRule="auto"/>
              <w:jc w:val="center"/>
              <w:rPr>
                <w:rFonts w:ascii="Arial" w:hAnsi="Arial" w:cs="Arial"/>
                <w:sz w:val="20"/>
                <w:szCs w:val="20"/>
              </w:rPr>
            </w:pPr>
            <w:r w:rsidRPr="006230D0">
              <w:rPr>
                <w:rFonts w:ascii="Arial" w:hAnsi="Arial" w:cs="Arial"/>
                <w:color w:val="000000"/>
                <w:sz w:val="20"/>
                <w:szCs w:val="20"/>
              </w:rPr>
              <w:t>1.13</w:t>
            </w:r>
          </w:p>
        </w:tc>
      </w:tr>
      <w:tr w:rsidR="004D5657" w:rsidRPr="003A543A" w:rsidTr="005A2208">
        <w:trPr>
          <w:trHeight w:val="300"/>
        </w:trPr>
        <w:tc>
          <w:tcPr>
            <w:tcW w:w="12775" w:type="dxa"/>
            <w:gridSpan w:val="13"/>
            <w:noWrap/>
            <w:vAlign w:val="center"/>
          </w:tcPr>
          <w:p w:rsidR="004D5657" w:rsidRPr="00820FA2" w:rsidRDefault="004D5657" w:rsidP="003B609C">
            <w:pPr>
              <w:spacing w:line="360" w:lineRule="auto"/>
              <w:rPr>
                <w:rFonts w:ascii="Arial" w:hAnsi="Arial" w:cs="Arial"/>
                <w:color w:val="000000"/>
                <w:sz w:val="20"/>
                <w:szCs w:val="20"/>
                <w:lang w:val="en-US"/>
              </w:rPr>
            </w:pPr>
            <w:r w:rsidRPr="00DE13C4">
              <w:rPr>
                <w:rFonts w:ascii="Arial" w:hAnsi="Arial" w:cs="Arial"/>
                <w:sz w:val="20"/>
                <w:szCs w:val="20"/>
                <w:lang w:val="en-US"/>
              </w:rPr>
              <w:t>* Acceptable ranges for MF: 0.85 – 1.15 a</w:t>
            </w:r>
            <w:r>
              <w:rPr>
                <w:rFonts w:ascii="Arial" w:hAnsi="Arial" w:cs="Arial"/>
                <w:sz w:val="20"/>
                <w:szCs w:val="20"/>
                <w:lang w:val="en-US"/>
              </w:rPr>
              <w:t>ccording to the EMA guidelines</w:t>
            </w:r>
          </w:p>
        </w:tc>
      </w:tr>
    </w:tbl>
    <w:p w:rsidR="004D5657"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lang w:val="en-US"/>
        </w:rPr>
        <w:sectPr w:rsidR="004D5657" w:rsidSect="00DC772B">
          <w:pgSz w:w="16838" w:h="11906" w:orient="landscape"/>
          <w:pgMar w:top="1411" w:right="1411" w:bottom="1411" w:left="1138" w:header="706" w:footer="706" w:gutter="0"/>
          <w:cols w:space="708"/>
          <w:docGrid w:linePitch="360"/>
        </w:sectPr>
      </w:pPr>
    </w:p>
    <w:p w:rsidR="004D5657" w:rsidRDefault="004D5657" w:rsidP="003B609C">
      <w:pPr>
        <w:pStyle w:val="Subtitle"/>
        <w:spacing w:line="360" w:lineRule="auto"/>
      </w:pPr>
      <w:bookmarkStart w:id="5" w:name="_Toc84585304"/>
      <w:r>
        <w:lastRenderedPageBreak/>
        <w:t xml:space="preserve">Table S3. </w:t>
      </w:r>
      <w:r w:rsidRPr="00820FA2">
        <w:t>Estimated concentration in mouse plasma</w:t>
      </w:r>
      <w:bookmarkEnd w:id="5"/>
    </w:p>
    <w:tbl>
      <w:tblPr>
        <w:tblStyle w:val="TableGrid"/>
        <w:tblW w:w="0" w:type="auto"/>
        <w:tblLayout w:type="fixed"/>
        <w:tblLook w:val="04A0" w:firstRow="1" w:lastRow="0" w:firstColumn="1" w:lastColumn="0" w:noHBand="0" w:noVBand="1"/>
      </w:tblPr>
      <w:tblGrid>
        <w:gridCol w:w="1504"/>
        <w:gridCol w:w="1504"/>
      </w:tblGrid>
      <w:tr w:rsidR="004D5657" w:rsidRPr="003A543A" w:rsidTr="00DE13C4">
        <w:trPr>
          <w:trHeight w:val="1058"/>
        </w:trPr>
        <w:tc>
          <w:tcPr>
            <w:tcW w:w="1504" w:type="dxa"/>
            <w:vAlign w:val="center"/>
          </w:tcPr>
          <w:p w:rsidR="004D5657" w:rsidRPr="006230D0" w:rsidRDefault="004D5657" w:rsidP="003B609C">
            <w:pPr>
              <w:spacing w:line="360" w:lineRule="auto"/>
              <w:jc w:val="center"/>
              <w:rPr>
                <w:rFonts w:ascii="Arial" w:hAnsi="Arial" w:cs="Arial"/>
                <w:sz w:val="20"/>
                <w:szCs w:val="20"/>
                <w:lang w:val="en-US"/>
              </w:rPr>
            </w:pPr>
            <w:r w:rsidRPr="006230D0">
              <w:rPr>
                <w:rFonts w:ascii="Arial" w:hAnsi="Arial" w:cs="Arial"/>
                <w:sz w:val="20"/>
                <w:szCs w:val="20"/>
              </w:rPr>
              <w:t>Compound</w:t>
            </w:r>
          </w:p>
        </w:tc>
        <w:tc>
          <w:tcPr>
            <w:tcW w:w="1504" w:type="dxa"/>
            <w:vAlign w:val="center"/>
          </w:tcPr>
          <w:p w:rsidR="004D5657" w:rsidRPr="006230D0" w:rsidRDefault="004D5657" w:rsidP="003B609C">
            <w:pPr>
              <w:spacing w:line="360" w:lineRule="auto"/>
              <w:jc w:val="center"/>
              <w:rPr>
                <w:rFonts w:ascii="Arial" w:hAnsi="Arial" w:cs="Arial"/>
                <w:sz w:val="20"/>
                <w:szCs w:val="20"/>
                <w:lang w:val="en-US"/>
              </w:rPr>
            </w:pPr>
            <w:r w:rsidRPr="006230D0">
              <w:rPr>
                <w:rFonts w:ascii="Arial" w:hAnsi="Arial" w:cs="Arial"/>
                <w:sz w:val="20"/>
                <w:szCs w:val="20"/>
                <w:lang w:val="en-US"/>
              </w:rPr>
              <w:t>Estimated concentration in mouse plasma (µM)</w:t>
            </w:r>
          </w:p>
        </w:tc>
      </w:tr>
      <w:tr w:rsidR="004D5657" w:rsidRPr="006230D0" w:rsidTr="00DE13C4">
        <w:trPr>
          <w:trHeight w:val="300"/>
        </w:trPr>
        <w:tc>
          <w:tcPr>
            <w:tcW w:w="1504" w:type="dxa"/>
            <w:vAlign w:val="center"/>
          </w:tcPr>
          <w:p w:rsidR="004D5657" w:rsidRPr="00820FA2" w:rsidRDefault="004D5657" w:rsidP="003B609C">
            <w:pPr>
              <w:spacing w:line="360" w:lineRule="auto"/>
              <w:jc w:val="center"/>
              <w:rPr>
                <w:rFonts w:ascii="Arial" w:hAnsi="Arial" w:cs="Arial"/>
                <w:sz w:val="20"/>
                <w:szCs w:val="20"/>
                <w:lang w:val="en-US"/>
              </w:rPr>
            </w:pPr>
            <w:r w:rsidRPr="006230D0">
              <w:rPr>
                <w:rFonts w:ascii="Arial" w:hAnsi="Arial" w:cs="Arial"/>
                <w:sz w:val="20"/>
                <w:szCs w:val="20"/>
              </w:rPr>
              <w:t>AA</w:t>
            </w:r>
          </w:p>
        </w:tc>
        <w:tc>
          <w:tcPr>
            <w:tcW w:w="1504"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192.37</w:t>
            </w:r>
          </w:p>
        </w:tc>
      </w:tr>
      <w:tr w:rsidR="004D5657" w:rsidRPr="006230D0" w:rsidTr="00DE13C4">
        <w:trPr>
          <w:trHeight w:val="300"/>
        </w:trPr>
        <w:tc>
          <w:tcPr>
            <w:tcW w:w="1504"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AcAA</w:t>
            </w:r>
          </w:p>
        </w:tc>
        <w:tc>
          <w:tcPr>
            <w:tcW w:w="1504"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0.31</w:t>
            </w:r>
          </w:p>
        </w:tc>
      </w:tr>
      <w:tr w:rsidR="004D5657" w:rsidRPr="006230D0" w:rsidTr="00DE13C4">
        <w:trPr>
          <w:trHeight w:val="300"/>
        </w:trPr>
        <w:tc>
          <w:tcPr>
            <w:tcW w:w="1504"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BA</w:t>
            </w:r>
          </w:p>
        </w:tc>
        <w:tc>
          <w:tcPr>
            <w:tcW w:w="1504"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3.69</w:t>
            </w:r>
          </w:p>
        </w:tc>
      </w:tr>
      <w:tr w:rsidR="004D5657" w:rsidRPr="006230D0" w:rsidTr="00DE13C4">
        <w:trPr>
          <w:trHeight w:val="300"/>
        </w:trPr>
        <w:tc>
          <w:tcPr>
            <w:tcW w:w="1504"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HA</w:t>
            </w:r>
          </w:p>
        </w:tc>
        <w:tc>
          <w:tcPr>
            <w:tcW w:w="1504"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12.35</w:t>
            </w:r>
          </w:p>
        </w:tc>
      </w:tr>
      <w:tr w:rsidR="004D5657" w:rsidRPr="006230D0" w:rsidTr="00DE13C4">
        <w:trPr>
          <w:trHeight w:val="300"/>
        </w:trPr>
        <w:tc>
          <w:tcPr>
            <w:tcW w:w="1504"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HBA</w:t>
            </w:r>
          </w:p>
        </w:tc>
        <w:tc>
          <w:tcPr>
            <w:tcW w:w="1504"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65.45</w:t>
            </w:r>
          </w:p>
        </w:tc>
      </w:tr>
      <w:tr w:rsidR="004D5657" w:rsidRPr="006230D0" w:rsidTr="00DE13C4">
        <w:trPr>
          <w:trHeight w:val="300"/>
        </w:trPr>
        <w:tc>
          <w:tcPr>
            <w:tcW w:w="1504"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HMB</w:t>
            </w:r>
          </w:p>
        </w:tc>
        <w:tc>
          <w:tcPr>
            <w:tcW w:w="1504"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1.82</w:t>
            </w:r>
          </w:p>
        </w:tc>
      </w:tr>
      <w:tr w:rsidR="004D5657" w:rsidRPr="006230D0" w:rsidTr="00DE13C4">
        <w:trPr>
          <w:trHeight w:val="300"/>
        </w:trPr>
        <w:tc>
          <w:tcPr>
            <w:tcW w:w="1504"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IBA</w:t>
            </w:r>
          </w:p>
        </w:tc>
        <w:tc>
          <w:tcPr>
            <w:tcW w:w="1504"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1.43</w:t>
            </w:r>
          </w:p>
        </w:tc>
      </w:tr>
      <w:tr w:rsidR="004D5657" w:rsidRPr="006230D0" w:rsidTr="00DE13C4">
        <w:trPr>
          <w:trHeight w:val="300"/>
        </w:trPr>
        <w:tc>
          <w:tcPr>
            <w:tcW w:w="1504"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IVA</w:t>
            </w:r>
          </w:p>
        </w:tc>
        <w:tc>
          <w:tcPr>
            <w:tcW w:w="1504"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2.76</w:t>
            </w:r>
          </w:p>
        </w:tc>
      </w:tr>
      <w:tr w:rsidR="004D5657" w:rsidRPr="006230D0" w:rsidTr="00DE13C4">
        <w:trPr>
          <w:trHeight w:val="300"/>
        </w:trPr>
        <w:tc>
          <w:tcPr>
            <w:tcW w:w="1504"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MBA</w:t>
            </w:r>
          </w:p>
        </w:tc>
        <w:tc>
          <w:tcPr>
            <w:tcW w:w="1504"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2.44</w:t>
            </w:r>
          </w:p>
        </w:tc>
      </w:tr>
      <w:tr w:rsidR="004D5657" w:rsidRPr="006230D0" w:rsidTr="00DE13C4">
        <w:trPr>
          <w:trHeight w:val="300"/>
        </w:trPr>
        <w:tc>
          <w:tcPr>
            <w:tcW w:w="1504"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PA</w:t>
            </w:r>
          </w:p>
        </w:tc>
        <w:tc>
          <w:tcPr>
            <w:tcW w:w="1504"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7.86</w:t>
            </w:r>
          </w:p>
        </w:tc>
      </w:tr>
      <w:tr w:rsidR="004D5657" w:rsidRPr="006230D0" w:rsidTr="00DE13C4">
        <w:trPr>
          <w:trHeight w:val="300"/>
        </w:trPr>
        <w:tc>
          <w:tcPr>
            <w:tcW w:w="1504" w:type="dxa"/>
            <w:vAlign w:val="center"/>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VA</w:t>
            </w:r>
          </w:p>
        </w:tc>
        <w:tc>
          <w:tcPr>
            <w:tcW w:w="1504" w:type="dxa"/>
          </w:tcPr>
          <w:p w:rsidR="004D5657" w:rsidRPr="006230D0" w:rsidRDefault="004D5657" w:rsidP="003B609C">
            <w:pPr>
              <w:spacing w:line="360" w:lineRule="auto"/>
              <w:jc w:val="center"/>
              <w:rPr>
                <w:rFonts w:ascii="Arial" w:hAnsi="Arial" w:cs="Arial"/>
                <w:sz w:val="20"/>
                <w:szCs w:val="20"/>
              </w:rPr>
            </w:pPr>
            <w:r w:rsidRPr="006230D0">
              <w:rPr>
                <w:rFonts w:ascii="Arial" w:hAnsi="Arial" w:cs="Arial"/>
                <w:sz w:val="20"/>
                <w:szCs w:val="20"/>
              </w:rPr>
              <w:t>1.92</w:t>
            </w:r>
          </w:p>
        </w:tc>
      </w:tr>
    </w:tbl>
    <w:p w:rsidR="004D5657"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lang w:val="en-US"/>
        </w:rPr>
      </w:pPr>
    </w:p>
    <w:p w:rsidR="004D5657" w:rsidRPr="00B811E7" w:rsidRDefault="004D5657" w:rsidP="003B609C">
      <w:pPr>
        <w:pStyle w:val="Subtitle"/>
        <w:spacing w:line="360" w:lineRule="auto"/>
      </w:pPr>
      <w:bookmarkStart w:id="6" w:name="_Toc84585305"/>
      <w:r>
        <w:t>Table S4</w:t>
      </w:r>
      <w:r w:rsidRPr="00B811E7">
        <w:t xml:space="preserve">. Peak areas of AA-3NPH signal </w:t>
      </w:r>
      <w:r>
        <w:t xml:space="preserve">(transition 194 </w:t>
      </w:r>
      <w:r w:rsidRPr="00AD2BAB">
        <w:sym w:font="Wingdings" w:char="F0E0"/>
      </w:r>
      <w:r>
        <w:t xml:space="preserve"> 152) in commercial mouse plasma</w:t>
      </w:r>
      <w:bookmarkEnd w:id="6"/>
    </w:p>
    <w:tbl>
      <w:tblPr>
        <w:tblW w:w="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
        <w:gridCol w:w="1140"/>
        <w:gridCol w:w="1536"/>
        <w:gridCol w:w="1504"/>
      </w:tblGrid>
      <w:tr w:rsidR="004D5657" w:rsidRPr="00F80F09" w:rsidTr="00045181">
        <w:trPr>
          <w:trHeight w:val="258"/>
        </w:trPr>
        <w:tc>
          <w:tcPr>
            <w:tcW w:w="0" w:type="auto"/>
            <w:shd w:val="clear" w:color="auto" w:fill="auto"/>
            <w:noWrap/>
            <w:hideMark/>
          </w:tcPr>
          <w:p w:rsidR="004D5657" w:rsidRPr="00C16E29" w:rsidRDefault="004D5657" w:rsidP="003B609C">
            <w:pPr>
              <w:spacing w:after="0" w:line="360" w:lineRule="auto"/>
              <w:jc w:val="center"/>
              <w:rPr>
                <w:rFonts w:ascii="Arial" w:eastAsia="Times New Roman" w:hAnsi="Arial" w:cs="Arial"/>
                <w:sz w:val="18"/>
                <w:szCs w:val="18"/>
                <w:lang w:val="en-US" w:eastAsia="de-DE"/>
              </w:rPr>
            </w:pPr>
          </w:p>
        </w:tc>
        <w:tc>
          <w:tcPr>
            <w:tcW w:w="0" w:type="auto"/>
            <w:shd w:val="clear" w:color="auto" w:fill="auto"/>
            <w:noWrap/>
            <w:hideMark/>
          </w:tcPr>
          <w:p w:rsidR="004D5657" w:rsidRPr="0071573C" w:rsidRDefault="004D5657" w:rsidP="003B609C">
            <w:pPr>
              <w:spacing w:after="0" w:line="360" w:lineRule="auto"/>
              <w:jc w:val="center"/>
              <w:rPr>
                <w:rFonts w:ascii="Arial" w:eastAsia="Times New Roman" w:hAnsi="Arial" w:cs="Arial"/>
                <w:color w:val="000000"/>
                <w:sz w:val="18"/>
                <w:szCs w:val="18"/>
                <w:lang w:val="en-US" w:eastAsia="de-DE"/>
              </w:rPr>
            </w:pPr>
            <w:r w:rsidRPr="0071573C">
              <w:rPr>
                <w:rFonts w:ascii="Arial" w:eastAsia="Times New Roman" w:hAnsi="Arial" w:cs="Arial"/>
                <w:color w:val="000000"/>
                <w:sz w:val="18"/>
                <w:szCs w:val="18"/>
                <w:lang w:val="en-US" w:eastAsia="de-DE"/>
              </w:rPr>
              <w:t>AA-3NPH</w:t>
            </w:r>
          </w:p>
        </w:tc>
        <w:tc>
          <w:tcPr>
            <w:tcW w:w="0" w:type="auto"/>
            <w:shd w:val="clear" w:color="auto" w:fill="auto"/>
            <w:noWrap/>
            <w:hideMark/>
          </w:tcPr>
          <w:p w:rsidR="004D5657" w:rsidRPr="0071573C" w:rsidRDefault="004D5657" w:rsidP="003B609C">
            <w:pPr>
              <w:spacing w:after="0" w:line="360" w:lineRule="auto"/>
              <w:jc w:val="center"/>
              <w:rPr>
                <w:rFonts w:ascii="Arial" w:eastAsia="Times New Roman" w:hAnsi="Arial" w:cs="Arial"/>
                <w:color w:val="000000"/>
                <w:sz w:val="18"/>
                <w:szCs w:val="18"/>
                <w:lang w:val="en-US" w:eastAsia="de-DE"/>
              </w:rPr>
            </w:pPr>
            <w:r w:rsidRPr="0071573C">
              <w:rPr>
                <w:rFonts w:ascii="Arial" w:eastAsia="Times New Roman" w:hAnsi="Arial" w:cs="Arial"/>
                <w:color w:val="000000"/>
                <w:sz w:val="18"/>
                <w:szCs w:val="18"/>
                <w:lang w:val="en-US" w:eastAsia="de-DE"/>
              </w:rPr>
              <w:t>in HBA-3NPH</w:t>
            </w:r>
          </w:p>
        </w:tc>
        <w:tc>
          <w:tcPr>
            <w:tcW w:w="1504" w:type="dxa"/>
          </w:tcPr>
          <w:p w:rsidR="004D5657" w:rsidRPr="0071573C" w:rsidRDefault="004D5657" w:rsidP="003B609C">
            <w:pPr>
              <w:spacing w:after="0" w:line="360" w:lineRule="auto"/>
              <w:jc w:val="center"/>
              <w:rPr>
                <w:rFonts w:ascii="Arial" w:eastAsia="Times New Roman" w:hAnsi="Arial" w:cs="Arial"/>
                <w:color w:val="000000"/>
                <w:sz w:val="18"/>
                <w:szCs w:val="18"/>
                <w:lang w:val="en-US" w:eastAsia="de-DE"/>
              </w:rPr>
            </w:pPr>
            <w:r w:rsidRPr="0071573C">
              <w:rPr>
                <w:rFonts w:ascii="Arial" w:eastAsia="Times New Roman" w:hAnsi="Arial" w:cs="Arial"/>
                <w:color w:val="000000"/>
                <w:sz w:val="18"/>
                <w:szCs w:val="18"/>
                <w:lang w:val="en-US" w:eastAsia="de-DE"/>
              </w:rPr>
              <w:t>Sum</w:t>
            </w:r>
          </w:p>
        </w:tc>
      </w:tr>
      <w:tr w:rsidR="004D5657" w:rsidRPr="00F80F09" w:rsidTr="00045181">
        <w:trPr>
          <w:trHeight w:val="258"/>
        </w:trPr>
        <w:tc>
          <w:tcPr>
            <w:tcW w:w="0" w:type="auto"/>
            <w:shd w:val="clear" w:color="auto" w:fill="auto"/>
            <w:noWrap/>
            <w:hideMark/>
          </w:tcPr>
          <w:p w:rsidR="004D5657" w:rsidRPr="0071573C" w:rsidRDefault="004D5657" w:rsidP="003B609C">
            <w:pPr>
              <w:spacing w:after="0" w:line="360" w:lineRule="auto"/>
              <w:jc w:val="center"/>
              <w:rPr>
                <w:rFonts w:ascii="Arial" w:eastAsia="Times New Roman" w:hAnsi="Arial" w:cs="Arial"/>
                <w:color w:val="000000"/>
                <w:sz w:val="18"/>
                <w:szCs w:val="18"/>
                <w:lang w:val="en-US" w:eastAsia="de-DE"/>
              </w:rPr>
            </w:pPr>
            <w:r w:rsidRPr="0071573C">
              <w:rPr>
                <w:rFonts w:ascii="Arial" w:eastAsia="Times New Roman" w:hAnsi="Arial" w:cs="Arial"/>
                <w:color w:val="000000"/>
                <w:sz w:val="18"/>
                <w:szCs w:val="18"/>
                <w:lang w:val="en-US" w:eastAsia="de-DE"/>
              </w:rPr>
              <w:t>RT (min)</w:t>
            </w:r>
          </w:p>
        </w:tc>
        <w:tc>
          <w:tcPr>
            <w:tcW w:w="0" w:type="auto"/>
            <w:shd w:val="clear" w:color="auto" w:fill="auto"/>
            <w:noWrap/>
            <w:hideMark/>
          </w:tcPr>
          <w:p w:rsidR="004D5657" w:rsidRPr="0071573C" w:rsidRDefault="004D5657" w:rsidP="003B609C">
            <w:pPr>
              <w:spacing w:after="0" w:line="360" w:lineRule="auto"/>
              <w:jc w:val="center"/>
              <w:rPr>
                <w:rFonts w:ascii="Arial" w:eastAsia="Times New Roman" w:hAnsi="Arial" w:cs="Arial"/>
                <w:color w:val="000000"/>
                <w:sz w:val="18"/>
                <w:szCs w:val="18"/>
                <w:lang w:val="en-US" w:eastAsia="de-DE"/>
              </w:rPr>
            </w:pPr>
            <w:r w:rsidRPr="0071573C">
              <w:rPr>
                <w:rFonts w:ascii="Arial" w:eastAsia="Times New Roman" w:hAnsi="Arial" w:cs="Arial"/>
                <w:color w:val="000000"/>
                <w:sz w:val="18"/>
                <w:szCs w:val="18"/>
                <w:lang w:val="en-US" w:eastAsia="de-DE"/>
              </w:rPr>
              <w:t>8.6</w:t>
            </w:r>
          </w:p>
        </w:tc>
        <w:tc>
          <w:tcPr>
            <w:tcW w:w="0" w:type="auto"/>
            <w:shd w:val="clear" w:color="auto" w:fill="auto"/>
            <w:noWrap/>
            <w:hideMark/>
          </w:tcPr>
          <w:p w:rsidR="004D5657" w:rsidRPr="0071573C" w:rsidRDefault="004D5657" w:rsidP="003B609C">
            <w:pPr>
              <w:spacing w:after="0" w:line="360" w:lineRule="auto"/>
              <w:jc w:val="center"/>
              <w:rPr>
                <w:rFonts w:ascii="Arial" w:eastAsia="Times New Roman" w:hAnsi="Arial" w:cs="Arial"/>
                <w:color w:val="000000"/>
                <w:sz w:val="18"/>
                <w:szCs w:val="18"/>
                <w:lang w:val="en-US" w:eastAsia="de-DE"/>
              </w:rPr>
            </w:pPr>
            <w:r w:rsidRPr="0071573C">
              <w:rPr>
                <w:rFonts w:ascii="Arial" w:eastAsia="Times New Roman" w:hAnsi="Arial" w:cs="Arial"/>
                <w:color w:val="000000"/>
                <w:sz w:val="18"/>
                <w:szCs w:val="18"/>
                <w:lang w:val="en-US" w:eastAsia="de-DE"/>
              </w:rPr>
              <w:t>9</w:t>
            </w:r>
          </w:p>
        </w:tc>
        <w:tc>
          <w:tcPr>
            <w:tcW w:w="1504" w:type="dxa"/>
          </w:tcPr>
          <w:p w:rsidR="004D5657" w:rsidRPr="0071573C" w:rsidRDefault="004D5657" w:rsidP="003B609C">
            <w:pPr>
              <w:spacing w:after="0" w:line="360" w:lineRule="auto"/>
              <w:jc w:val="center"/>
              <w:rPr>
                <w:rFonts w:ascii="Arial" w:eastAsia="Times New Roman" w:hAnsi="Arial" w:cs="Arial"/>
                <w:color w:val="000000"/>
                <w:sz w:val="18"/>
                <w:szCs w:val="18"/>
                <w:lang w:val="en-US" w:eastAsia="de-DE"/>
              </w:rPr>
            </w:pPr>
            <w:r>
              <w:rPr>
                <w:rFonts w:ascii="Arial" w:eastAsia="Times New Roman" w:hAnsi="Arial" w:cs="Arial"/>
                <w:color w:val="000000"/>
                <w:sz w:val="18"/>
                <w:szCs w:val="18"/>
                <w:lang w:val="en-US" w:eastAsia="de-DE"/>
              </w:rPr>
              <w:t xml:space="preserve">Range: </w:t>
            </w:r>
            <w:r w:rsidRPr="0071573C">
              <w:rPr>
                <w:rFonts w:ascii="Arial" w:eastAsia="Times New Roman" w:hAnsi="Arial" w:cs="Arial"/>
                <w:color w:val="000000"/>
                <w:sz w:val="18"/>
                <w:szCs w:val="18"/>
                <w:lang w:val="en-US" w:eastAsia="de-DE"/>
              </w:rPr>
              <w:t>8.2-9.2</w:t>
            </w:r>
          </w:p>
        </w:tc>
      </w:tr>
      <w:tr w:rsidR="004D5657" w:rsidRPr="00C16E29" w:rsidTr="00045181">
        <w:trPr>
          <w:trHeight w:val="258"/>
        </w:trPr>
        <w:tc>
          <w:tcPr>
            <w:tcW w:w="0" w:type="auto"/>
            <w:shd w:val="clear" w:color="auto" w:fill="auto"/>
            <w:noWrap/>
            <w:hideMark/>
          </w:tcPr>
          <w:p w:rsidR="004D5657" w:rsidRPr="0071573C" w:rsidRDefault="004D5657" w:rsidP="003B609C">
            <w:pPr>
              <w:spacing w:after="0" w:line="360" w:lineRule="auto"/>
              <w:jc w:val="center"/>
              <w:rPr>
                <w:rFonts w:ascii="Arial" w:eastAsia="Times New Roman" w:hAnsi="Arial" w:cs="Arial"/>
                <w:color w:val="000000"/>
                <w:sz w:val="18"/>
                <w:szCs w:val="18"/>
                <w:lang w:val="en-US" w:eastAsia="de-DE"/>
              </w:rPr>
            </w:pPr>
            <w:r w:rsidRPr="0071573C">
              <w:rPr>
                <w:rFonts w:ascii="Arial" w:eastAsia="Times New Roman" w:hAnsi="Arial" w:cs="Arial"/>
                <w:color w:val="000000"/>
                <w:sz w:val="18"/>
                <w:szCs w:val="18"/>
                <w:lang w:val="en-US" w:eastAsia="de-DE"/>
              </w:rPr>
              <w:t>Mean</w:t>
            </w:r>
          </w:p>
        </w:tc>
        <w:tc>
          <w:tcPr>
            <w:tcW w:w="0" w:type="auto"/>
            <w:shd w:val="clear" w:color="auto" w:fill="auto"/>
            <w:noWrap/>
            <w:hideMark/>
          </w:tcPr>
          <w:p w:rsidR="004D5657" w:rsidRPr="00C16E29" w:rsidRDefault="004D5657" w:rsidP="003B609C">
            <w:pPr>
              <w:spacing w:after="0" w:line="360" w:lineRule="auto"/>
              <w:jc w:val="center"/>
              <w:rPr>
                <w:rFonts w:ascii="Arial" w:eastAsia="Times New Roman" w:hAnsi="Arial" w:cs="Arial"/>
                <w:color w:val="000000"/>
                <w:sz w:val="18"/>
                <w:szCs w:val="18"/>
                <w:lang w:eastAsia="de-DE"/>
              </w:rPr>
            </w:pPr>
            <w:r w:rsidRPr="0071573C">
              <w:rPr>
                <w:rFonts w:ascii="Arial" w:eastAsia="Times New Roman" w:hAnsi="Arial" w:cs="Arial"/>
                <w:color w:val="000000"/>
                <w:sz w:val="18"/>
                <w:szCs w:val="18"/>
                <w:lang w:val="en-US" w:eastAsia="de-DE"/>
              </w:rPr>
              <w:t>4.05E+</w:t>
            </w:r>
            <w:r w:rsidRPr="00C16E29">
              <w:rPr>
                <w:rFonts w:ascii="Arial" w:eastAsia="Times New Roman" w:hAnsi="Arial" w:cs="Arial"/>
                <w:color w:val="000000"/>
                <w:sz w:val="18"/>
                <w:szCs w:val="18"/>
                <w:lang w:eastAsia="de-DE"/>
              </w:rPr>
              <w:t>06</w:t>
            </w:r>
          </w:p>
        </w:tc>
        <w:tc>
          <w:tcPr>
            <w:tcW w:w="0" w:type="auto"/>
            <w:shd w:val="clear" w:color="auto" w:fill="auto"/>
            <w:noWrap/>
            <w:hideMark/>
          </w:tcPr>
          <w:p w:rsidR="004D5657" w:rsidRPr="00C16E29" w:rsidRDefault="004D5657" w:rsidP="003B609C">
            <w:pPr>
              <w:spacing w:after="0" w:line="360" w:lineRule="auto"/>
              <w:jc w:val="center"/>
              <w:rPr>
                <w:rFonts w:ascii="Arial" w:eastAsia="Times New Roman" w:hAnsi="Arial" w:cs="Arial"/>
                <w:color w:val="000000"/>
                <w:sz w:val="18"/>
                <w:szCs w:val="18"/>
                <w:lang w:eastAsia="de-DE"/>
              </w:rPr>
            </w:pPr>
            <w:r w:rsidRPr="00C16E29">
              <w:rPr>
                <w:rFonts w:ascii="Arial" w:eastAsia="Times New Roman" w:hAnsi="Arial" w:cs="Arial"/>
                <w:color w:val="000000"/>
                <w:sz w:val="18"/>
                <w:szCs w:val="18"/>
                <w:lang w:eastAsia="de-DE"/>
              </w:rPr>
              <w:t>1.01E+06</w:t>
            </w:r>
          </w:p>
        </w:tc>
        <w:tc>
          <w:tcPr>
            <w:tcW w:w="1504" w:type="dxa"/>
          </w:tcPr>
          <w:p w:rsidR="004D5657" w:rsidRPr="00C16E29" w:rsidRDefault="004D5657" w:rsidP="003B609C">
            <w:pPr>
              <w:spacing w:line="360" w:lineRule="auto"/>
              <w:jc w:val="center"/>
              <w:rPr>
                <w:rFonts w:ascii="Arial" w:eastAsia="Times New Roman" w:hAnsi="Arial" w:cs="Arial"/>
                <w:color w:val="000000"/>
                <w:sz w:val="18"/>
                <w:szCs w:val="18"/>
                <w:lang w:eastAsia="de-DE"/>
              </w:rPr>
            </w:pPr>
            <w:r w:rsidRPr="00C16E29">
              <w:rPr>
                <w:rFonts w:ascii="Arial" w:eastAsia="Times New Roman" w:hAnsi="Arial" w:cs="Arial"/>
                <w:color w:val="000000"/>
                <w:sz w:val="18"/>
                <w:szCs w:val="18"/>
                <w:lang w:eastAsia="de-DE"/>
              </w:rPr>
              <w:t>5.08E+06</w:t>
            </w:r>
          </w:p>
        </w:tc>
      </w:tr>
      <w:tr w:rsidR="004D5657" w:rsidRPr="00C16E29" w:rsidTr="00045181">
        <w:trPr>
          <w:trHeight w:val="258"/>
        </w:trPr>
        <w:tc>
          <w:tcPr>
            <w:tcW w:w="0" w:type="auto"/>
            <w:shd w:val="clear" w:color="auto" w:fill="auto"/>
            <w:noWrap/>
            <w:hideMark/>
          </w:tcPr>
          <w:p w:rsidR="004D5657" w:rsidRPr="00C16E29" w:rsidRDefault="004D5657" w:rsidP="003B609C">
            <w:pPr>
              <w:spacing w:after="0" w:line="360" w:lineRule="auto"/>
              <w:jc w:val="center"/>
              <w:rPr>
                <w:rFonts w:ascii="Arial" w:eastAsia="Times New Roman" w:hAnsi="Arial" w:cs="Arial"/>
                <w:color w:val="000000"/>
                <w:sz w:val="18"/>
                <w:szCs w:val="18"/>
                <w:lang w:eastAsia="de-DE"/>
              </w:rPr>
            </w:pPr>
            <w:r w:rsidRPr="00C16E29">
              <w:rPr>
                <w:rFonts w:ascii="Arial" w:eastAsia="Times New Roman" w:hAnsi="Arial" w:cs="Arial"/>
                <w:color w:val="000000"/>
                <w:sz w:val="18"/>
                <w:szCs w:val="18"/>
                <w:lang w:eastAsia="de-DE"/>
              </w:rPr>
              <w:t>SD</w:t>
            </w:r>
          </w:p>
        </w:tc>
        <w:tc>
          <w:tcPr>
            <w:tcW w:w="0" w:type="auto"/>
            <w:shd w:val="clear" w:color="auto" w:fill="auto"/>
            <w:noWrap/>
            <w:hideMark/>
          </w:tcPr>
          <w:p w:rsidR="004D5657" w:rsidRPr="00C16E29" w:rsidRDefault="004D5657" w:rsidP="003B609C">
            <w:pPr>
              <w:spacing w:after="0" w:line="360" w:lineRule="auto"/>
              <w:jc w:val="center"/>
              <w:rPr>
                <w:rFonts w:ascii="Arial" w:eastAsia="Times New Roman" w:hAnsi="Arial" w:cs="Arial"/>
                <w:color w:val="000000"/>
                <w:sz w:val="18"/>
                <w:szCs w:val="18"/>
                <w:lang w:eastAsia="de-DE"/>
              </w:rPr>
            </w:pPr>
            <w:r w:rsidRPr="00C16E29">
              <w:rPr>
                <w:rFonts w:ascii="Arial" w:eastAsia="Times New Roman" w:hAnsi="Arial" w:cs="Arial"/>
                <w:color w:val="000000"/>
                <w:sz w:val="18"/>
                <w:szCs w:val="18"/>
                <w:lang w:eastAsia="de-DE"/>
              </w:rPr>
              <w:t>2.34E+05</w:t>
            </w:r>
          </w:p>
        </w:tc>
        <w:tc>
          <w:tcPr>
            <w:tcW w:w="0" w:type="auto"/>
            <w:shd w:val="clear" w:color="auto" w:fill="auto"/>
            <w:noWrap/>
            <w:hideMark/>
          </w:tcPr>
          <w:p w:rsidR="004D5657" w:rsidRPr="00C16E29" w:rsidRDefault="004D5657" w:rsidP="003B609C">
            <w:pPr>
              <w:spacing w:after="0" w:line="360" w:lineRule="auto"/>
              <w:jc w:val="center"/>
              <w:rPr>
                <w:rFonts w:ascii="Arial" w:eastAsia="Times New Roman" w:hAnsi="Arial" w:cs="Arial"/>
                <w:color w:val="000000"/>
                <w:sz w:val="18"/>
                <w:szCs w:val="18"/>
                <w:lang w:eastAsia="de-DE"/>
              </w:rPr>
            </w:pPr>
            <w:r w:rsidRPr="00C16E29">
              <w:rPr>
                <w:rFonts w:ascii="Arial" w:eastAsia="Times New Roman" w:hAnsi="Arial" w:cs="Arial"/>
                <w:color w:val="000000"/>
                <w:sz w:val="18"/>
                <w:szCs w:val="18"/>
                <w:lang w:eastAsia="de-DE"/>
              </w:rPr>
              <w:t>2.04E+04</w:t>
            </w:r>
          </w:p>
        </w:tc>
        <w:tc>
          <w:tcPr>
            <w:tcW w:w="1504" w:type="dxa"/>
          </w:tcPr>
          <w:p w:rsidR="004D5657" w:rsidRPr="00C16E29" w:rsidRDefault="004D5657" w:rsidP="003B609C">
            <w:pPr>
              <w:spacing w:line="360" w:lineRule="auto"/>
              <w:jc w:val="center"/>
              <w:rPr>
                <w:rFonts w:ascii="Arial" w:eastAsia="Times New Roman" w:hAnsi="Arial" w:cs="Arial"/>
                <w:color w:val="000000"/>
                <w:sz w:val="18"/>
                <w:szCs w:val="18"/>
                <w:lang w:eastAsia="de-DE"/>
              </w:rPr>
            </w:pPr>
            <w:r w:rsidRPr="00C16E29">
              <w:rPr>
                <w:rFonts w:ascii="Arial" w:eastAsia="Times New Roman" w:hAnsi="Arial" w:cs="Arial"/>
                <w:color w:val="000000"/>
                <w:sz w:val="18"/>
                <w:szCs w:val="18"/>
                <w:lang w:eastAsia="de-DE"/>
              </w:rPr>
              <w:t>2.40E+05</w:t>
            </w:r>
          </w:p>
        </w:tc>
      </w:tr>
    </w:tbl>
    <w:p w:rsidR="004D5657" w:rsidRDefault="004D5657" w:rsidP="003B609C">
      <w:pPr>
        <w:spacing w:after="0" w:line="360" w:lineRule="auto"/>
        <w:jc w:val="both"/>
        <w:rPr>
          <w:rFonts w:ascii="Arial" w:hAnsi="Arial" w:cs="Arial"/>
          <w:sz w:val="24"/>
          <w:szCs w:val="24"/>
          <w:lang w:val="en-US"/>
        </w:rPr>
      </w:pPr>
    </w:p>
    <w:p w:rsidR="004D5657" w:rsidRPr="0046532B" w:rsidRDefault="004D5657" w:rsidP="003B609C">
      <w:pPr>
        <w:spacing w:after="0" w:line="360" w:lineRule="auto"/>
        <w:jc w:val="both"/>
        <w:rPr>
          <w:rFonts w:ascii="Arial" w:hAnsi="Arial" w:cs="Arial"/>
          <w:sz w:val="24"/>
          <w:szCs w:val="24"/>
          <w:lang w:val="en-US"/>
        </w:rPr>
      </w:pPr>
    </w:p>
    <w:p w:rsidR="004D5657" w:rsidRDefault="004D5657" w:rsidP="003B609C">
      <w:pPr>
        <w:spacing w:after="0" w:line="360" w:lineRule="auto"/>
        <w:jc w:val="both"/>
        <w:rPr>
          <w:rFonts w:ascii="Arial" w:hAnsi="Arial" w:cs="Arial"/>
          <w:sz w:val="24"/>
          <w:szCs w:val="24"/>
        </w:rPr>
      </w:pPr>
    </w:p>
    <w:p w:rsidR="004D5657" w:rsidRPr="00BD3F4A" w:rsidRDefault="004D5657" w:rsidP="003B609C">
      <w:pPr>
        <w:spacing w:after="0" w:line="360" w:lineRule="auto"/>
        <w:jc w:val="both"/>
        <w:rPr>
          <w:rFonts w:ascii="Arial" w:hAnsi="Arial" w:cs="Arial"/>
          <w:sz w:val="24"/>
          <w:szCs w:val="24"/>
        </w:rPr>
      </w:pPr>
    </w:p>
    <w:p w:rsidR="004D5657" w:rsidRDefault="004D5657" w:rsidP="003B609C">
      <w:pPr>
        <w:spacing w:after="0" w:line="360" w:lineRule="auto"/>
        <w:jc w:val="both"/>
        <w:rPr>
          <w:rFonts w:ascii="Arial" w:hAnsi="Arial" w:cs="Arial"/>
          <w:sz w:val="24"/>
          <w:szCs w:val="24"/>
        </w:rPr>
      </w:pPr>
      <w:r w:rsidRPr="0057333B">
        <w:rPr>
          <w:noProof/>
          <w:lang w:eastAsia="de-DE"/>
        </w:rPr>
        <w:lastRenderedPageBreak/>
        <w:drawing>
          <wp:inline distT="0" distB="0" distL="0" distR="0" wp14:anchorId="4BC49DCD" wp14:editId="50E6A14E">
            <wp:extent cx="5760720" cy="4339083"/>
            <wp:effectExtent l="0" t="0" r="0" b="444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39083"/>
                    </a:xfrm>
                    <a:prstGeom prst="rect">
                      <a:avLst/>
                    </a:prstGeom>
                    <a:noFill/>
                    <a:ln>
                      <a:noFill/>
                    </a:ln>
                  </pic:spPr>
                </pic:pic>
              </a:graphicData>
            </a:graphic>
          </wp:inline>
        </w:drawing>
      </w:r>
    </w:p>
    <w:p w:rsidR="004D5657" w:rsidRDefault="004D5657" w:rsidP="003B609C">
      <w:pPr>
        <w:pStyle w:val="Subtitle"/>
        <w:spacing w:line="360" w:lineRule="auto"/>
      </w:pPr>
      <w:bookmarkStart w:id="7" w:name="_Toc84585306"/>
      <w:r w:rsidRPr="0057333B">
        <w:t>Figure S</w:t>
      </w:r>
      <w:r>
        <w:t>1</w:t>
      </w:r>
      <w:r w:rsidRPr="0057333B">
        <w:t xml:space="preserve">. </w:t>
      </w:r>
      <w:r>
        <w:t>M</w:t>
      </w:r>
      <w:r w:rsidRPr="0057333B">
        <w:t xml:space="preserve">ass spectrum </w:t>
      </w:r>
      <w:r>
        <w:t xml:space="preserve">in positive mode ionization </w:t>
      </w:r>
      <w:r w:rsidRPr="0057333B">
        <w:t>for AA-3NPH</w:t>
      </w:r>
      <w:r>
        <w:t xml:space="preserve"> (upper panel) and HBA-3NPH (lower panel) showing common m/z signals. Neither the protonated molecular ion with m/z = 196 for AA-3NPH nor m/z = 240 for HBA-3NPH were found.</w:t>
      </w:r>
      <w:bookmarkEnd w:id="7"/>
    </w:p>
    <w:p w:rsidR="004D5657" w:rsidRDefault="004D5657" w:rsidP="003B609C">
      <w:pPr>
        <w:spacing w:line="360" w:lineRule="auto"/>
        <w:rPr>
          <w:lang w:val="en-US"/>
        </w:rPr>
      </w:pPr>
    </w:p>
    <w:p w:rsidR="004D5657" w:rsidRPr="0057333B" w:rsidRDefault="004D5657" w:rsidP="003B609C">
      <w:pPr>
        <w:spacing w:line="360" w:lineRule="auto"/>
        <w:rPr>
          <w:lang w:val="en-US"/>
        </w:rPr>
      </w:pPr>
    </w:p>
    <w:p w:rsidR="004D5657" w:rsidRDefault="004D5657" w:rsidP="003B609C">
      <w:pPr>
        <w:spacing w:after="0" w:line="360" w:lineRule="auto"/>
        <w:jc w:val="both"/>
        <w:rPr>
          <w:rFonts w:ascii="Arial" w:hAnsi="Arial" w:cs="Arial"/>
          <w:sz w:val="24"/>
          <w:szCs w:val="24"/>
          <w:lang w:val="en-US"/>
        </w:rPr>
      </w:pPr>
      <w:r w:rsidRPr="00D17429">
        <w:rPr>
          <w:noProof/>
          <w:lang w:eastAsia="de-DE"/>
        </w:rPr>
        <w:lastRenderedPageBreak/>
        <w:drawing>
          <wp:inline distT="0" distB="0" distL="0" distR="0" wp14:anchorId="11899202" wp14:editId="123EC400">
            <wp:extent cx="5471795" cy="3408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1795" cy="3408680"/>
                    </a:xfrm>
                    <a:prstGeom prst="rect">
                      <a:avLst/>
                    </a:prstGeom>
                    <a:noFill/>
                    <a:ln>
                      <a:noFill/>
                    </a:ln>
                  </pic:spPr>
                </pic:pic>
              </a:graphicData>
            </a:graphic>
          </wp:inline>
        </w:drawing>
      </w:r>
    </w:p>
    <w:p w:rsidR="004D5657" w:rsidRDefault="004D5657" w:rsidP="003B609C">
      <w:pPr>
        <w:pStyle w:val="Subtitle"/>
        <w:spacing w:line="360" w:lineRule="auto"/>
      </w:pPr>
      <w:bookmarkStart w:id="8" w:name="_Toc84585307"/>
      <w:r w:rsidRPr="0057333B">
        <w:t>Figure S</w:t>
      </w:r>
      <w:r>
        <w:t>2</w:t>
      </w:r>
      <w:r w:rsidRPr="0057333B">
        <w:t xml:space="preserve">. </w:t>
      </w:r>
      <w:r w:rsidRPr="00AF3EA1">
        <w:t xml:space="preserve">Chromatogram of </w:t>
      </w:r>
      <w:r>
        <w:t xml:space="preserve">pure </w:t>
      </w:r>
      <w:proofErr w:type="spellStart"/>
      <w:r w:rsidRPr="00AF3EA1">
        <w:t>de</w:t>
      </w:r>
      <w:r>
        <w:t>rivatized</w:t>
      </w:r>
      <w:proofErr w:type="spellEnd"/>
      <w:r>
        <w:t xml:space="preserve"> HBA using the optimized gradient. The transitions for HBA-3NPH appear at RT = 9.0 min., while there is no signal for the AA-3NPH at RT = 8.6, as an indication that the HBA standard was not contaminated with AA.</w:t>
      </w:r>
      <w:bookmarkEnd w:id="8"/>
    </w:p>
    <w:p w:rsidR="004D5657" w:rsidRDefault="004D5657" w:rsidP="003B609C">
      <w:pPr>
        <w:spacing w:line="360" w:lineRule="auto"/>
        <w:rPr>
          <w:lang w:val="en-US"/>
        </w:rPr>
      </w:pPr>
    </w:p>
    <w:p w:rsidR="004D5657" w:rsidRDefault="004D5657" w:rsidP="003B609C">
      <w:pPr>
        <w:spacing w:line="360" w:lineRule="auto"/>
        <w:rPr>
          <w:lang w:val="en-US"/>
        </w:rPr>
      </w:pPr>
    </w:p>
    <w:p w:rsidR="004D5657" w:rsidRPr="00BD3F4A" w:rsidRDefault="004D5657" w:rsidP="003B609C">
      <w:pPr>
        <w:spacing w:after="0" w:line="360" w:lineRule="auto"/>
        <w:jc w:val="center"/>
        <w:rPr>
          <w:rFonts w:ascii="Arial" w:hAnsi="Arial" w:cs="Arial"/>
          <w:sz w:val="24"/>
          <w:szCs w:val="24"/>
        </w:rPr>
      </w:pPr>
      <w:r w:rsidRPr="00D17429">
        <w:rPr>
          <w:noProof/>
          <w:lang w:eastAsia="de-DE"/>
        </w:rPr>
        <w:lastRenderedPageBreak/>
        <w:drawing>
          <wp:inline distT="0" distB="0" distL="0" distR="0" wp14:anchorId="53F52E58" wp14:editId="29F2B861">
            <wp:extent cx="5768340" cy="4361428"/>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8340" cy="4361428"/>
                    </a:xfrm>
                    <a:prstGeom prst="rect">
                      <a:avLst/>
                    </a:prstGeom>
                    <a:noFill/>
                    <a:ln>
                      <a:noFill/>
                    </a:ln>
                  </pic:spPr>
                </pic:pic>
              </a:graphicData>
            </a:graphic>
          </wp:inline>
        </w:drawing>
      </w:r>
    </w:p>
    <w:p w:rsidR="004D5657" w:rsidRPr="00036324" w:rsidRDefault="004D5657" w:rsidP="003B609C">
      <w:pPr>
        <w:pStyle w:val="Subtitle"/>
        <w:spacing w:line="360" w:lineRule="auto"/>
      </w:pPr>
      <w:bookmarkStart w:id="9" w:name="_Toc84585308"/>
      <w:r w:rsidRPr="00036324">
        <w:t>Figure S</w:t>
      </w:r>
      <w:r>
        <w:t>3</w:t>
      </w:r>
      <w:r w:rsidRPr="00036324">
        <w:t xml:space="preserve">. Proposed reaction mechanism for the </w:t>
      </w:r>
      <w:proofErr w:type="spellStart"/>
      <w:r w:rsidRPr="00036324">
        <w:t>derivatization</w:t>
      </w:r>
      <w:proofErr w:type="spellEnd"/>
      <w:r w:rsidRPr="00036324">
        <w:t xml:space="preserve"> of acetoacetic acid </w:t>
      </w:r>
      <w:r>
        <w:t>(</w:t>
      </w:r>
      <w:proofErr w:type="spellStart"/>
      <w:r>
        <w:t>AcAA</w:t>
      </w:r>
      <w:proofErr w:type="spellEnd"/>
      <w:r>
        <w:t xml:space="preserve">) </w:t>
      </w:r>
      <w:r w:rsidRPr="00036324">
        <w:t>with 3-nitrophenyl hydrazine (</w:t>
      </w:r>
      <w:r>
        <w:t>3NPH</w:t>
      </w:r>
      <w:r w:rsidRPr="00036324">
        <w:t>)</w:t>
      </w:r>
      <w:r>
        <w:t xml:space="preserve"> producing a </w:t>
      </w:r>
      <w:proofErr w:type="gramStart"/>
      <w:r>
        <w:t>doubly-labeled</w:t>
      </w:r>
      <w:proofErr w:type="gramEnd"/>
      <w:r>
        <w:t xml:space="preserve"> derivative (upper panel). Breakdown curve for the precursor ion of AcAA-3NPH and proposed fragment structure (highlighted in yellow) for the most intense Q1-Q3 transition.</w:t>
      </w:r>
      <w:bookmarkEnd w:id="9"/>
      <w:r>
        <w:t xml:space="preserve"> </w:t>
      </w:r>
    </w:p>
    <w:p w:rsidR="004D5657" w:rsidRDefault="004D5657" w:rsidP="003B609C">
      <w:pPr>
        <w:spacing w:line="360" w:lineRule="auto"/>
        <w:rPr>
          <w:lang w:val="en-US"/>
        </w:rPr>
      </w:pPr>
    </w:p>
    <w:p w:rsidR="004D5657" w:rsidRDefault="004D5657" w:rsidP="003B609C">
      <w:pPr>
        <w:spacing w:line="360" w:lineRule="auto"/>
        <w:rPr>
          <w:lang w:val="en-US"/>
        </w:rPr>
      </w:pPr>
    </w:p>
    <w:p w:rsidR="004D5657" w:rsidRDefault="004D5657" w:rsidP="003B609C">
      <w:pPr>
        <w:spacing w:line="360" w:lineRule="auto"/>
        <w:rPr>
          <w:lang w:val="en-US"/>
        </w:rPr>
      </w:pPr>
    </w:p>
    <w:p w:rsidR="004D5657" w:rsidRDefault="004D5657" w:rsidP="003B609C">
      <w:pPr>
        <w:spacing w:line="360" w:lineRule="auto"/>
        <w:rPr>
          <w:lang w:val="en-US"/>
        </w:rPr>
      </w:pPr>
    </w:p>
    <w:p w:rsidR="004D5657" w:rsidRPr="006D2663" w:rsidRDefault="004D5657" w:rsidP="003B609C">
      <w:pPr>
        <w:pStyle w:val="Subtitle"/>
        <w:spacing w:line="360" w:lineRule="auto"/>
      </w:pPr>
      <w:bookmarkStart w:id="10" w:name="_Toc84585309"/>
      <w:r w:rsidRPr="006D2663">
        <w:t>References:</w:t>
      </w:r>
      <w:bookmarkEnd w:id="10"/>
    </w:p>
    <w:p w:rsidR="004D5657" w:rsidRPr="00871C8F" w:rsidRDefault="004D5657" w:rsidP="003B609C">
      <w:pPr>
        <w:pStyle w:val="EndNoteBibliography"/>
        <w:spacing w:line="360" w:lineRule="auto"/>
        <w:ind w:left="720" w:hanging="720"/>
      </w:pPr>
      <w:r w:rsidRPr="00871C8F">
        <w:t>1.</w:t>
      </w:r>
      <w:r w:rsidRPr="00871C8F">
        <w:tab/>
        <w:t xml:space="preserve">European Medicines Agency, </w:t>
      </w:r>
      <w:r w:rsidRPr="00871C8F">
        <w:rPr>
          <w:i/>
        </w:rPr>
        <w:t>Guideline on bioanalytical method validation.</w:t>
      </w:r>
      <w:r w:rsidRPr="00871C8F">
        <w:t xml:space="preserve"> 2011.</w:t>
      </w:r>
    </w:p>
    <w:p w:rsidR="004D5657" w:rsidRDefault="004D5657" w:rsidP="003B609C">
      <w:pPr>
        <w:spacing w:line="360" w:lineRule="auto"/>
      </w:pPr>
    </w:p>
    <w:p w:rsidR="00A30C8C" w:rsidRDefault="003A543A"/>
    <w:sectPr w:rsidR="00A30C8C" w:rsidSect="00045181">
      <w:pgSz w:w="11906" w:h="16838"/>
      <w:pgMar w:top="1411" w:right="1411" w:bottom="1138"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C8F" w:rsidRDefault="001D1087">
      <w:pPr>
        <w:spacing w:after="0" w:line="240" w:lineRule="auto"/>
      </w:pPr>
      <w:r>
        <w:separator/>
      </w:r>
    </w:p>
  </w:endnote>
  <w:endnote w:type="continuationSeparator" w:id="0">
    <w:p w:rsidR="00717C8F" w:rsidRDefault="001D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833508"/>
      <w:docPartObj>
        <w:docPartGallery w:val="Page Numbers (Bottom of Page)"/>
        <w:docPartUnique/>
      </w:docPartObj>
    </w:sdtPr>
    <w:sdtEndPr>
      <w:rPr>
        <w:noProof/>
      </w:rPr>
    </w:sdtEndPr>
    <w:sdtContent>
      <w:p w:rsidR="00184892" w:rsidRDefault="004D5657">
        <w:pPr>
          <w:pStyle w:val="Footer"/>
          <w:jc w:val="right"/>
        </w:pPr>
        <w:r>
          <w:fldChar w:fldCharType="begin"/>
        </w:r>
        <w:r>
          <w:instrText xml:space="preserve"> PAGE   \* MERGEFORMAT </w:instrText>
        </w:r>
        <w:r>
          <w:fldChar w:fldCharType="separate"/>
        </w:r>
        <w:r w:rsidR="003A543A">
          <w:rPr>
            <w:noProof/>
          </w:rPr>
          <w:t>3</w:t>
        </w:r>
        <w:r>
          <w:rPr>
            <w:noProof/>
          </w:rPr>
          <w:fldChar w:fldCharType="end"/>
        </w:r>
      </w:p>
    </w:sdtContent>
  </w:sdt>
  <w:p w:rsidR="00184892" w:rsidRDefault="003A5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C8F" w:rsidRDefault="001D1087">
      <w:pPr>
        <w:spacing w:after="0" w:line="240" w:lineRule="auto"/>
      </w:pPr>
      <w:r>
        <w:separator/>
      </w:r>
    </w:p>
  </w:footnote>
  <w:footnote w:type="continuationSeparator" w:id="0">
    <w:p w:rsidR="00717C8F" w:rsidRDefault="001D1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735E1"/>
    <w:multiLevelType w:val="hybridMultilevel"/>
    <w:tmpl w:val="EBD27A8A"/>
    <w:lvl w:ilvl="0" w:tplc="4DB693E2">
      <w:start w:val="3"/>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D5657"/>
    <w:rsid w:val="001D1087"/>
    <w:rsid w:val="003A543A"/>
    <w:rsid w:val="004257A9"/>
    <w:rsid w:val="004D5657"/>
    <w:rsid w:val="00717C8F"/>
    <w:rsid w:val="00CC1D94"/>
    <w:rsid w:val="00DB1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01652-C361-4223-9E8A-9FFC0EEA8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57"/>
  </w:style>
  <w:style w:type="paragraph" w:styleId="Heading1">
    <w:name w:val="heading 1"/>
    <w:basedOn w:val="Normal"/>
    <w:next w:val="Normal"/>
    <w:link w:val="Heading1Char"/>
    <w:uiPriority w:val="9"/>
    <w:qFormat/>
    <w:rsid w:val="004D56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D56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D56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6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D565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D5657"/>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D5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5657"/>
    <w:rPr>
      <w:sz w:val="16"/>
      <w:szCs w:val="16"/>
    </w:rPr>
  </w:style>
  <w:style w:type="paragraph" w:styleId="CommentText">
    <w:name w:val="annotation text"/>
    <w:basedOn w:val="Normal"/>
    <w:link w:val="CommentTextChar"/>
    <w:uiPriority w:val="99"/>
    <w:semiHidden/>
    <w:unhideWhenUsed/>
    <w:rsid w:val="004D5657"/>
    <w:pPr>
      <w:spacing w:line="240" w:lineRule="auto"/>
    </w:pPr>
    <w:rPr>
      <w:sz w:val="20"/>
      <w:szCs w:val="20"/>
    </w:rPr>
  </w:style>
  <w:style w:type="character" w:customStyle="1" w:styleId="CommentTextChar">
    <w:name w:val="Comment Text Char"/>
    <w:basedOn w:val="DefaultParagraphFont"/>
    <w:link w:val="CommentText"/>
    <w:uiPriority w:val="99"/>
    <w:semiHidden/>
    <w:rsid w:val="004D5657"/>
    <w:rPr>
      <w:sz w:val="20"/>
      <w:szCs w:val="20"/>
    </w:rPr>
  </w:style>
  <w:style w:type="paragraph" w:styleId="BalloonText">
    <w:name w:val="Balloon Text"/>
    <w:basedOn w:val="Normal"/>
    <w:link w:val="BalloonTextChar"/>
    <w:uiPriority w:val="99"/>
    <w:semiHidden/>
    <w:unhideWhenUsed/>
    <w:rsid w:val="004D5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657"/>
    <w:rPr>
      <w:rFonts w:ascii="Segoe UI" w:hAnsi="Segoe UI" w:cs="Segoe UI"/>
      <w:sz w:val="18"/>
      <w:szCs w:val="18"/>
    </w:rPr>
  </w:style>
  <w:style w:type="paragraph" w:customStyle="1" w:styleId="EndNoteBibliographyTitle">
    <w:name w:val="EndNote Bibliography Title"/>
    <w:basedOn w:val="Normal"/>
    <w:link w:val="EndNoteBibliographyTitleChar"/>
    <w:rsid w:val="004D565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D5657"/>
    <w:rPr>
      <w:rFonts w:ascii="Calibri" w:hAnsi="Calibri" w:cs="Calibri"/>
      <w:noProof/>
      <w:lang w:val="en-US"/>
    </w:rPr>
  </w:style>
  <w:style w:type="paragraph" w:customStyle="1" w:styleId="EndNoteBibliography">
    <w:name w:val="EndNote Bibliography"/>
    <w:basedOn w:val="Normal"/>
    <w:link w:val="EndNoteBibliographyChar"/>
    <w:rsid w:val="004D565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D5657"/>
    <w:rPr>
      <w:rFonts w:ascii="Calibri" w:hAnsi="Calibri" w:cs="Calibri"/>
      <w:noProof/>
      <w:lang w:val="en-US"/>
    </w:rPr>
  </w:style>
  <w:style w:type="paragraph" w:styleId="CommentSubject">
    <w:name w:val="annotation subject"/>
    <w:basedOn w:val="CommentText"/>
    <w:next w:val="CommentText"/>
    <w:link w:val="CommentSubjectChar"/>
    <w:uiPriority w:val="99"/>
    <w:semiHidden/>
    <w:unhideWhenUsed/>
    <w:rsid w:val="004D5657"/>
    <w:rPr>
      <w:b/>
      <w:bCs/>
    </w:rPr>
  </w:style>
  <w:style w:type="character" w:customStyle="1" w:styleId="CommentSubjectChar">
    <w:name w:val="Comment Subject Char"/>
    <w:basedOn w:val="CommentTextChar"/>
    <w:link w:val="CommentSubject"/>
    <w:uiPriority w:val="99"/>
    <w:semiHidden/>
    <w:rsid w:val="004D5657"/>
    <w:rPr>
      <w:b/>
      <w:bCs/>
      <w:sz w:val="20"/>
      <w:szCs w:val="20"/>
    </w:rPr>
  </w:style>
  <w:style w:type="character" w:customStyle="1" w:styleId="markedcontent">
    <w:name w:val="markedcontent"/>
    <w:basedOn w:val="DefaultParagraphFont"/>
    <w:rsid w:val="004D5657"/>
  </w:style>
  <w:style w:type="character" w:customStyle="1" w:styleId="highlight">
    <w:name w:val="highlight"/>
    <w:basedOn w:val="DefaultParagraphFont"/>
    <w:rsid w:val="004D5657"/>
  </w:style>
  <w:style w:type="paragraph" w:styleId="Header">
    <w:name w:val="header"/>
    <w:basedOn w:val="Normal"/>
    <w:link w:val="HeaderChar"/>
    <w:uiPriority w:val="99"/>
    <w:unhideWhenUsed/>
    <w:rsid w:val="004D56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5657"/>
  </w:style>
  <w:style w:type="paragraph" w:styleId="Footer">
    <w:name w:val="footer"/>
    <w:basedOn w:val="Normal"/>
    <w:link w:val="FooterChar"/>
    <w:uiPriority w:val="99"/>
    <w:unhideWhenUsed/>
    <w:rsid w:val="004D56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5657"/>
  </w:style>
  <w:style w:type="paragraph" w:styleId="ListParagraph">
    <w:name w:val="List Paragraph"/>
    <w:basedOn w:val="Normal"/>
    <w:uiPriority w:val="34"/>
    <w:qFormat/>
    <w:rsid w:val="004D5657"/>
    <w:pPr>
      <w:ind w:left="720"/>
      <w:contextualSpacing/>
    </w:pPr>
  </w:style>
  <w:style w:type="paragraph" w:styleId="Subtitle">
    <w:name w:val="Subtitle"/>
    <w:basedOn w:val="Normal"/>
    <w:next w:val="Normal"/>
    <w:link w:val="SubtitleChar"/>
    <w:uiPriority w:val="11"/>
    <w:qFormat/>
    <w:rsid w:val="004D5657"/>
    <w:pPr>
      <w:spacing w:after="0" w:line="480" w:lineRule="auto"/>
      <w:jc w:val="both"/>
    </w:pPr>
    <w:rPr>
      <w:rFonts w:ascii="Arial" w:hAnsi="Arial" w:cs="Arial"/>
      <w:i/>
      <w:sz w:val="24"/>
      <w:szCs w:val="24"/>
      <w:lang w:val="en-US"/>
    </w:rPr>
  </w:style>
  <w:style w:type="character" w:customStyle="1" w:styleId="SubtitleChar">
    <w:name w:val="Subtitle Char"/>
    <w:basedOn w:val="DefaultParagraphFont"/>
    <w:link w:val="Subtitle"/>
    <w:uiPriority w:val="11"/>
    <w:rsid w:val="004D5657"/>
    <w:rPr>
      <w:rFonts w:ascii="Arial" w:hAnsi="Arial" w:cs="Arial"/>
      <w:i/>
      <w:sz w:val="24"/>
      <w:szCs w:val="24"/>
      <w:lang w:val="en-US"/>
    </w:rPr>
  </w:style>
  <w:style w:type="paragraph" w:styleId="TOCHeading">
    <w:name w:val="TOC Heading"/>
    <w:basedOn w:val="Heading1"/>
    <w:next w:val="Normal"/>
    <w:uiPriority w:val="39"/>
    <w:unhideWhenUsed/>
    <w:qFormat/>
    <w:rsid w:val="004D5657"/>
    <w:pPr>
      <w:outlineLvl w:val="9"/>
    </w:pPr>
    <w:rPr>
      <w:lang w:val="en-US"/>
    </w:rPr>
  </w:style>
  <w:style w:type="paragraph" w:styleId="TOC1">
    <w:name w:val="toc 1"/>
    <w:basedOn w:val="Normal"/>
    <w:next w:val="Normal"/>
    <w:autoRedefine/>
    <w:uiPriority w:val="39"/>
    <w:unhideWhenUsed/>
    <w:rsid w:val="004D5657"/>
    <w:pPr>
      <w:spacing w:before="120" w:after="0"/>
    </w:pPr>
    <w:rPr>
      <w:rFonts w:cstheme="minorHAnsi"/>
      <w:b/>
      <w:bCs/>
      <w:i/>
      <w:iCs/>
      <w:sz w:val="24"/>
      <w:szCs w:val="24"/>
    </w:rPr>
  </w:style>
  <w:style w:type="paragraph" w:styleId="TOC2">
    <w:name w:val="toc 2"/>
    <w:basedOn w:val="Normal"/>
    <w:next w:val="Normal"/>
    <w:autoRedefine/>
    <w:uiPriority w:val="39"/>
    <w:unhideWhenUsed/>
    <w:rsid w:val="004D5657"/>
    <w:pPr>
      <w:spacing w:before="120" w:after="0"/>
      <w:ind w:left="220"/>
    </w:pPr>
    <w:rPr>
      <w:rFonts w:cstheme="minorHAnsi"/>
      <w:b/>
      <w:bCs/>
    </w:rPr>
  </w:style>
  <w:style w:type="paragraph" w:styleId="TOC3">
    <w:name w:val="toc 3"/>
    <w:basedOn w:val="Normal"/>
    <w:next w:val="Normal"/>
    <w:autoRedefine/>
    <w:uiPriority w:val="39"/>
    <w:unhideWhenUsed/>
    <w:rsid w:val="004D5657"/>
    <w:pPr>
      <w:spacing w:after="0"/>
      <w:ind w:left="440"/>
    </w:pPr>
    <w:rPr>
      <w:rFonts w:cstheme="minorHAnsi"/>
      <w:sz w:val="20"/>
      <w:szCs w:val="20"/>
    </w:rPr>
  </w:style>
  <w:style w:type="paragraph" w:styleId="TOC4">
    <w:name w:val="toc 4"/>
    <w:basedOn w:val="Normal"/>
    <w:next w:val="Normal"/>
    <w:autoRedefine/>
    <w:uiPriority w:val="39"/>
    <w:unhideWhenUsed/>
    <w:rsid w:val="004D5657"/>
    <w:pPr>
      <w:spacing w:after="0"/>
      <w:ind w:left="660"/>
    </w:pPr>
    <w:rPr>
      <w:rFonts w:cstheme="minorHAnsi"/>
      <w:sz w:val="20"/>
      <w:szCs w:val="20"/>
    </w:rPr>
  </w:style>
  <w:style w:type="paragraph" w:styleId="TOC5">
    <w:name w:val="toc 5"/>
    <w:basedOn w:val="Normal"/>
    <w:next w:val="Normal"/>
    <w:autoRedefine/>
    <w:uiPriority w:val="39"/>
    <w:unhideWhenUsed/>
    <w:rsid w:val="004D5657"/>
    <w:pPr>
      <w:spacing w:after="0"/>
      <w:ind w:left="880"/>
    </w:pPr>
    <w:rPr>
      <w:rFonts w:cstheme="minorHAnsi"/>
      <w:sz w:val="20"/>
      <w:szCs w:val="20"/>
    </w:rPr>
  </w:style>
  <w:style w:type="paragraph" w:styleId="TOC6">
    <w:name w:val="toc 6"/>
    <w:basedOn w:val="Normal"/>
    <w:next w:val="Normal"/>
    <w:autoRedefine/>
    <w:uiPriority w:val="39"/>
    <w:unhideWhenUsed/>
    <w:rsid w:val="004D5657"/>
    <w:pPr>
      <w:spacing w:after="0"/>
      <w:ind w:left="1100"/>
    </w:pPr>
    <w:rPr>
      <w:rFonts w:cstheme="minorHAnsi"/>
      <w:sz w:val="20"/>
      <w:szCs w:val="20"/>
    </w:rPr>
  </w:style>
  <w:style w:type="paragraph" w:styleId="TOC7">
    <w:name w:val="toc 7"/>
    <w:basedOn w:val="Normal"/>
    <w:next w:val="Normal"/>
    <w:autoRedefine/>
    <w:uiPriority w:val="39"/>
    <w:unhideWhenUsed/>
    <w:rsid w:val="004D5657"/>
    <w:pPr>
      <w:spacing w:after="0"/>
      <w:ind w:left="1320"/>
    </w:pPr>
    <w:rPr>
      <w:rFonts w:cstheme="minorHAnsi"/>
      <w:sz w:val="20"/>
      <w:szCs w:val="20"/>
    </w:rPr>
  </w:style>
  <w:style w:type="paragraph" w:styleId="TOC8">
    <w:name w:val="toc 8"/>
    <w:basedOn w:val="Normal"/>
    <w:next w:val="Normal"/>
    <w:autoRedefine/>
    <w:uiPriority w:val="39"/>
    <w:unhideWhenUsed/>
    <w:rsid w:val="004D5657"/>
    <w:pPr>
      <w:spacing w:after="0"/>
      <w:ind w:left="1540"/>
    </w:pPr>
    <w:rPr>
      <w:rFonts w:cstheme="minorHAnsi"/>
      <w:sz w:val="20"/>
      <w:szCs w:val="20"/>
    </w:rPr>
  </w:style>
  <w:style w:type="paragraph" w:styleId="TOC9">
    <w:name w:val="toc 9"/>
    <w:basedOn w:val="Normal"/>
    <w:next w:val="Normal"/>
    <w:autoRedefine/>
    <w:uiPriority w:val="39"/>
    <w:unhideWhenUsed/>
    <w:rsid w:val="004D5657"/>
    <w:pPr>
      <w:spacing w:after="0"/>
      <w:ind w:left="1760"/>
    </w:pPr>
    <w:rPr>
      <w:rFonts w:cstheme="minorHAnsi"/>
      <w:sz w:val="20"/>
      <w:szCs w:val="20"/>
    </w:rPr>
  </w:style>
  <w:style w:type="character" w:styleId="Hyperlink">
    <w:name w:val="Hyperlink"/>
    <w:basedOn w:val="DefaultParagraphFont"/>
    <w:uiPriority w:val="99"/>
    <w:unhideWhenUsed/>
    <w:rsid w:val="004D56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1115</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Rivera, Mariel Anel</dc:creator>
  <cp:keywords/>
  <dc:description/>
  <cp:lastModifiedBy>Garcia Rivera, Mariel Anel</cp:lastModifiedBy>
  <cp:revision>4</cp:revision>
  <dcterms:created xsi:type="dcterms:W3CDTF">2021-10-28T12:16:00Z</dcterms:created>
  <dcterms:modified xsi:type="dcterms:W3CDTF">2022-01-05T17:08:00Z</dcterms:modified>
</cp:coreProperties>
</file>