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Light1"/>
        <w:tblpPr w:leftFromText="180" w:rightFromText="180" w:vertAnchor="page" w:horzAnchor="margin" w:tblpY="2326"/>
        <w:tblW w:w="952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4"/>
        <w:gridCol w:w="1084"/>
        <w:gridCol w:w="1206"/>
        <w:gridCol w:w="1030"/>
        <w:gridCol w:w="1258"/>
        <w:gridCol w:w="1358"/>
        <w:gridCol w:w="1128"/>
        <w:gridCol w:w="1100"/>
      </w:tblGrid>
      <w:tr w:rsidR="00A10544" w14:paraId="0427D69C" w14:textId="77777777" w:rsidTr="00A10544">
        <w:tc>
          <w:tcPr>
            <w:tcW w:w="1364" w:type="dxa"/>
          </w:tcPr>
          <w:p w14:paraId="5B76ABC3" w14:textId="77777777" w:rsidR="00A10544" w:rsidRDefault="00A10544" w:rsidP="00034D5E">
            <w:pPr>
              <w:pStyle w:val="BodyText"/>
            </w:pPr>
          </w:p>
        </w:tc>
        <w:tc>
          <w:tcPr>
            <w:tcW w:w="1084" w:type="dxa"/>
          </w:tcPr>
          <w:p w14:paraId="72A8508C" w14:textId="77777777" w:rsidR="00A10544" w:rsidRDefault="00A10544" w:rsidP="00034D5E">
            <w:pPr>
              <w:pStyle w:val="BodyText"/>
            </w:pPr>
            <w:r w:rsidRPr="00490625">
              <w:t xml:space="preserve">number of patients </w:t>
            </w:r>
          </w:p>
        </w:tc>
        <w:tc>
          <w:tcPr>
            <w:tcW w:w="1206" w:type="dxa"/>
          </w:tcPr>
          <w:p w14:paraId="3E26FC9A" w14:textId="149CF4CF" w:rsidR="00A10544" w:rsidRDefault="00A10544" w:rsidP="00034D5E">
            <w:pPr>
              <w:pStyle w:val="BodyText"/>
            </w:pPr>
            <w:r w:rsidRPr="00490625">
              <w:t>minimum</w:t>
            </w:r>
          </w:p>
        </w:tc>
        <w:tc>
          <w:tcPr>
            <w:tcW w:w="1030" w:type="dxa"/>
          </w:tcPr>
          <w:p w14:paraId="78B56F97" w14:textId="77777777" w:rsidR="00A10544" w:rsidRDefault="00A10544" w:rsidP="00034D5E">
            <w:pPr>
              <w:pStyle w:val="BodyText"/>
            </w:pPr>
            <w:r w:rsidRPr="00490625">
              <w:t>median (IQR)</w:t>
            </w:r>
          </w:p>
        </w:tc>
        <w:tc>
          <w:tcPr>
            <w:tcW w:w="1258" w:type="dxa"/>
          </w:tcPr>
          <w:p w14:paraId="6386F747" w14:textId="77777777" w:rsidR="00A10544" w:rsidRDefault="00A10544" w:rsidP="00034D5E">
            <w:pPr>
              <w:pStyle w:val="BodyText"/>
            </w:pPr>
            <w:r w:rsidRPr="00490625">
              <w:t>maximum</w:t>
            </w:r>
          </w:p>
        </w:tc>
        <w:tc>
          <w:tcPr>
            <w:tcW w:w="1358" w:type="dxa"/>
          </w:tcPr>
          <w:p w14:paraId="0503C8B2" w14:textId="7C777D3A" w:rsidR="00A10544" w:rsidRDefault="00A10544" w:rsidP="00034D5E">
            <w:pPr>
              <w:pStyle w:val="BodyText"/>
            </w:pPr>
            <w:r w:rsidRPr="00490625">
              <w:t>normal range</w:t>
            </w:r>
            <w:r>
              <w:t xml:space="preserve"> (2SD above and below the healthy population mean)</w:t>
            </w:r>
            <w:r>
              <w:fldChar w:fldCharType="begin">
                <w:fldData xml:space="preserve">PEVuZE5vdGU+PENpdGU+PEF1dGhvcj5Lb3U8L0F1dGhvcj48WWVhcj4yMDE0PC9ZZWFyPjxSZWNO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</w:fldData>
              </w:fldChar>
            </w:r>
            <w:r>
              <w:instrText xml:space="preserve"> ADDIN EN.CITE </w:instrText>
            </w:r>
            <w:r>
              <w:fldChar w:fldCharType="begin">
                <w:fldData xml:space="preserve">PEVuZE5vdGU+PENpdGU+PEF1dGhvcj5Lb3U8L0F1dGhvcj48WWVhcj4yMDE0PC9ZZWFyPjxSZWNO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</w:fldData>
              </w:fldChar>
            </w:r>
            <w:r>
              <w:instrText xml:space="preserve"> ADDIN EN.CITE.DATA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[1]</w:t>
            </w:r>
            <w:r>
              <w:fldChar w:fldCharType="end"/>
            </w:r>
          </w:p>
        </w:tc>
        <w:tc>
          <w:tcPr>
            <w:tcW w:w="1128" w:type="dxa"/>
          </w:tcPr>
          <w:p w14:paraId="7D370464" w14:textId="77777777" w:rsidR="00A10544" w:rsidRDefault="00A10544" w:rsidP="00034D5E">
            <w:pPr>
              <w:pStyle w:val="BodyText"/>
            </w:pPr>
            <w:r w:rsidRPr="00490625">
              <w:t>patients below normal range (%)</w:t>
            </w:r>
          </w:p>
        </w:tc>
        <w:tc>
          <w:tcPr>
            <w:tcW w:w="1100" w:type="dxa"/>
          </w:tcPr>
          <w:p w14:paraId="42B06537" w14:textId="77777777" w:rsidR="00A10544" w:rsidRDefault="00A10544" w:rsidP="00034D5E">
            <w:pPr>
              <w:pStyle w:val="BodyText"/>
            </w:pPr>
            <w:r w:rsidRPr="00490625">
              <w:t>patients above normal range (%)</w:t>
            </w:r>
          </w:p>
        </w:tc>
      </w:tr>
      <w:tr w:rsidR="00A10544" w14:paraId="4607534E" w14:textId="77777777" w:rsidTr="00A10544">
        <w:tc>
          <w:tcPr>
            <w:tcW w:w="1364" w:type="dxa"/>
          </w:tcPr>
          <w:p w14:paraId="697086B5" w14:textId="77777777" w:rsidR="00A10544" w:rsidRPr="00C42A62" w:rsidRDefault="00A10544" w:rsidP="00034D5E">
            <w:pPr>
              <w:pStyle w:val="BodyText"/>
            </w:pPr>
            <w:r w:rsidRPr="00C42A62">
              <w:t>Left ventricular fractional shortening</w:t>
            </w:r>
          </w:p>
        </w:tc>
        <w:tc>
          <w:tcPr>
            <w:tcW w:w="1084" w:type="dxa"/>
          </w:tcPr>
          <w:p w14:paraId="1CECB1C9" w14:textId="77777777" w:rsidR="00A10544" w:rsidRPr="00C42A62" w:rsidRDefault="00A10544" w:rsidP="00034D5E">
            <w:pPr>
              <w:pStyle w:val="BodyText"/>
            </w:pPr>
            <w:r w:rsidRPr="00C42A62">
              <w:t>136</w:t>
            </w:r>
          </w:p>
        </w:tc>
        <w:tc>
          <w:tcPr>
            <w:tcW w:w="1206" w:type="dxa"/>
          </w:tcPr>
          <w:p w14:paraId="3F6D324D" w14:textId="2AD5FFFA" w:rsidR="00A10544" w:rsidRPr="00C42A62" w:rsidRDefault="00A10544" w:rsidP="00034D5E">
            <w:pPr>
              <w:pStyle w:val="BodyText"/>
            </w:pPr>
            <w:r w:rsidRPr="00C42A62">
              <w:t>21</w:t>
            </w:r>
          </w:p>
        </w:tc>
        <w:tc>
          <w:tcPr>
            <w:tcW w:w="1030" w:type="dxa"/>
          </w:tcPr>
          <w:p w14:paraId="5B2F9C59" w14:textId="77777777" w:rsidR="00A10544" w:rsidRPr="00C42A62" w:rsidRDefault="00A10544" w:rsidP="00034D5E">
            <w:pPr>
              <w:pStyle w:val="BodyText"/>
            </w:pPr>
            <w:r w:rsidRPr="00C42A62">
              <w:t>37 (31-41)</w:t>
            </w:r>
          </w:p>
        </w:tc>
        <w:tc>
          <w:tcPr>
            <w:tcW w:w="1258" w:type="dxa"/>
          </w:tcPr>
          <w:p w14:paraId="4C8DDD25" w14:textId="77777777" w:rsidR="00A10544" w:rsidRPr="00C42A62" w:rsidRDefault="00A10544" w:rsidP="00034D5E">
            <w:pPr>
              <w:pStyle w:val="BodyText"/>
            </w:pPr>
            <w:r w:rsidRPr="00C42A62">
              <w:t>70</w:t>
            </w:r>
          </w:p>
        </w:tc>
        <w:tc>
          <w:tcPr>
            <w:tcW w:w="1358" w:type="dxa"/>
          </w:tcPr>
          <w:p w14:paraId="4C549C90" w14:textId="77777777" w:rsidR="00A10544" w:rsidRDefault="00A10544" w:rsidP="00034D5E">
            <w:pPr>
              <w:pStyle w:val="BodyText"/>
            </w:pPr>
            <w:r>
              <w:t>Male: &gt;25</w:t>
            </w:r>
          </w:p>
          <w:p w14:paraId="672A47FF" w14:textId="131D8661" w:rsidR="00A10544" w:rsidRPr="00C42A62" w:rsidRDefault="00A10544" w:rsidP="00034D5E">
            <w:pPr>
              <w:pStyle w:val="BodyText"/>
            </w:pPr>
            <w:r>
              <w:t>Female: &gt;27</w:t>
            </w:r>
          </w:p>
        </w:tc>
        <w:tc>
          <w:tcPr>
            <w:tcW w:w="1128" w:type="dxa"/>
          </w:tcPr>
          <w:p w14:paraId="5C18FB3E" w14:textId="77777777" w:rsidR="00A10544" w:rsidRPr="00C42A62" w:rsidRDefault="00A10544" w:rsidP="00034D5E">
            <w:pPr>
              <w:pStyle w:val="BodyText"/>
            </w:pPr>
            <w:r w:rsidRPr="00C42A62">
              <w:t>7%</w:t>
            </w:r>
          </w:p>
        </w:tc>
        <w:tc>
          <w:tcPr>
            <w:tcW w:w="1100" w:type="dxa"/>
          </w:tcPr>
          <w:p w14:paraId="456B7228" w14:textId="77777777" w:rsidR="00A10544" w:rsidRDefault="00A10544" w:rsidP="00034D5E">
            <w:pPr>
              <w:pStyle w:val="BodyText"/>
            </w:pPr>
            <w:r w:rsidRPr="00C42A62">
              <w:t>NA</w:t>
            </w:r>
          </w:p>
        </w:tc>
      </w:tr>
      <w:tr w:rsidR="00A10544" w14:paraId="61B83EBC" w14:textId="77777777" w:rsidTr="00A10544">
        <w:tc>
          <w:tcPr>
            <w:tcW w:w="1364" w:type="dxa"/>
          </w:tcPr>
          <w:p w14:paraId="2213AAF5" w14:textId="77777777" w:rsidR="00A10544" w:rsidRPr="00490625" w:rsidRDefault="00A10544" w:rsidP="00034D5E">
            <w:pPr>
              <w:pStyle w:val="BodyText"/>
            </w:pPr>
            <w:r>
              <w:t>Diastolic left ventricular internal dimension (mm)</w:t>
            </w:r>
          </w:p>
        </w:tc>
        <w:tc>
          <w:tcPr>
            <w:tcW w:w="1084" w:type="dxa"/>
          </w:tcPr>
          <w:p w14:paraId="679247C0" w14:textId="77777777" w:rsidR="00A10544" w:rsidRPr="00490625" w:rsidRDefault="00A10544" w:rsidP="00034D5E">
            <w:pPr>
              <w:pStyle w:val="BodyText"/>
            </w:pPr>
            <w:r>
              <w:t>152</w:t>
            </w:r>
          </w:p>
        </w:tc>
        <w:tc>
          <w:tcPr>
            <w:tcW w:w="1206" w:type="dxa"/>
          </w:tcPr>
          <w:p w14:paraId="71D78D47" w14:textId="445DA279" w:rsidR="00A10544" w:rsidRPr="00490625" w:rsidRDefault="00A10544" w:rsidP="00034D5E">
            <w:pPr>
              <w:pStyle w:val="BodyText"/>
            </w:pPr>
            <w:r>
              <w:t>11</w:t>
            </w:r>
          </w:p>
        </w:tc>
        <w:tc>
          <w:tcPr>
            <w:tcW w:w="1030" w:type="dxa"/>
          </w:tcPr>
          <w:p w14:paraId="7553D8A6" w14:textId="77777777" w:rsidR="00A10544" w:rsidRPr="00490625" w:rsidRDefault="00A10544" w:rsidP="00034D5E">
            <w:pPr>
              <w:pStyle w:val="BodyText"/>
            </w:pPr>
            <w:r>
              <w:t>46 (42-50)</w:t>
            </w:r>
          </w:p>
        </w:tc>
        <w:tc>
          <w:tcPr>
            <w:tcW w:w="1258" w:type="dxa"/>
          </w:tcPr>
          <w:p w14:paraId="2CAB3BE3" w14:textId="77777777" w:rsidR="00A10544" w:rsidRPr="00490625" w:rsidRDefault="00A10544" w:rsidP="00034D5E">
            <w:pPr>
              <w:pStyle w:val="BodyText"/>
            </w:pPr>
            <w:r>
              <w:t>63</w:t>
            </w:r>
          </w:p>
        </w:tc>
        <w:tc>
          <w:tcPr>
            <w:tcW w:w="1358" w:type="dxa"/>
          </w:tcPr>
          <w:p w14:paraId="40253660" w14:textId="6FC56E85" w:rsidR="00A10544" w:rsidRDefault="00A10544" w:rsidP="00034D5E">
            <w:pPr>
              <w:pStyle w:val="BodyText"/>
            </w:pPr>
            <w:r>
              <w:t xml:space="preserve">Male:    36.6-55.8 </w:t>
            </w:r>
          </w:p>
          <w:p w14:paraId="6EA3E294" w14:textId="5C572B9B" w:rsidR="00A10544" w:rsidRDefault="00A10544" w:rsidP="00034D5E">
            <w:pPr>
              <w:pStyle w:val="BodyText"/>
            </w:pPr>
            <w:r>
              <w:t>Female: 34.8 – 51.2</w:t>
            </w:r>
          </w:p>
          <w:p w14:paraId="20384293" w14:textId="1730B6BF" w:rsidR="00A10544" w:rsidRDefault="00A10544" w:rsidP="00034D5E">
            <w:pPr>
              <w:pStyle w:val="BodyText"/>
            </w:pPr>
          </w:p>
        </w:tc>
        <w:tc>
          <w:tcPr>
            <w:tcW w:w="1128" w:type="dxa"/>
          </w:tcPr>
          <w:p w14:paraId="295ED027" w14:textId="77777777" w:rsidR="00A10544" w:rsidRDefault="00A10544" w:rsidP="00034D5E">
            <w:pPr>
              <w:pStyle w:val="BodyText"/>
            </w:pPr>
            <w:r>
              <w:t>2%</w:t>
            </w:r>
          </w:p>
        </w:tc>
        <w:tc>
          <w:tcPr>
            <w:tcW w:w="1100" w:type="dxa"/>
          </w:tcPr>
          <w:p w14:paraId="35643E56" w14:textId="77777777" w:rsidR="00A10544" w:rsidRDefault="00A10544" w:rsidP="00034D5E">
            <w:pPr>
              <w:pStyle w:val="BodyText"/>
            </w:pPr>
            <w:r>
              <w:t>7%</w:t>
            </w:r>
          </w:p>
        </w:tc>
      </w:tr>
      <w:tr w:rsidR="00A10544" w14:paraId="206A1763" w14:textId="77777777" w:rsidTr="00A10544">
        <w:tc>
          <w:tcPr>
            <w:tcW w:w="1364" w:type="dxa"/>
          </w:tcPr>
          <w:p w14:paraId="744B95CC" w14:textId="77777777" w:rsidR="00A10544" w:rsidRPr="00490625" w:rsidRDefault="00A10544" w:rsidP="00034D5E">
            <w:pPr>
              <w:pStyle w:val="BodyText"/>
            </w:pPr>
            <w:r>
              <w:t>Systolic left ventricular internal dimension  (mm)</w:t>
            </w:r>
          </w:p>
        </w:tc>
        <w:tc>
          <w:tcPr>
            <w:tcW w:w="1084" w:type="dxa"/>
          </w:tcPr>
          <w:p w14:paraId="12BEBBB5" w14:textId="77777777" w:rsidR="00A10544" w:rsidRPr="00490625" w:rsidRDefault="00A10544" w:rsidP="00034D5E">
            <w:pPr>
              <w:pStyle w:val="BodyText"/>
            </w:pPr>
            <w:r>
              <w:t>138</w:t>
            </w:r>
          </w:p>
        </w:tc>
        <w:tc>
          <w:tcPr>
            <w:tcW w:w="1206" w:type="dxa"/>
          </w:tcPr>
          <w:p w14:paraId="3A33C753" w14:textId="421AAEA1" w:rsidR="00A10544" w:rsidRPr="00490625" w:rsidRDefault="00A10544" w:rsidP="00034D5E">
            <w:pPr>
              <w:pStyle w:val="BodyText"/>
            </w:pPr>
            <w:r>
              <w:t>12</w:t>
            </w:r>
          </w:p>
        </w:tc>
        <w:tc>
          <w:tcPr>
            <w:tcW w:w="1030" w:type="dxa"/>
          </w:tcPr>
          <w:p w14:paraId="6F729A4F" w14:textId="77777777" w:rsidR="00A10544" w:rsidRPr="00490625" w:rsidRDefault="00A10544" w:rsidP="00034D5E">
            <w:pPr>
              <w:pStyle w:val="BodyText"/>
            </w:pPr>
            <w:r>
              <w:t>29 (20-33)</w:t>
            </w:r>
          </w:p>
        </w:tc>
        <w:tc>
          <w:tcPr>
            <w:tcW w:w="1258" w:type="dxa"/>
          </w:tcPr>
          <w:p w14:paraId="1A96BCC4" w14:textId="77777777" w:rsidR="00A10544" w:rsidRPr="00490625" w:rsidRDefault="00A10544" w:rsidP="00034D5E">
            <w:pPr>
              <w:pStyle w:val="BodyText"/>
            </w:pPr>
            <w:r>
              <w:t>46</w:t>
            </w:r>
          </w:p>
        </w:tc>
        <w:tc>
          <w:tcPr>
            <w:tcW w:w="1358" w:type="dxa"/>
          </w:tcPr>
          <w:p w14:paraId="23D46C9E" w14:textId="303B1533" w:rsidR="00A10544" w:rsidRDefault="00A10544" w:rsidP="00034D5E">
            <w:pPr>
              <w:pStyle w:val="BodyText"/>
            </w:pPr>
            <w:r>
              <w:t>Male:    22.2-40.6</w:t>
            </w:r>
          </w:p>
          <w:p w14:paraId="2757B2D4" w14:textId="77777777" w:rsidR="00A10544" w:rsidRDefault="00A10544" w:rsidP="00034D5E">
            <w:pPr>
              <w:pStyle w:val="BodyText"/>
            </w:pPr>
            <w:r>
              <w:t>Female: 20.2 - 37.4</w:t>
            </w:r>
          </w:p>
        </w:tc>
        <w:tc>
          <w:tcPr>
            <w:tcW w:w="1128" w:type="dxa"/>
          </w:tcPr>
          <w:p w14:paraId="6A744927" w14:textId="77777777" w:rsidR="00A10544" w:rsidRDefault="00A10544" w:rsidP="00034D5E">
            <w:pPr>
              <w:pStyle w:val="BodyText"/>
            </w:pPr>
            <w:r>
              <w:t>2%</w:t>
            </w:r>
          </w:p>
        </w:tc>
        <w:tc>
          <w:tcPr>
            <w:tcW w:w="1100" w:type="dxa"/>
          </w:tcPr>
          <w:p w14:paraId="0A274AB7" w14:textId="77777777" w:rsidR="00A10544" w:rsidRDefault="00A10544" w:rsidP="00034D5E">
            <w:pPr>
              <w:pStyle w:val="BodyText"/>
            </w:pPr>
            <w:r>
              <w:t>3%</w:t>
            </w:r>
          </w:p>
        </w:tc>
      </w:tr>
      <w:tr w:rsidR="00A10544" w14:paraId="3CD4AD59" w14:textId="77777777" w:rsidTr="00A10544">
        <w:tc>
          <w:tcPr>
            <w:tcW w:w="1364" w:type="dxa"/>
          </w:tcPr>
          <w:p w14:paraId="211000B1" w14:textId="77777777" w:rsidR="00A10544" w:rsidRPr="00C42A62" w:rsidRDefault="00A10544" w:rsidP="00034D5E">
            <w:pPr>
              <w:pStyle w:val="BodyText"/>
            </w:pPr>
            <w:r w:rsidRPr="00C42A62">
              <w:t>LV mass (g/m2)</w:t>
            </w:r>
          </w:p>
        </w:tc>
        <w:tc>
          <w:tcPr>
            <w:tcW w:w="1084" w:type="dxa"/>
          </w:tcPr>
          <w:p w14:paraId="7DF743F7" w14:textId="77777777" w:rsidR="00A10544" w:rsidRPr="00C42A62" w:rsidRDefault="00A10544" w:rsidP="00034D5E">
            <w:pPr>
              <w:pStyle w:val="BodyText"/>
            </w:pPr>
            <w:r w:rsidRPr="00C42A62">
              <w:t>58</w:t>
            </w:r>
          </w:p>
        </w:tc>
        <w:tc>
          <w:tcPr>
            <w:tcW w:w="1206" w:type="dxa"/>
          </w:tcPr>
          <w:p w14:paraId="11F74761" w14:textId="7EEB34FB" w:rsidR="00A10544" w:rsidRPr="00C42A62" w:rsidRDefault="00A10544" w:rsidP="00034D5E">
            <w:pPr>
              <w:pStyle w:val="BodyText"/>
            </w:pPr>
            <w:r w:rsidRPr="00C42A62">
              <w:t>42</w:t>
            </w:r>
          </w:p>
        </w:tc>
        <w:tc>
          <w:tcPr>
            <w:tcW w:w="1030" w:type="dxa"/>
          </w:tcPr>
          <w:p w14:paraId="567A1666" w14:textId="77777777" w:rsidR="00A10544" w:rsidRPr="00C42A62" w:rsidRDefault="00A10544" w:rsidP="00034D5E">
            <w:pPr>
              <w:pStyle w:val="BodyText"/>
            </w:pPr>
            <w:r w:rsidRPr="00C42A62">
              <w:t>75 (65-92)</w:t>
            </w:r>
          </w:p>
        </w:tc>
        <w:tc>
          <w:tcPr>
            <w:tcW w:w="1258" w:type="dxa"/>
          </w:tcPr>
          <w:p w14:paraId="24BA2FCE" w14:textId="77777777" w:rsidR="00A10544" w:rsidRPr="00C42A62" w:rsidRDefault="00A10544" w:rsidP="00034D5E">
            <w:pPr>
              <w:pStyle w:val="BodyText"/>
            </w:pPr>
            <w:r w:rsidRPr="00C42A62">
              <w:t>135</w:t>
            </w:r>
          </w:p>
        </w:tc>
        <w:tc>
          <w:tcPr>
            <w:tcW w:w="1358" w:type="dxa"/>
          </w:tcPr>
          <w:p w14:paraId="15C8C921" w14:textId="200513BF" w:rsidR="00A10544" w:rsidRPr="00C42A62" w:rsidRDefault="00A10544" w:rsidP="00034D5E">
            <w:pPr>
              <w:pStyle w:val="BodyText"/>
            </w:pPr>
            <w:r>
              <w:t xml:space="preserve">Male:       </w:t>
            </w:r>
            <w:r w:rsidRPr="00C42A62">
              <w:t>40-110</w:t>
            </w:r>
          </w:p>
          <w:p w14:paraId="52D8C1EA" w14:textId="75406257" w:rsidR="00A10544" w:rsidRPr="00C42A62" w:rsidRDefault="00A10544" w:rsidP="00034D5E">
            <w:pPr>
              <w:pStyle w:val="BodyText"/>
            </w:pPr>
            <w:r>
              <w:t xml:space="preserve">Female      </w:t>
            </w:r>
            <w:r w:rsidRPr="00C42A62">
              <w:t>33 - 100</w:t>
            </w:r>
          </w:p>
          <w:p w14:paraId="6094206C" w14:textId="77777777" w:rsidR="00A10544" w:rsidRPr="00C42A62" w:rsidRDefault="00A10544" w:rsidP="00034D5E">
            <w:pPr>
              <w:pStyle w:val="BodyText"/>
            </w:pPr>
          </w:p>
        </w:tc>
        <w:tc>
          <w:tcPr>
            <w:tcW w:w="1128" w:type="dxa"/>
          </w:tcPr>
          <w:p w14:paraId="2DACB716" w14:textId="77777777" w:rsidR="00A10544" w:rsidRPr="00C42A62" w:rsidRDefault="00A10544" w:rsidP="00034D5E">
            <w:pPr>
              <w:pStyle w:val="BodyText"/>
            </w:pPr>
            <w:r w:rsidRPr="00C42A62">
              <w:t>0%</w:t>
            </w:r>
          </w:p>
        </w:tc>
        <w:tc>
          <w:tcPr>
            <w:tcW w:w="1100" w:type="dxa"/>
          </w:tcPr>
          <w:p w14:paraId="55F89764" w14:textId="77777777" w:rsidR="00A10544" w:rsidRPr="00C42A62" w:rsidRDefault="00A10544" w:rsidP="00034D5E">
            <w:pPr>
              <w:pStyle w:val="BodyText"/>
            </w:pPr>
            <w:r w:rsidRPr="00C42A62">
              <w:t>12%</w:t>
            </w:r>
          </w:p>
        </w:tc>
      </w:tr>
    </w:tbl>
    <w:p w14:paraId="3A89C40F" w14:textId="2C6DCA92" w:rsidR="00034D5E" w:rsidRDefault="00034D5E">
      <w:r>
        <w:t xml:space="preserve"> Supplementary table </w:t>
      </w:r>
      <w:r w:rsidR="00BF1D98">
        <w:t>2</w:t>
      </w:r>
      <w:r>
        <w:t xml:space="preserve"> – echocardiographic parameters from the 175 patients with baseline echocardiogram</w:t>
      </w:r>
    </w:p>
    <w:p w14:paraId="164854A0" w14:textId="77777777" w:rsidR="00034D5E" w:rsidRDefault="00034D5E"/>
    <w:p w14:paraId="307CA962" w14:textId="77777777" w:rsidR="00034D5E" w:rsidRPr="00034D5E" w:rsidRDefault="00034D5E" w:rsidP="00034D5E">
      <w:pPr>
        <w:pStyle w:val="EndNoteBibliography"/>
        <w:framePr w:wrap="around" w:hAnchor="page" w:x="1426" w:y="10831"/>
        <w:ind w:left="720" w:hanging="720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034D5E">
        <w:t>[1]</w:t>
      </w:r>
      <w:r w:rsidRPr="00034D5E">
        <w:tab/>
        <w:t>Kou S, Caballero L, Dulgheru R, et al. Echocardiographic reference ranges for normal cardiac chamber size: results from the NORRE study. Eur Heart J Cardiovasc Imaging  2014;15:680-690.</w:t>
      </w:r>
    </w:p>
    <w:p w14:paraId="6F8E2633" w14:textId="4ED3DAC5" w:rsidR="0083402E" w:rsidRDefault="00034D5E">
      <w:r>
        <w:fldChar w:fldCharType="end"/>
      </w:r>
    </w:p>
    <w:sectPr w:rsidR="0083402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euromuscular Disorders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rssxex5t7s5tsve9r9qxsed6xwdpstxr2a5t&quot;&gt;Ursula EndNote library&lt;record-ids&gt;&lt;item&gt;305&lt;/item&gt;&lt;/record-ids&gt;&lt;/item&gt;&lt;/Libraries&gt;"/>
  </w:docVars>
  <w:rsids>
    <w:rsidRoot w:val="00EB5355"/>
    <w:rsid w:val="00034D5E"/>
    <w:rsid w:val="002C273E"/>
    <w:rsid w:val="00376811"/>
    <w:rsid w:val="003851E8"/>
    <w:rsid w:val="003E2880"/>
    <w:rsid w:val="0049455C"/>
    <w:rsid w:val="005D5B43"/>
    <w:rsid w:val="006E6BE6"/>
    <w:rsid w:val="00745807"/>
    <w:rsid w:val="007C4458"/>
    <w:rsid w:val="0083402E"/>
    <w:rsid w:val="0084629D"/>
    <w:rsid w:val="008F4E5D"/>
    <w:rsid w:val="009B561B"/>
    <w:rsid w:val="00A10544"/>
    <w:rsid w:val="00BF1D98"/>
    <w:rsid w:val="00C42A62"/>
    <w:rsid w:val="00CE2A20"/>
    <w:rsid w:val="00E13D66"/>
    <w:rsid w:val="00EB5355"/>
    <w:rsid w:val="00ED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9F703C"/>
  <w15:chartTrackingRefBased/>
  <w15:docId w15:val="{6EBE74EF-CC2F-49CC-BA71-4AB0F0602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5355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EB535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EB5355"/>
    <w:rPr>
      <w:rFonts w:eastAsiaTheme="minorEastAsia"/>
    </w:rPr>
  </w:style>
  <w:style w:type="table" w:customStyle="1" w:styleId="TableGridLight1">
    <w:name w:val="Table Grid Light1"/>
    <w:basedOn w:val="TableNormal"/>
    <w:uiPriority w:val="40"/>
    <w:rsid w:val="00EB5355"/>
    <w:pPr>
      <w:spacing w:after="0" w:line="240" w:lineRule="auto"/>
    </w:pPr>
    <w:rPr>
      <w:rFonts w:eastAsiaTheme="minorEastAsia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B53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5355"/>
    <w:rPr>
      <w:rFonts w:ascii="Segoe UI" w:eastAsiaTheme="minorEastAsia" w:hAnsi="Segoe UI" w:cs="Segoe UI"/>
      <w:sz w:val="18"/>
      <w:szCs w:val="18"/>
    </w:rPr>
  </w:style>
  <w:style w:type="paragraph" w:customStyle="1" w:styleId="EndNoteBibliographyTitle">
    <w:name w:val="EndNote Bibliography Title"/>
    <w:basedOn w:val="Normal"/>
    <w:link w:val="EndNoteBibliographyTitleChar"/>
    <w:rsid w:val="00034D5E"/>
    <w:pPr>
      <w:framePr w:hSpace="180" w:wrap="around" w:vAnchor="page" w:hAnchor="margin" w:y="2326"/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BodyTextChar"/>
    <w:link w:val="EndNoteBibliographyTitle"/>
    <w:rsid w:val="00034D5E"/>
    <w:rPr>
      <w:rFonts w:ascii="Calibri" w:eastAsiaTheme="minorEastAsia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034D5E"/>
    <w:pPr>
      <w:framePr w:hSpace="180" w:wrap="around" w:vAnchor="page" w:hAnchor="margin" w:y="2326"/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BodyTextChar"/>
    <w:link w:val="EndNoteBibliography"/>
    <w:rsid w:val="00034D5E"/>
    <w:rPr>
      <w:rFonts w:ascii="Calibri" w:eastAsiaTheme="minorEastAsia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0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C6E6B9BE7DD04DACAC310B8311557D" ma:contentTypeVersion="13" ma:contentTypeDescription="Create a new document." ma:contentTypeScope="" ma:versionID="3251e1293512828355184598a043a0f1">
  <xsd:schema xmlns:xsd="http://www.w3.org/2001/XMLSchema" xmlns:xs="http://www.w3.org/2001/XMLSchema" xmlns:p="http://schemas.microsoft.com/office/2006/metadata/properties" xmlns:ns3="7c6dea7d-06b9-41e3-ad47-b7b415865758" xmlns:ns4="f64c00c4-9a92-45d4-9562-38277e6d034f" targetNamespace="http://schemas.microsoft.com/office/2006/metadata/properties" ma:root="true" ma:fieldsID="8da835f8c3042b414c34c365d4d83523" ns3:_="" ns4:_="">
    <xsd:import namespace="7c6dea7d-06b9-41e3-ad47-b7b415865758"/>
    <xsd:import namespace="f64c00c4-9a92-45d4-9562-38277e6d034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6dea7d-06b9-41e3-ad47-b7b4158657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4c00c4-9a92-45d4-9562-38277e6d034f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276732-B947-4EE4-BCE1-3A63B4C049C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1717C83-A6D2-437B-A441-1F6F1A0D1B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97DA57-F25A-4162-AAB4-BAF6F48EA8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6dea7d-06b9-41e3-ad47-b7b415865758"/>
    <ds:schemaRef ds:uri="f64c00c4-9a92-45d4-9562-38277e6d03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Ursula Moore</dc:creator>
  <cp:keywords/>
  <dc:description/>
  <cp:lastModifiedBy>Ursula Moore</cp:lastModifiedBy>
  <cp:revision>12</cp:revision>
  <dcterms:created xsi:type="dcterms:W3CDTF">2020-11-19T12:21:00Z</dcterms:created>
  <dcterms:modified xsi:type="dcterms:W3CDTF">2022-01-20T16:16:00Z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0x01010013C6E6B9BE7DD04DACAC310B8311557D</vt:lpwstr>
  </property>
</Properties>
</file>