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158" w:rsidRPr="0020457E" w:rsidRDefault="00360158" w:rsidP="00360158">
      <w:pPr>
        <w:pStyle w:val="Caption"/>
        <w:keepNext/>
        <w:spacing w:line="480" w:lineRule="auto"/>
        <w:jc w:val="both"/>
        <w:rPr>
          <w:sz w:val="24"/>
          <w:szCs w:val="24"/>
          <w:lang w:val="en-US"/>
        </w:rPr>
      </w:pPr>
      <w:r w:rsidRPr="0020457E">
        <w:rPr>
          <w:sz w:val="24"/>
          <w:szCs w:val="24"/>
          <w:lang w:val="en-US"/>
        </w:rPr>
        <w:t xml:space="preserve">Suppl. Table </w:t>
      </w:r>
      <w:r w:rsidR="00B1241B">
        <w:rPr>
          <w:sz w:val="24"/>
          <w:szCs w:val="24"/>
          <w:lang w:val="en-US"/>
        </w:rPr>
        <w:t>S</w:t>
      </w:r>
      <w:bookmarkStart w:id="0" w:name="_GoBack"/>
      <w:bookmarkEnd w:id="0"/>
      <w:r w:rsidRPr="0020457E">
        <w:rPr>
          <w:sz w:val="24"/>
          <w:szCs w:val="24"/>
        </w:rPr>
        <w:fldChar w:fldCharType="begin"/>
      </w:r>
      <w:r w:rsidRPr="0020457E">
        <w:rPr>
          <w:sz w:val="24"/>
          <w:szCs w:val="24"/>
          <w:lang w:val="en-US"/>
        </w:rPr>
        <w:instrText xml:space="preserve"> SEQ Table \* ARABIC </w:instrText>
      </w:r>
      <w:r w:rsidRPr="0020457E">
        <w:rPr>
          <w:sz w:val="24"/>
          <w:szCs w:val="24"/>
        </w:rPr>
        <w:fldChar w:fldCharType="separate"/>
      </w:r>
      <w:r w:rsidRPr="0020457E">
        <w:rPr>
          <w:noProof/>
          <w:sz w:val="24"/>
          <w:szCs w:val="24"/>
          <w:lang w:val="en-US"/>
        </w:rPr>
        <w:t>2</w:t>
      </w:r>
      <w:r w:rsidRPr="0020457E">
        <w:rPr>
          <w:sz w:val="24"/>
          <w:szCs w:val="24"/>
        </w:rPr>
        <w:fldChar w:fldCharType="end"/>
      </w:r>
      <w:r w:rsidRPr="0020457E">
        <w:rPr>
          <w:sz w:val="24"/>
          <w:szCs w:val="24"/>
          <w:lang w:val="en-US"/>
        </w:rPr>
        <w:t xml:space="preserve">: Review of the literature regarding eculizumab treatment in patients with SVs in the CFH gene cluster. The term “n/a” was used as representative of “not mentioned / information not available”. </w:t>
      </w:r>
      <w:r w:rsidRPr="0020457E">
        <w:rPr>
          <w:sz w:val="24"/>
          <w:szCs w:val="24"/>
          <w:vertAlign w:val="superscript"/>
          <w:lang w:val="en-US"/>
        </w:rPr>
        <w:t>*</w:t>
      </w:r>
      <w:proofErr w:type="spellStart"/>
      <w:r w:rsidRPr="0020457E">
        <w:rPr>
          <w:sz w:val="24"/>
          <w:szCs w:val="24"/>
          <w:lang w:val="en-US"/>
        </w:rPr>
        <w:t>Breville</w:t>
      </w:r>
      <w:proofErr w:type="spellEnd"/>
      <w:r w:rsidRPr="0020457E">
        <w:rPr>
          <w:sz w:val="24"/>
          <w:szCs w:val="24"/>
          <w:lang w:val="en-US"/>
        </w:rPr>
        <w:t xml:space="preserve"> et al. “Eculizumab was considered but not retained due to stabilization of laboratory parameters and a joint decision between the medical staff and the patient after presenting the risks, benefits, and economic burden. Eculizumab was retained as a second line treatment option in case of nonresponse or premature relapse”.</w:t>
      </w:r>
      <w:r w:rsidRPr="008D02CB">
        <w:rPr>
          <w:sz w:val="24"/>
          <w:szCs w:val="24"/>
          <w:vertAlign w:val="superscript"/>
          <w:lang w:val="en-US"/>
        </w:rPr>
        <w:t>50</w:t>
      </w:r>
      <w:r w:rsidRPr="0020457E">
        <w:rPr>
          <w:sz w:val="24"/>
          <w:szCs w:val="24"/>
          <w:lang w:val="en-US"/>
        </w:rPr>
        <w:t xml:space="preserve"> </w:t>
      </w:r>
      <w:r w:rsidRPr="0020457E">
        <w:rPr>
          <w:sz w:val="24"/>
          <w:szCs w:val="24"/>
          <w:vertAlign w:val="superscript"/>
          <w:lang w:val="en-US"/>
        </w:rPr>
        <w:t>†</w:t>
      </w:r>
      <w:proofErr w:type="spellStart"/>
      <w:r w:rsidRPr="0020457E">
        <w:rPr>
          <w:sz w:val="24"/>
          <w:szCs w:val="24"/>
          <w:lang w:val="en-US"/>
        </w:rPr>
        <w:t>Togarsimalemath</w:t>
      </w:r>
      <w:proofErr w:type="spellEnd"/>
      <w:r w:rsidRPr="0020457E">
        <w:rPr>
          <w:sz w:val="24"/>
          <w:szCs w:val="24"/>
          <w:lang w:val="en-US"/>
        </w:rPr>
        <w:t xml:space="preserve"> et al. “[Eculizumab] was not available in the family’s country”.</w:t>
      </w:r>
      <w:r w:rsidRPr="008D02CB">
        <w:rPr>
          <w:sz w:val="24"/>
          <w:szCs w:val="24"/>
          <w:vertAlign w:val="superscript"/>
          <w:lang w:val="en-US"/>
        </w:rPr>
        <w:t>5</w:t>
      </w:r>
      <w:r>
        <w:rPr>
          <w:sz w:val="24"/>
          <w:szCs w:val="24"/>
          <w:vertAlign w:val="superscript"/>
          <w:lang w:val="en-US"/>
        </w:rPr>
        <w:t>1</w:t>
      </w:r>
      <w:r w:rsidRPr="0020457E">
        <w:rPr>
          <w:sz w:val="24"/>
          <w:szCs w:val="24"/>
          <w:lang w:val="en-US"/>
        </w:rPr>
        <w:t xml:space="preserve"> </w:t>
      </w:r>
      <w:r w:rsidRPr="0020457E">
        <w:rPr>
          <w:sz w:val="24"/>
          <w:szCs w:val="24"/>
          <w:vertAlign w:val="superscript"/>
          <w:lang w:val="en-US"/>
        </w:rPr>
        <w:t>‡</w:t>
      </w:r>
      <w:proofErr w:type="spellStart"/>
      <w:r w:rsidRPr="0020457E">
        <w:rPr>
          <w:sz w:val="24"/>
          <w:szCs w:val="24"/>
          <w:lang w:val="en-US"/>
        </w:rPr>
        <w:t>Tortajada</w:t>
      </w:r>
      <w:proofErr w:type="spellEnd"/>
      <w:r w:rsidRPr="0020457E">
        <w:rPr>
          <w:sz w:val="24"/>
          <w:szCs w:val="24"/>
          <w:lang w:val="en-US"/>
        </w:rPr>
        <w:t xml:space="preserve"> et al. Patients were treated with angiotensin converting enzyme inhibitor therapy. Eculizumab was mentioned as potential beneficial therapy but was not mentioned as treatment for the patients in this study.</w:t>
      </w:r>
      <w:r w:rsidRPr="008D02CB">
        <w:rPr>
          <w:sz w:val="24"/>
          <w:szCs w:val="24"/>
          <w:vertAlign w:val="superscript"/>
          <w:lang w:val="en-US"/>
        </w:rPr>
        <w:t>53</w:t>
      </w:r>
      <w:r w:rsidRPr="0020457E">
        <w:rPr>
          <w:sz w:val="24"/>
          <w:szCs w:val="24"/>
          <w:lang w:val="en-US"/>
        </w:rPr>
        <w:t xml:space="preserve"> </w:t>
      </w:r>
      <w:r w:rsidRPr="0020457E">
        <w:rPr>
          <w:sz w:val="24"/>
          <w:szCs w:val="24"/>
          <w:vertAlign w:val="superscript"/>
          <w:lang w:val="en-US"/>
        </w:rPr>
        <w:t>§</w:t>
      </w:r>
      <w:r w:rsidRPr="0020457E">
        <w:rPr>
          <w:sz w:val="24"/>
          <w:szCs w:val="24"/>
          <w:lang w:val="en-US"/>
        </w:rPr>
        <w:t>Gale et al. Eculizumab is mentioned as potential beneficial treatment but it was not mentioned that eculizumab was given to the patients in this study</w:t>
      </w:r>
      <w:r>
        <w:rPr>
          <w:sz w:val="24"/>
          <w:szCs w:val="24"/>
          <w:lang w:val="en-US"/>
        </w:rPr>
        <w:t>.</w:t>
      </w:r>
      <w:r w:rsidRPr="008D02CB">
        <w:rPr>
          <w:sz w:val="24"/>
          <w:szCs w:val="24"/>
          <w:vertAlign w:val="superscript"/>
          <w:lang w:val="en-US"/>
        </w:rPr>
        <w:t>54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1418"/>
        <w:gridCol w:w="1276"/>
        <w:gridCol w:w="1270"/>
      </w:tblGrid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</w:rPr>
              <w:t>Structural variant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</w:rPr>
              <w:t>Disease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</w:rPr>
              <w:t>Eculizumab therapy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b/>
                <w:bCs/>
                <w:sz w:val="24"/>
                <w:szCs w:val="24"/>
              </w:rPr>
              <w:t>Reference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aHUS, 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beneficial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44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 xml:space="preserve">, </w:t>
            </w:r>
            <w:r>
              <w:rPr>
                <w:rFonts w:cstheme="minorHAnsi"/>
                <w:sz w:val="24"/>
                <w:szCs w:val="24"/>
                <w:vertAlign w:val="superscript"/>
              </w:rPr>
              <w:t>32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CFH/CFHR3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aHUS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yes 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beneficial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9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aHUS, </w:t>
            </w:r>
          </w:p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DEAP-HUS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beneficial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46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SLE, TMA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beneficial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47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 xml:space="preserve">, </w:t>
            </w:r>
            <w:r>
              <w:rPr>
                <w:rFonts w:cstheme="minorHAnsi"/>
                <w:sz w:val="24"/>
                <w:szCs w:val="24"/>
                <w:vertAlign w:val="superscript"/>
              </w:rPr>
              <w:t>48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CFHR4/CFHR1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aHUS, DEAP-HUS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49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 xml:space="preserve">, </w:t>
            </w:r>
            <w:r>
              <w:rPr>
                <w:rFonts w:cstheme="minorHAnsi"/>
                <w:sz w:val="24"/>
                <w:szCs w:val="24"/>
                <w:vertAlign w:val="superscript"/>
              </w:rPr>
              <w:t>22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CFHR4/CFHR1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IgG4-RD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no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50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CFHR3/CFHR1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14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CFHR1/CFH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aHUS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beneficial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7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CFHR1/CFHR5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no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51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lastRenderedPageBreak/>
              <w:t>CFHR2/CFHR5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C3G-DDD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no effect 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15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CFHR5/CFHR2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52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Intra </w:t>
            </w: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duplication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no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>‡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53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Intra </w:t>
            </w: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CFHR5</w:t>
            </w:r>
            <w:r w:rsidRPr="0020457E">
              <w:rPr>
                <w:rFonts w:cstheme="minorHAnsi"/>
                <w:sz w:val="24"/>
                <w:szCs w:val="24"/>
              </w:rPr>
              <w:t xml:space="preserve"> duplication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no</w:t>
            </w:r>
            <w:r w:rsidRPr="0020457E">
              <w:rPr>
                <w:rFonts w:cstheme="minorHAnsi"/>
                <w:sz w:val="24"/>
                <w:szCs w:val="24"/>
                <w:vertAlign w:val="superscript"/>
              </w:rPr>
              <w:t>§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54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Intra </w:t>
            </w: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CFHR5</w:t>
            </w:r>
            <w:r w:rsidRPr="0020457E">
              <w:rPr>
                <w:rFonts w:cstheme="minorHAnsi"/>
                <w:sz w:val="24"/>
                <w:szCs w:val="24"/>
              </w:rPr>
              <w:t xml:space="preserve"> duplication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55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 xml:space="preserve">Intra </w:t>
            </w: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CFHR3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13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CFHR3/CFHR4</w:t>
            </w:r>
            <w:r w:rsidRPr="0020457E">
              <w:rPr>
                <w:rFonts w:cstheme="minorHAnsi"/>
                <w:sz w:val="24"/>
                <w:szCs w:val="24"/>
              </w:rPr>
              <w:t xml:space="preserve"> hybrid gene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13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</w:t>
            </w:r>
            <w:r w:rsidRPr="0020457E">
              <w:rPr>
                <w:rFonts w:cstheme="minorHAnsi"/>
                <w:sz w:val="24"/>
                <w:szCs w:val="24"/>
              </w:rPr>
              <w:t xml:space="preserve"> deletion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IC-MPGN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13</w:t>
            </w:r>
          </w:p>
        </w:tc>
      </w:tr>
      <w:tr w:rsidR="00360158" w:rsidRPr="0020457E" w:rsidTr="006A561D">
        <w:tc>
          <w:tcPr>
            <w:tcW w:w="311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20457E">
              <w:rPr>
                <w:rFonts w:cstheme="minorHAnsi"/>
                <w:i/>
                <w:iCs/>
                <w:sz w:val="24"/>
                <w:szCs w:val="24"/>
              </w:rPr>
              <w:t>CFHR4/CFHR1</w:t>
            </w:r>
            <w:r w:rsidRPr="0020457E">
              <w:rPr>
                <w:rFonts w:cstheme="minorHAnsi"/>
                <w:sz w:val="24"/>
                <w:szCs w:val="24"/>
              </w:rPr>
              <w:t xml:space="preserve"> duplication</w:t>
            </w:r>
          </w:p>
        </w:tc>
        <w:tc>
          <w:tcPr>
            <w:tcW w:w="1984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C3G, IC-MPGN</w:t>
            </w:r>
          </w:p>
        </w:tc>
        <w:tc>
          <w:tcPr>
            <w:tcW w:w="1418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6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</w:rPr>
            </w:pPr>
            <w:r w:rsidRPr="0020457E">
              <w:rPr>
                <w:rFonts w:cstheme="minorHAnsi"/>
                <w:sz w:val="24"/>
                <w:szCs w:val="24"/>
              </w:rPr>
              <w:t>n/a</w:t>
            </w:r>
          </w:p>
        </w:tc>
        <w:tc>
          <w:tcPr>
            <w:tcW w:w="1270" w:type="dxa"/>
          </w:tcPr>
          <w:p w:rsidR="00360158" w:rsidRPr="0020457E" w:rsidRDefault="00360158" w:rsidP="006A561D">
            <w:pPr>
              <w:spacing w:line="480" w:lineRule="auto"/>
              <w:rPr>
                <w:rFonts w:cstheme="minorHAnsi"/>
                <w:sz w:val="24"/>
                <w:szCs w:val="24"/>
                <w:vertAlign w:val="superscript"/>
              </w:rPr>
            </w:pPr>
            <w:r>
              <w:rPr>
                <w:rFonts w:cstheme="minorHAnsi"/>
                <w:sz w:val="24"/>
                <w:szCs w:val="24"/>
                <w:vertAlign w:val="superscript"/>
              </w:rPr>
              <w:t>13</w:t>
            </w:r>
          </w:p>
        </w:tc>
      </w:tr>
    </w:tbl>
    <w:p w:rsidR="00896196" w:rsidRDefault="00896196"/>
    <w:sectPr w:rsidR="00896196" w:rsidSect="00FF517F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158"/>
    <w:rsid w:val="00360158"/>
    <w:rsid w:val="00896196"/>
    <w:rsid w:val="00B1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5E3C5"/>
  <w15:chartTrackingRefBased/>
  <w15:docId w15:val="{0F29D06B-D852-40C1-A50D-00A7C02C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0158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6015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36015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60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Barrientos</dc:creator>
  <cp:keywords/>
  <dc:description/>
  <cp:lastModifiedBy>Miranda Barrientos</cp:lastModifiedBy>
  <cp:revision>2</cp:revision>
  <dcterms:created xsi:type="dcterms:W3CDTF">2022-03-18T21:05:00Z</dcterms:created>
  <dcterms:modified xsi:type="dcterms:W3CDTF">2022-03-18T21:06:00Z</dcterms:modified>
</cp:coreProperties>
</file>