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83"/>
        <w:gridCol w:w="1463"/>
        <w:gridCol w:w="1463"/>
        <w:gridCol w:w="1630"/>
        <w:gridCol w:w="1247"/>
        <w:gridCol w:w="1254"/>
      </w:tblGrid>
      <w:tr w:rsidR="00AF007F" w14:paraId="6F1501AF" w14:textId="77777777" w:rsidTr="00406755">
        <w:tc>
          <w:tcPr>
            <w:tcW w:w="1283" w:type="dxa"/>
          </w:tcPr>
          <w:p w14:paraId="3AC27D26" w14:textId="77777777" w:rsidR="00AF007F" w:rsidRDefault="00AF007F" w:rsidP="00406755"/>
        </w:tc>
        <w:tc>
          <w:tcPr>
            <w:tcW w:w="1463" w:type="dxa"/>
          </w:tcPr>
          <w:p w14:paraId="5247DD0B" w14:textId="77777777" w:rsidR="00AF007F" w:rsidRPr="007F1BD6" w:rsidRDefault="00AF007F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spinal roots</w:t>
            </w:r>
          </w:p>
        </w:tc>
        <w:tc>
          <w:tcPr>
            <w:tcW w:w="1463" w:type="dxa"/>
          </w:tcPr>
          <w:p w14:paraId="29F7C3D1" w14:textId="77777777" w:rsidR="00AF007F" w:rsidRPr="007F1BD6" w:rsidRDefault="00AF007F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analyzed individual objects</w:t>
            </w:r>
          </w:p>
        </w:tc>
        <w:tc>
          <w:tcPr>
            <w:tcW w:w="1463" w:type="dxa"/>
          </w:tcPr>
          <w:p w14:paraId="211FF415" w14:textId="77777777" w:rsidR="00AF007F" w:rsidRPr="007F1BD6" w:rsidRDefault="00AF007F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Percentage of Motile Mitochondria</w:t>
            </w:r>
            <w:r>
              <w:rPr>
                <w:b/>
                <w:bCs/>
              </w:rPr>
              <w:t xml:space="preserve"> (%)</w:t>
            </w:r>
          </w:p>
        </w:tc>
        <w:tc>
          <w:tcPr>
            <w:tcW w:w="1247" w:type="dxa"/>
          </w:tcPr>
          <w:p w14:paraId="61E38439" w14:textId="77777777" w:rsidR="00AF007F" w:rsidRPr="007F1BD6" w:rsidRDefault="00AF007F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Track Length (</w:t>
            </w:r>
            <w:r w:rsidRPr="007F1BD6">
              <w:rPr>
                <w:rFonts w:cstheme="minorHAnsi"/>
                <w:b/>
                <w:bCs/>
              </w:rPr>
              <w:t>µ</w:t>
            </w:r>
            <w:r w:rsidRPr="007F1BD6">
              <w:rPr>
                <w:b/>
                <w:bCs/>
              </w:rPr>
              <w:t>m)</w:t>
            </w:r>
          </w:p>
        </w:tc>
        <w:tc>
          <w:tcPr>
            <w:tcW w:w="1254" w:type="dxa"/>
          </w:tcPr>
          <w:p w14:paraId="70545A31" w14:textId="77777777" w:rsidR="00AF007F" w:rsidRPr="007F1BD6" w:rsidRDefault="00AF007F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Track Velocity (</w:t>
            </w:r>
            <w:r w:rsidRPr="007F1BD6">
              <w:rPr>
                <w:rFonts w:cstheme="minorHAnsi"/>
                <w:b/>
                <w:bCs/>
              </w:rPr>
              <w:t>µ</w:t>
            </w:r>
            <w:r w:rsidRPr="007F1BD6">
              <w:rPr>
                <w:b/>
                <w:bCs/>
              </w:rPr>
              <w:t>m/s)</w:t>
            </w:r>
          </w:p>
        </w:tc>
      </w:tr>
      <w:tr w:rsidR="00AF007F" w14:paraId="5ADA96EE" w14:textId="77777777" w:rsidTr="00406755">
        <w:tc>
          <w:tcPr>
            <w:tcW w:w="1283" w:type="dxa"/>
          </w:tcPr>
          <w:p w14:paraId="13EE8865" w14:textId="77777777" w:rsidR="00AF007F" w:rsidRPr="007F1BD6" w:rsidRDefault="00AF007F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Untreated</w:t>
            </w:r>
          </w:p>
        </w:tc>
        <w:tc>
          <w:tcPr>
            <w:tcW w:w="1463" w:type="dxa"/>
          </w:tcPr>
          <w:p w14:paraId="40F33ADF" w14:textId="77777777" w:rsidR="00AF007F" w:rsidRDefault="00AF007F" w:rsidP="00406755">
            <w:r>
              <w:t>7</w:t>
            </w:r>
          </w:p>
        </w:tc>
        <w:tc>
          <w:tcPr>
            <w:tcW w:w="1463" w:type="dxa"/>
          </w:tcPr>
          <w:p w14:paraId="4E264EFC" w14:textId="77777777" w:rsidR="00AF007F" w:rsidRDefault="00AF007F" w:rsidP="00406755">
            <w:r>
              <w:t>94</w:t>
            </w:r>
          </w:p>
        </w:tc>
        <w:tc>
          <w:tcPr>
            <w:tcW w:w="1463" w:type="dxa"/>
          </w:tcPr>
          <w:p w14:paraId="2EB0E873" w14:textId="77777777" w:rsidR="00AF007F" w:rsidRDefault="00AF007F" w:rsidP="00406755">
            <w:r>
              <w:t xml:space="preserve">7.103 </w:t>
            </w:r>
            <w:r>
              <w:rPr>
                <w:rFonts w:cs="Arial"/>
              </w:rPr>
              <w:t>± 0.9968</w:t>
            </w:r>
          </w:p>
        </w:tc>
        <w:tc>
          <w:tcPr>
            <w:tcW w:w="1247" w:type="dxa"/>
          </w:tcPr>
          <w:p w14:paraId="53D24184" w14:textId="77777777" w:rsidR="00AF007F" w:rsidRDefault="00AF007F" w:rsidP="00406755">
            <w:r>
              <w:t xml:space="preserve">8.272 </w:t>
            </w:r>
            <w:r>
              <w:rPr>
                <w:rFonts w:cs="Arial"/>
              </w:rPr>
              <w:t>± 0.8433</w:t>
            </w:r>
          </w:p>
        </w:tc>
        <w:tc>
          <w:tcPr>
            <w:tcW w:w="1254" w:type="dxa"/>
          </w:tcPr>
          <w:p w14:paraId="44285891" w14:textId="77777777" w:rsidR="00AF007F" w:rsidRDefault="00AF007F" w:rsidP="00406755">
            <w:r>
              <w:t xml:space="preserve">0.2094 </w:t>
            </w:r>
            <w:r>
              <w:rPr>
                <w:rFonts w:cs="Arial"/>
              </w:rPr>
              <w:t>± 0.0210</w:t>
            </w:r>
          </w:p>
        </w:tc>
      </w:tr>
      <w:tr w:rsidR="00AF007F" w14:paraId="66BD548B" w14:textId="77777777" w:rsidTr="00406755">
        <w:tc>
          <w:tcPr>
            <w:tcW w:w="1283" w:type="dxa"/>
          </w:tcPr>
          <w:p w14:paraId="0EDD03A7" w14:textId="77777777" w:rsidR="00AF007F" w:rsidRPr="007F1BD6" w:rsidRDefault="00AF007F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H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O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-treated</w:t>
            </w:r>
          </w:p>
        </w:tc>
        <w:tc>
          <w:tcPr>
            <w:tcW w:w="1463" w:type="dxa"/>
          </w:tcPr>
          <w:p w14:paraId="4FE1D351" w14:textId="77777777" w:rsidR="00AF007F" w:rsidRDefault="00AF007F" w:rsidP="00406755">
            <w:r>
              <w:t>7</w:t>
            </w:r>
          </w:p>
        </w:tc>
        <w:tc>
          <w:tcPr>
            <w:tcW w:w="1463" w:type="dxa"/>
          </w:tcPr>
          <w:p w14:paraId="2574A65D" w14:textId="77777777" w:rsidR="00AF007F" w:rsidRDefault="00AF007F" w:rsidP="00406755">
            <w:r>
              <w:t>30</w:t>
            </w:r>
          </w:p>
        </w:tc>
        <w:tc>
          <w:tcPr>
            <w:tcW w:w="1463" w:type="dxa"/>
          </w:tcPr>
          <w:p w14:paraId="071F12C2" w14:textId="77777777" w:rsidR="00AF007F" w:rsidRDefault="00AF007F" w:rsidP="00406755">
            <w:r>
              <w:t xml:space="preserve">1.447 </w:t>
            </w:r>
            <w:r>
              <w:rPr>
                <w:rFonts w:cs="Arial"/>
              </w:rPr>
              <w:t>± 0.5074</w:t>
            </w:r>
          </w:p>
        </w:tc>
        <w:tc>
          <w:tcPr>
            <w:tcW w:w="1247" w:type="dxa"/>
          </w:tcPr>
          <w:p w14:paraId="4E1F4F34" w14:textId="77777777" w:rsidR="00AF007F" w:rsidRDefault="00AF007F" w:rsidP="00406755">
            <w:r>
              <w:t xml:space="preserve">2.875 </w:t>
            </w:r>
            <w:r>
              <w:rPr>
                <w:rFonts w:cs="Arial"/>
              </w:rPr>
              <w:t>± 0.6442</w:t>
            </w:r>
          </w:p>
        </w:tc>
        <w:tc>
          <w:tcPr>
            <w:tcW w:w="1254" w:type="dxa"/>
          </w:tcPr>
          <w:p w14:paraId="222E569C" w14:textId="77777777" w:rsidR="00AF007F" w:rsidRDefault="00AF007F" w:rsidP="00406755">
            <w:r>
              <w:t xml:space="preserve">0.1265 </w:t>
            </w:r>
            <w:r>
              <w:rPr>
                <w:rFonts w:cs="Arial"/>
              </w:rPr>
              <w:t>± 0.0320</w:t>
            </w:r>
          </w:p>
        </w:tc>
      </w:tr>
      <w:tr w:rsidR="00AF007F" w14:paraId="3EC74210" w14:textId="77777777" w:rsidTr="00406755">
        <w:tc>
          <w:tcPr>
            <w:tcW w:w="1283" w:type="dxa"/>
          </w:tcPr>
          <w:p w14:paraId="08614958" w14:textId="77777777" w:rsidR="00AF007F" w:rsidRPr="007F1BD6" w:rsidRDefault="00AF007F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H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O</w:t>
            </w:r>
            <w:r w:rsidRPr="007F1BD6">
              <w:rPr>
                <w:b/>
                <w:bCs/>
                <w:vertAlign w:val="subscript"/>
              </w:rPr>
              <w:t xml:space="preserve">2 </w:t>
            </w:r>
            <w:r w:rsidRPr="007F1BD6">
              <w:rPr>
                <w:b/>
                <w:bCs/>
              </w:rPr>
              <w:t xml:space="preserve">+Ru360 (5 </w:t>
            </w:r>
            <w:r w:rsidRPr="007F1BD6">
              <w:rPr>
                <w:rFonts w:cstheme="minorHAnsi"/>
                <w:b/>
                <w:bCs/>
              </w:rPr>
              <w:t>µM</w:t>
            </w:r>
            <w:r w:rsidRPr="007F1BD6">
              <w:rPr>
                <w:b/>
                <w:bCs/>
              </w:rPr>
              <w:t>)</w:t>
            </w:r>
          </w:p>
        </w:tc>
        <w:tc>
          <w:tcPr>
            <w:tcW w:w="1463" w:type="dxa"/>
          </w:tcPr>
          <w:p w14:paraId="17475737" w14:textId="77777777" w:rsidR="00AF007F" w:rsidRDefault="00AF007F" w:rsidP="00406755">
            <w:r>
              <w:t>4</w:t>
            </w:r>
          </w:p>
        </w:tc>
        <w:tc>
          <w:tcPr>
            <w:tcW w:w="1463" w:type="dxa"/>
          </w:tcPr>
          <w:p w14:paraId="26E98CD5" w14:textId="77777777" w:rsidR="00AF007F" w:rsidRDefault="00AF007F" w:rsidP="00406755">
            <w:r>
              <w:t>34</w:t>
            </w:r>
          </w:p>
        </w:tc>
        <w:tc>
          <w:tcPr>
            <w:tcW w:w="1463" w:type="dxa"/>
          </w:tcPr>
          <w:p w14:paraId="68CC9587" w14:textId="77777777" w:rsidR="00AF007F" w:rsidRDefault="00AF007F" w:rsidP="00406755">
            <w:r>
              <w:t xml:space="preserve">5.205 </w:t>
            </w:r>
            <w:r>
              <w:rPr>
                <w:rFonts w:cs="Arial"/>
              </w:rPr>
              <w:t>± 1.325</w:t>
            </w:r>
          </w:p>
        </w:tc>
        <w:tc>
          <w:tcPr>
            <w:tcW w:w="1247" w:type="dxa"/>
          </w:tcPr>
          <w:p w14:paraId="0B914732" w14:textId="77777777" w:rsidR="00AF007F" w:rsidRDefault="00AF007F" w:rsidP="00406755">
            <w:r>
              <w:t xml:space="preserve">5.903 </w:t>
            </w:r>
            <w:r>
              <w:rPr>
                <w:rFonts w:cs="Arial"/>
              </w:rPr>
              <w:t>± 0.8408</w:t>
            </w:r>
          </w:p>
        </w:tc>
        <w:tc>
          <w:tcPr>
            <w:tcW w:w="1254" w:type="dxa"/>
          </w:tcPr>
          <w:p w14:paraId="5F64F2E6" w14:textId="77777777" w:rsidR="00AF007F" w:rsidRDefault="00AF007F" w:rsidP="00406755">
            <w:r>
              <w:t xml:space="preserve">0.1331 </w:t>
            </w:r>
            <w:r>
              <w:rPr>
                <w:rFonts w:cs="Arial"/>
              </w:rPr>
              <w:t>± 0.0235</w:t>
            </w:r>
          </w:p>
        </w:tc>
      </w:tr>
      <w:tr w:rsidR="00AF007F" w14:paraId="00D3E476" w14:textId="77777777" w:rsidTr="00406755">
        <w:tc>
          <w:tcPr>
            <w:tcW w:w="1283" w:type="dxa"/>
          </w:tcPr>
          <w:p w14:paraId="7D3E37DA" w14:textId="77777777" w:rsidR="00AF007F" w:rsidRPr="007F1BD6" w:rsidRDefault="00AF007F" w:rsidP="00406755">
            <w:pPr>
              <w:rPr>
                <w:b/>
                <w:bCs/>
                <w:sz w:val="20"/>
                <w:szCs w:val="20"/>
              </w:rPr>
            </w:pPr>
            <w:r w:rsidRPr="007F1BD6">
              <w:rPr>
                <w:b/>
                <w:bCs/>
              </w:rPr>
              <w:t>H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O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 xml:space="preserve"> + Ru360 (10 </w:t>
            </w:r>
            <w:r w:rsidRPr="007F1BD6">
              <w:rPr>
                <w:rFonts w:cstheme="minorHAnsi"/>
                <w:b/>
                <w:bCs/>
              </w:rPr>
              <w:t>µM)</w:t>
            </w:r>
          </w:p>
        </w:tc>
        <w:tc>
          <w:tcPr>
            <w:tcW w:w="1463" w:type="dxa"/>
          </w:tcPr>
          <w:p w14:paraId="56F19071" w14:textId="77777777" w:rsidR="00AF007F" w:rsidRDefault="00AF007F" w:rsidP="00406755">
            <w:r>
              <w:t>7</w:t>
            </w:r>
          </w:p>
        </w:tc>
        <w:tc>
          <w:tcPr>
            <w:tcW w:w="1463" w:type="dxa"/>
          </w:tcPr>
          <w:p w14:paraId="0C3F2EC6" w14:textId="77777777" w:rsidR="00AF007F" w:rsidRDefault="00AF007F" w:rsidP="00406755">
            <w:r>
              <w:t>88</w:t>
            </w:r>
          </w:p>
        </w:tc>
        <w:tc>
          <w:tcPr>
            <w:tcW w:w="1463" w:type="dxa"/>
          </w:tcPr>
          <w:p w14:paraId="6EF20EBC" w14:textId="77777777" w:rsidR="00AF007F" w:rsidRDefault="00AF007F" w:rsidP="00406755">
            <w:r>
              <w:t xml:space="preserve">7.393 </w:t>
            </w:r>
            <w:r>
              <w:rPr>
                <w:rFonts w:cs="Arial"/>
              </w:rPr>
              <w:t>± 1.861</w:t>
            </w:r>
          </w:p>
        </w:tc>
        <w:tc>
          <w:tcPr>
            <w:tcW w:w="1247" w:type="dxa"/>
          </w:tcPr>
          <w:p w14:paraId="572C33F6" w14:textId="77777777" w:rsidR="00AF007F" w:rsidRDefault="00AF007F" w:rsidP="00406755">
            <w:r>
              <w:t xml:space="preserve">8.941 </w:t>
            </w:r>
            <w:r>
              <w:rPr>
                <w:rFonts w:cs="Arial"/>
              </w:rPr>
              <w:t>± 0.7597</w:t>
            </w:r>
          </w:p>
        </w:tc>
        <w:tc>
          <w:tcPr>
            <w:tcW w:w="1254" w:type="dxa"/>
          </w:tcPr>
          <w:p w14:paraId="55D25356" w14:textId="77777777" w:rsidR="00AF007F" w:rsidRDefault="00AF007F" w:rsidP="00406755">
            <w:r>
              <w:t xml:space="preserve">0.2293 </w:t>
            </w:r>
            <w:r>
              <w:rPr>
                <w:rFonts w:cs="Arial"/>
              </w:rPr>
              <w:t>± 0.0243</w:t>
            </w:r>
          </w:p>
        </w:tc>
      </w:tr>
      <w:tr w:rsidR="00AF007F" w14:paraId="11E9E018" w14:textId="77777777" w:rsidTr="00406755">
        <w:tc>
          <w:tcPr>
            <w:tcW w:w="1283" w:type="dxa"/>
          </w:tcPr>
          <w:p w14:paraId="5BF02AA7" w14:textId="77777777" w:rsidR="00AF007F" w:rsidRPr="007F1BD6" w:rsidRDefault="00AF007F" w:rsidP="00406755">
            <w:pPr>
              <w:rPr>
                <w:b/>
                <w:bCs/>
              </w:rPr>
            </w:pPr>
            <w:r w:rsidRPr="007F1BD6">
              <w:rPr>
                <w:b/>
                <w:bCs/>
              </w:rPr>
              <w:t>H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>O</w:t>
            </w:r>
            <w:r w:rsidRPr="007F1BD6">
              <w:rPr>
                <w:b/>
                <w:bCs/>
                <w:vertAlign w:val="subscript"/>
              </w:rPr>
              <w:t>2</w:t>
            </w:r>
            <w:r w:rsidRPr="007F1BD6">
              <w:rPr>
                <w:b/>
                <w:bCs/>
              </w:rPr>
              <w:t xml:space="preserve"> + Ru360 (20 </w:t>
            </w:r>
            <w:r w:rsidRPr="007F1BD6">
              <w:rPr>
                <w:rFonts w:cstheme="minorHAnsi"/>
                <w:b/>
                <w:bCs/>
              </w:rPr>
              <w:t>µM)</w:t>
            </w:r>
          </w:p>
        </w:tc>
        <w:tc>
          <w:tcPr>
            <w:tcW w:w="1463" w:type="dxa"/>
          </w:tcPr>
          <w:p w14:paraId="27A133D2" w14:textId="77777777" w:rsidR="00AF007F" w:rsidRDefault="00AF007F" w:rsidP="00406755">
            <w:r>
              <w:t>4</w:t>
            </w:r>
          </w:p>
        </w:tc>
        <w:tc>
          <w:tcPr>
            <w:tcW w:w="1463" w:type="dxa"/>
          </w:tcPr>
          <w:p w14:paraId="6E4DB47C" w14:textId="77777777" w:rsidR="00AF007F" w:rsidRDefault="00AF007F" w:rsidP="00406755">
            <w:r>
              <w:t>29</w:t>
            </w:r>
          </w:p>
        </w:tc>
        <w:tc>
          <w:tcPr>
            <w:tcW w:w="1463" w:type="dxa"/>
          </w:tcPr>
          <w:p w14:paraId="3611F7E7" w14:textId="77777777" w:rsidR="00AF007F" w:rsidRDefault="00AF007F" w:rsidP="00406755">
            <w:r>
              <w:t xml:space="preserve">3.549 </w:t>
            </w:r>
            <w:r>
              <w:rPr>
                <w:rFonts w:cs="Arial"/>
              </w:rPr>
              <w:t>± 1.124</w:t>
            </w:r>
          </w:p>
        </w:tc>
        <w:tc>
          <w:tcPr>
            <w:tcW w:w="1247" w:type="dxa"/>
          </w:tcPr>
          <w:p w14:paraId="6A602053" w14:textId="77777777" w:rsidR="00AF007F" w:rsidRDefault="00AF007F" w:rsidP="00406755">
            <w:r>
              <w:t xml:space="preserve">4.989 </w:t>
            </w:r>
            <w:r>
              <w:rPr>
                <w:rFonts w:cs="Arial"/>
              </w:rPr>
              <w:t>± 0.6025</w:t>
            </w:r>
          </w:p>
        </w:tc>
        <w:tc>
          <w:tcPr>
            <w:tcW w:w="1254" w:type="dxa"/>
          </w:tcPr>
          <w:p w14:paraId="04C4EDF7" w14:textId="77777777" w:rsidR="00AF007F" w:rsidRDefault="00AF007F" w:rsidP="00406755">
            <w:r>
              <w:t xml:space="preserve">0.1384 </w:t>
            </w:r>
            <w:r>
              <w:rPr>
                <w:rFonts w:cs="Arial"/>
              </w:rPr>
              <w:t>± 0.0280</w:t>
            </w:r>
          </w:p>
        </w:tc>
      </w:tr>
    </w:tbl>
    <w:p w14:paraId="5446B782" w14:textId="77777777" w:rsidR="00AF007F" w:rsidRDefault="00AF007F" w:rsidP="00AF007F">
      <w:r>
        <w:t xml:space="preserve">Table 4: </w:t>
      </w:r>
      <w:r w:rsidRPr="002C2BEF">
        <w:t xml:space="preserve">Summary of </w:t>
      </w:r>
      <w:r>
        <w:t>motility</w:t>
      </w:r>
      <w:r w:rsidRPr="002C2BEF">
        <w:t xml:space="preserve"> parameters of </w:t>
      </w:r>
      <w:r>
        <w:t xml:space="preserve">untreated </w:t>
      </w:r>
      <w:r w:rsidRPr="002C2BEF">
        <w:t>mitochondria</w:t>
      </w:r>
      <w:r>
        <w:t xml:space="preserve">, mitochondria </w:t>
      </w:r>
      <w:r w:rsidRPr="002C2BEF">
        <w:t>under H</w:t>
      </w:r>
      <w:r w:rsidRPr="002C2BEF">
        <w:rPr>
          <w:vertAlign w:val="subscript"/>
        </w:rPr>
        <w:t>2</w:t>
      </w:r>
      <w:r w:rsidRPr="002C2BEF">
        <w:t>O</w:t>
      </w:r>
      <w:r w:rsidRPr="002C2BEF">
        <w:rPr>
          <w:vertAlign w:val="subscript"/>
        </w:rPr>
        <w:t xml:space="preserve">2 </w:t>
      </w:r>
      <w:r w:rsidRPr="002C2BEF">
        <w:t xml:space="preserve">treatment alone, and </w:t>
      </w:r>
      <w:r>
        <w:t>mitochondria treated with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 w:rsidRPr="005826F3">
        <w:t xml:space="preserve"> in </w:t>
      </w:r>
      <w:r>
        <w:t>presence of 5</w:t>
      </w:r>
      <w:r w:rsidRPr="00B81720">
        <w:rPr>
          <w:rFonts w:cstheme="minorHAnsi"/>
        </w:rPr>
        <w:t xml:space="preserve"> </w:t>
      </w:r>
      <w:r>
        <w:rPr>
          <w:rFonts w:cstheme="minorHAnsi"/>
        </w:rPr>
        <w:t>µM, 10 µM and 20 µM Ru360</w:t>
      </w:r>
      <w:r w:rsidRPr="005826F3">
        <w:t>.</w:t>
      </w:r>
      <w:r>
        <w:t xml:space="preserve"> </w:t>
      </w:r>
      <w:r w:rsidRPr="005826F3">
        <w:t xml:space="preserve">Values are shown as Mean </w:t>
      </w:r>
      <w:r>
        <w:rPr>
          <w:rFonts w:cs="Times New Roman"/>
        </w:rPr>
        <w:t>±</w:t>
      </w:r>
      <w:r w:rsidRPr="005826F3">
        <w:t xml:space="preserve"> S</w:t>
      </w:r>
      <w:r>
        <w:t>EM</w:t>
      </w:r>
      <w:r w:rsidRPr="005826F3">
        <w:t>.</w:t>
      </w:r>
    </w:p>
    <w:p w14:paraId="37FAD84F" w14:textId="77777777" w:rsidR="00AF007F" w:rsidRDefault="00AF007F" w:rsidP="00AF007F"/>
    <w:sectPr w:rsidR="00AF007F" w:rsidSect="003C1D9A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C0"/>
    <w:rsid w:val="000133CF"/>
    <w:rsid w:val="00026646"/>
    <w:rsid w:val="000269AF"/>
    <w:rsid w:val="00036247"/>
    <w:rsid w:val="00076BC4"/>
    <w:rsid w:val="000F5287"/>
    <w:rsid w:val="00123DA0"/>
    <w:rsid w:val="00150123"/>
    <w:rsid w:val="00160D6D"/>
    <w:rsid w:val="001A49B0"/>
    <w:rsid w:val="001C2653"/>
    <w:rsid w:val="001E4ED0"/>
    <w:rsid w:val="0020679E"/>
    <w:rsid w:val="002110C0"/>
    <w:rsid w:val="00226B1D"/>
    <w:rsid w:val="00244503"/>
    <w:rsid w:val="0025368D"/>
    <w:rsid w:val="00253BA9"/>
    <w:rsid w:val="00263265"/>
    <w:rsid w:val="002722C0"/>
    <w:rsid w:val="002868E5"/>
    <w:rsid w:val="002C2BEF"/>
    <w:rsid w:val="00307242"/>
    <w:rsid w:val="0032255E"/>
    <w:rsid w:val="00325A0C"/>
    <w:rsid w:val="00335973"/>
    <w:rsid w:val="00340707"/>
    <w:rsid w:val="00344777"/>
    <w:rsid w:val="003527C1"/>
    <w:rsid w:val="003B1ED1"/>
    <w:rsid w:val="003C1D9A"/>
    <w:rsid w:val="003F11B5"/>
    <w:rsid w:val="0041193E"/>
    <w:rsid w:val="00443CD3"/>
    <w:rsid w:val="00467A07"/>
    <w:rsid w:val="00491176"/>
    <w:rsid w:val="004A5428"/>
    <w:rsid w:val="004C085C"/>
    <w:rsid w:val="005025B2"/>
    <w:rsid w:val="00517E9E"/>
    <w:rsid w:val="00536D60"/>
    <w:rsid w:val="00553E9D"/>
    <w:rsid w:val="00555322"/>
    <w:rsid w:val="00573A12"/>
    <w:rsid w:val="005826F3"/>
    <w:rsid w:val="0058719A"/>
    <w:rsid w:val="0064646C"/>
    <w:rsid w:val="0068188C"/>
    <w:rsid w:val="006B523C"/>
    <w:rsid w:val="006D7911"/>
    <w:rsid w:val="006F75F3"/>
    <w:rsid w:val="00727657"/>
    <w:rsid w:val="00745094"/>
    <w:rsid w:val="007502AD"/>
    <w:rsid w:val="0075139D"/>
    <w:rsid w:val="007543F5"/>
    <w:rsid w:val="0076168C"/>
    <w:rsid w:val="0077538D"/>
    <w:rsid w:val="00795CE7"/>
    <w:rsid w:val="007A05DB"/>
    <w:rsid w:val="007A5BA7"/>
    <w:rsid w:val="007B7241"/>
    <w:rsid w:val="007D11A3"/>
    <w:rsid w:val="007D66A7"/>
    <w:rsid w:val="007D6796"/>
    <w:rsid w:val="007F1BD6"/>
    <w:rsid w:val="0080248B"/>
    <w:rsid w:val="00832F74"/>
    <w:rsid w:val="008349DA"/>
    <w:rsid w:val="008626D8"/>
    <w:rsid w:val="0086797A"/>
    <w:rsid w:val="0088111E"/>
    <w:rsid w:val="00891E93"/>
    <w:rsid w:val="008B29C0"/>
    <w:rsid w:val="008C7820"/>
    <w:rsid w:val="008D1CDF"/>
    <w:rsid w:val="008D392C"/>
    <w:rsid w:val="008E03C5"/>
    <w:rsid w:val="008E326B"/>
    <w:rsid w:val="009038F8"/>
    <w:rsid w:val="00932511"/>
    <w:rsid w:val="009414D0"/>
    <w:rsid w:val="009501D9"/>
    <w:rsid w:val="00977A07"/>
    <w:rsid w:val="00987E98"/>
    <w:rsid w:val="009921F0"/>
    <w:rsid w:val="009A2291"/>
    <w:rsid w:val="009C4753"/>
    <w:rsid w:val="00A228AD"/>
    <w:rsid w:val="00AF007F"/>
    <w:rsid w:val="00B223EE"/>
    <w:rsid w:val="00B77D93"/>
    <w:rsid w:val="00B81720"/>
    <w:rsid w:val="00B9704A"/>
    <w:rsid w:val="00BA23D3"/>
    <w:rsid w:val="00BA2A55"/>
    <w:rsid w:val="00BC427C"/>
    <w:rsid w:val="00C07913"/>
    <w:rsid w:val="00C22C74"/>
    <w:rsid w:val="00C305A5"/>
    <w:rsid w:val="00C67006"/>
    <w:rsid w:val="00CB0424"/>
    <w:rsid w:val="00CB38E1"/>
    <w:rsid w:val="00CC096A"/>
    <w:rsid w:val="00D31AE0"/>
    <w:rsid w:val="00D35340"/>
    <w:rsid w:val="00D41396"/>
    <w:rsid w:val="00D612F9"/>
    <w:rsid w:val="00D96B56"/>
    <w:rsid w:val="00DC7B1C"/>
    <w:rsid w:val="00E0051C"/>
    <w:rsid w:val="00E05EF8"/>
    <w:rsid w:val="00E07606"/>
    <w:rsid w:val="00E57FB2"/>
    <w:rsid w:val="00E77EF3"/>
    <w:rsid w:val="00ED0625"/>
    <w:rsid w:val="00ED4DC9"/>
    <w:rsid w:val="00ED6AB4"/>
    <w:rsid w:val="00ED78DC"/>
    <w:rsid w:val="00ED7B55"/>
    <w:rsid w:val="00F21B7A"/>
    <w:rsid w:val="00F33E8F"/>
    <w:rsid w:val="00F64F0C"/>
    <w:rsid w:val="00F73A5A"/>
    <w:rsid w:val="00F93267"/>
    <w:rsid w:val="00FB414F"/>
    <w:rsid w:val="00FE5BA2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0A8C"/>
  <w15:chartTrackingRefBased/>
  <w15:docId w15:val="{276D1D69-CF03-43BD-B51E-DF82D611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2511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Rebecca.Ulshoefer@cmsa3.onmicrosoft.com</dc:creator>
  <cp:keywords/>
  <dc:description/>
  <cp:lastModifiedBy>Rebecca Ulshöfer</cp:lastModifiedBy>
  <cp:revision>2</cp:revision>
  <dcterms:created xsi:type="dcterms:W3CDTF">2022-05-06T17:37:00Z</dcterms:created>
  <dcterms:modified xsi:type="dcterms:W3CDTF">2022-05-06T17:37:00Z</dcterms:modified>
</cp:coreProperties>
</file>