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1F1" w:rsidRPr="009F3AF4" w:rsidRDefault="00734889" w:rsidP="009901F1">
      <w:pPr>
        <w:spacing w:line="480" w:lineRule="auto"/>
        <w:rPr>
          <w:rFonts w:ascii="Arial" w:hAnsi="Arial"/>
          <w:b/>
          <w:sz w:val="20"/>
          <w:szCs w:val="20"/>
          <w:lang w:val="en-US"/>
        </w:rPr>
      </w:pPr>
      <w:r>
        <w:rPr>
          <w:rFonts w:ascii="Arial" w:hAnsi="Arial"/>
          <w:b/>
          <w:sz w:val="20"/>
          <w:szCs w:val="20"/>
          <w:lang w:val="en-US"/>
        </w:rPr>
        <w:t>Methods S1: A step-by-step protocol for PCR duplication</w:t>
      </w:r>
    </w:p>
    <w:p w:rsidR="009901F1" w:rsidRPr="00DA68C6" w:rsidRDefault="009901F1" w:rsidP="009901F1">
      <w:pPr>
        <w:spacing w:line="480" w:lineRule="auto"/>
        <w:rPr>
          <w:rFonts w:ascii="Arial" w:hAnsi="Arial"/>
          <w:sz w:val="20"/>
          <w:szCs w:val="20"/>
          <w:lang w:val="en-US"/>
        </w:rPr>
      </w:pPr>
      <w:r>
        <w:rPr>
          <w:rFonts w:ascii="Arial" w:hAnsi="Arial"/>
          <w:sz w:val="20"/>
          <w:szCs w:val="20"/>
          <w:lang w:val="en-US"/>
        </w:rPr>
        <w:t xml:space="preserve">For PCR duplication of a chromosomal region in yeast the following steps have to be executed (for a visual representation, see </w:t>
      </w:r>
      <w:r w:rsidRPr="00DA68C6">
        <w:rPr>
          <w:rFonts w:ascii="Arial" w:hAnsi="Arial"/>
          <w:sz w:val="20"/>
          <w:szCs w:val="20"/>
          <w:lang w:val="en-US"/>
        </w:rPr>
        <w:t>also Figure 1b and c:</w:t>
      </w:r>
    </w:p>
    <w:p w:rsidR="009901F1" w:rsidRPr="003E37A0" w:rsidRDefault="009901F1" w:rsidP="009901F1">
      <w:pPr>
        <w:spacing w:line="480" w:lineRule="auto"/>
        <w:rPr>
          <w:rFonts w:ascii="Arial" w:hAnsi="Arial"/>
          <w:b/>
          <w:sz w:val="20"/>
          <w:szCs w:val="20"/>
          <w:lang w:val="en-US"/>
        </w:rPr>
      </w:pPr>
      <w:r w:rsidRPr="003E37A0">
        <w:rPr>
          <w:rFonts w:ascii="Arial" w:hAnsi="Arial"/>
          <w:b/>
          <w:sz w:val="20"/>
          <w:szCs w:val="20"/>
          <w:lang w:val="en-US"/>
        </w:rPr>
        <w:t>1.</w:t>
      </w:r>
      <w:r w:rsidRPr="003E37A0">
        <w:rPr>
          <w:rFonts w:ascii="Arial" w:hAnsi="Arial"/>
          <w:b/>
          <w:sz w:val="20"/>
          <w:szCs w:val="20"/>
          <w:lang w:val="en-US"/>
        </w:rPr>
        <w:tab/>
        <w:t>Determination of the chromosomal region to be duplicated.</w:t>
      </w:r>
    </w:p>
    <w:p w:rsidR="009901F1" w:rsidRDefault="009901F1" w:rsidP="009901F1">
      <w:pPr>
        <w:spacing w:line="480" w:lineRule="auto"/>
        <w:rPr>
          <w:rFonts w:ascii="Arial" w:hAnsi="Arial"/>
          <w:sz w:val="20"/>
          <w:szCs w:val="20"/>
          <w:lang w:val="en-US"/>
        </w:rPr>
      </w:pPr>
      <w:r>
        <w:rPr>
          <w:rFonts w:ascii="Arial" w:hAnsi="Arial"/>
          <w:sz w:val="20"/>
          <w:szCs w:val="20"/>
          <w:lang w:val="en-US"/>
        </w:rPr>
        <w:t>The chromosomal region to be duplicated can range from a short region (e.g. a few hundred bp; the minimal size needs to be determined yet) up to a few kbp. Lar</w:t>
      </w:r>
      <w:bookmarkStart w:id="0" w:name="_GoBack"/>
      <w:bookmarkEnd w:id="0"/>
      <w:r>
        <w:rPr>
          <w:rFonts w:ascii="Arial" w:hAnsi="Arial"/>
          <w:sz w:val="20"/>
          <w:szCs w:val="20"/>
          <w:lang w:val="en-US"/>
        </w:rPr>
        <w:t>ger regions may be possible, but we have not tested sequences &gt;10 kb. The region should be chosen such that unintentional interferences with genetic elements in the chromosomal neighborhood are avoided as much as possible. For a more detailed discussion of gene or promoter duplications please refer to the main text.</w:t>
      </w:r>
    </w:p>
    <w:p w:rsidR="009901F1" w:rsidRPr="003E37A0" w:rsidRDefault="009901F1" w:rsidP="009901F1">
      <w:pPr>
        <w:spacing w:line="480" w:lineRule="auto"/>
        <w:rPr>
          <w:rFonts w:ascii="Arial" w:hAnsi="Arial"/>
          <w:b/>
          <w:sz w:val="20"/>
          <w:szCs w:val="20"/>
          <w:lang w:val="en-US"/>
        </w:rPr>
      </w:pPr>
      <w:r>
        <w:rPr>
          <w:rFonts w:ascii="Arial" w:hAnsi="Arial"/>
          <w:b/>
          <w:sz w:val="20"/>
          <w:szCs w:val="20"/>
          <w:lang w:val="en-US"/>
        </w:rPr>
        <w:t>2</w:t>
      </w:r>
      <w:r w:rsidRPr="003E37A0">
        <w:rPr>
          <w:rFonts w:ascii="Arial" w:hAnsi="Arial"/>
          <w:b/>
          <w:sz w:val="20"/>
          <w:szCs w:val="20"/>
          <w:lang w:val="en-US"/>
        </w:rPr>
        <w:t>.</w:t>
      </w:r>
      <w:r w:rsidRPr="003E37A0">
        <w:rPr>
          <w:rFonts w:ascii="Arial" w:hAnsi="Arial"/>
          <w:b/>
          <w:sz w:val="20"/>
          <w:szCs w:val="20"/>
          <w:lang w:val="en-US"/>
        </w:rPr>
        <w:tab/>
        <w:t>Selection of a template plasmid</w:t>
      </w:r>
    </w:p>
    <w:p w:rsidR="009901F1" w:rsidRDefault="009901F1" w:rsidP="009901F1">
      <w:pPr>
        <w:spacing w:line="480" w:lineRule="auto"/>
        <w:rPr>
          <w:rFonts w:ascii="Arial" w:hAnsi="Arial"/>
          <w:sz w:val="20"/>
          <w:szCs w:val="20"/>
          <w:lang w:val="en-US"/>
        </w:rPr>
      </w:pPr>
      <w:r>
        <w:rPr>
          <w:rFonts w:ascii="Arial" w:hAnsi="Arial"/>
          <w:sz w:val="20"/>
          <w:szCs w:val="20"/>
          <w:lang w:val="en-US"/>
        </w:rPr>
        <w:t xml:space="preserve">In </w:t>
      </w:r>
      <w:r w:rsidRPr="00215B21">
        <w:rPr>
          <w:rFonts w:ascii="Arial" w:hAnsi="Arial"/>
          <w:i/>
          <w:sz w:val="20"/>
          <w:szCs w:val="20"/>
          <w:lang w:val="en-US"/>
        </w:rPr>
        <w:t>S. cerevisiae</w:t>
      </w:r>
      <w:r>
        <w:rPr>
          <w:rFonts w:ascii="Arial" w:hAnsi="Arial"/>
          <w:sz w:val="20"/>
          <w:szCs w:val="20"/>
          <w:lang w:val="en-US"/>
        </w:rPr>
        <w:t xml:space="preserve">, typical marker cassettes contain antibiotic resistance auxotrophy markers. For a range of cassettes with generic annealing sites for PCR primers please refer to the following publications, among others: </w:t>
      </w:r>
      <w:r>
        <w:rPr>
          <w:rFonts w:ascii="Arial" w:hAnsi="Arial"/>
          <w:sz w:val="20"/>
          <w:szCs w:val="20"/>
          <w:lang w:val="en-US"/>
        </w:rPr>
        <w:fldChar w:fldCharType="begin"/>
      </w:r>
      <w:r>
        <w:rPr>
          <w:rFonts w:ascii="Arial" w:hAnsi="Arial"/>
          <w:sz w:val="20"/>
          <w:szCs w:val="20"/>
          <w:lang w:val="en-US"/>
        </w:rPr>
        <w:instrText xml:space="preserve"> ADDIN PAPERS2_CITATIONS &lt;citation&gt;&lt;uuid&gt;DBBACFB7-C821-4E9C-A93C-E3BDC7F2C32F&lt;/uuid&gt;&lt;priority&gt;25&lt;/priority&gt;&lt;publications&gt;&lt;publication&gt;&lt;uuid&gt;49126F46-B803-405F-8CE9-958EB0454F9C&lt;/uuid&gt;&lt;volume&gt;15&lt;/volume&gt;&lt;doi&gt;10.1002/(SICI)1097-0061(199907)15:10B&amp;lt;963::AID-YEA399&amp;gt;3.0.CO;2-W&lt;/doi&gt;&lt;startpage&gt;963&lt;/startpage&gt;&lt;publication_date&gt;99199907001200000000220000&lt;/publication_date&gt;&lt;url&gt;http://eutils.ncbi.nlm.nih.gov/entrez/eutils/elink.fcgi?dbfrom=pubmed&amp;amp;id=10407276&amp;amp;retmode=ref&amp;amp;cmd=prlinks&lt;/url&gt;&lt;type&gt;400&lt;/type&gt;&lt;title&gt;Epitope tagging of yeast genes using a PCR-based strategy: more tags and improved practical routines.&lt;/title&gt;&lt;location&gt;200,5,55.9060143,-4.3218489&lt;/location&gt;&lt;institution&gt;The Beatson Institute for Cancer Research, CRC Beatson Laboratories, Garscube Estate, Switchback Road, Bearsden, Glasgow G61 1BD, U.K.&lt;/institution&gt;&lt;number&gt;10B&lt;/number&gt;&lt;subtype&gt;400&lt;/subtype&gt;&lt;endpage&gt;972&lt;/endpage&gt;&lt;bundle&gt;&lt;publication&gt;&lt;url&gt;http://onlinelibrary.wiley.com&lt;/url&gt;&lt;title&gt;Yeast (Chichester, England)&lt;/title&gt;&lt;type&gt;-100&lt;/type&gt;&lt;subtype&gt;-100&lt;/subtype&gt;&lt;uuid&gt;C0DB0E35-910B-4192-9A23-B00FD6F77A5C&lt;/uuid&gt;&lt;/publication&gt;&lt;/bundle&gt;&lt;authors&gt;&lt;author&gt;&lt;firstName&gt;M&lt;/firstName&gt;&lt;lastName&gt;Knop&lt;/lastName&gt;&lt;/author&gt;&lt;author&gt;&lt;firstName&gt;K&lt;/firstName&gt;&lt;lastName&gt;Siegers&lt;/lastName&gt;&lt;/author&gt;&lt;author&gt;&lt;firstName&gt;G&lt;/firstName&gt;&lt;lastName&gt;Pereira&lt;/lastName&gt;&lt;/author&gt;&lt;author&gt;&lt;firstName&gt;W&lt;/firstName&gt;&lt;lastName&gt;Zachariae&lt;/lastName&gt;&lt;/author&gt;&lt;author&gt;&lt;firstName&gt;B&lt;/firstName&gt;&lt;lastName&gt;Winsor&lt;/lastName&gt;&lt;/author&gt;&lt;author&gt;&lt;firstName&gt;K&lt;/firstName&gt;&lt;lastName&gt;Nasmyth&lt;/lastName&gt;&lt;/author&gt;&lt;author&gt;&lt;firstName&gt;E&lt;/firstName&gt;&lt;lastName&gt;Schiebel&lt;/lastName&gt;&lt;/author&gt;&lt;/authors&gt;&lt;/publication&gt;&lt;publication&gt;&lt;uuid&gt;B081AC5D-9306-422C-AC92-08BD2A81104E&lt;/uuid&gt;&lt;volume&gt;21&lt;/volume&gt;&lt;doi&gt;10.1002/yea.1142&lt;/doi&gt;&lt;startpage&gt;947&lt;/startpage&gt;&lt;publication_date&gt;99200408001200000000220000&lt;/publication_date&gt;&lt;url&gt;http://eutils.ncbi.nlm.nih.gov/entrez/eutils/elink.fcgi?dbfrom=pubmed&amp;amp;id=15334558&amp;amp;retmode=ref&amp;amp;cmd=prlinks&lt;/url&gt;&lt;type&gt;400&lt;/type&gt;&lt;title&gt;A versatile toolbox for PCR-based tagging of yeast genes: new fluorescent proteins, more markers and promoter substitution cassettes.&lt;/title&gt;&lt;location&gt;602,0,0,0&lt;/location&gt;&lt;institution&gt;CRBM, CNRS FRE2593, 1919 Route de Mende, F-34293 Montpellier cedex 5, France.&lt;/institution&gt;&lt;number&gt;11&lt;/number&gt;&lt;subtype&gt;400&lt;/subtype&gt;&lt;endpage&gt;962&lt;/endpage&gt;&lt;bundle&gt;&lt;publication&gt;&lt;url&gt;http://onlinelibrary.wiley.com&lt;/url&gt;&lt;title&gt;Yeast (Chichester, England)&lt;/title&gt;&lt;type&gt;-100&lt;/type&gt;&lt;subtype&gt;-100&lt;/subtype&gt;&lt;uuid&gt;C0DB0E35-910B-4192-9A23-B00FD6F77A5C&lt;/uuid&gt;&lt;/publication&gt;&lt;/bundle&gt;&lt;authors&gt;&lt;author&gt;&lt;firstName&gt;Carsten&lt;/firstName&gt;&lt;lastName&gt;Janke&lt;/lastName&gt;&lt;/author&gt;&lt;author&gt;&lt;firstName&gt;Maria&lt;/firstName&gt;&lt;middleNames&gt;M&lt;/middleNames&gt;&lt;lastName&gt;Magiera&lt;/lastName&gt;&lt;/author&gt;&lt;author&gt;&lt;firstName&gt;Nicole&lt;/firstName&gt;&lt;lastName&gt;Rathfelder&lt;/lastName&gt;&lt;/author&gt;&lt;author&gt;&lt;firstName&gt;Christof&lt;/firstName&gt;&lt;lastName&gt;Taxis&lt;/lastName&gt;&lt;/author&gt;&lt;author&gt;&lt;firstName&gt;Simone&lt;/firstName&gt;&lt;lastName&gt;Reber&lt;/lastName&gt;&lt;/author&gt;&lt;author&gt;&lt;firstName&gt;Hiromi&lt;/firstName&gt;&lt;lastName&gt;Maekawa&lt;/lastName&gt;&lt;/author&gt;&lt;author&gt;&lt;firstName&gt;Alexandra&lt;/firstName&gt;&lt;lastName&gt;Moreno-Borchart&lt;/lastName&gt;&lt;/author&gt;&lt;author&gt;&lt;firstName&gt;Georg&lt;/firstName&gt;&lt;lastName&gt;Doenges&lt;/lastName&gt;&lt;/author&gt;&lt;author&gt;&lt;firstName&gt;Etienne&lt;/firstName&gt;&lt;lastName&gt;Schwob&lt;/lastName&gt;&lt;/author&gt;&lt;author&gt;&lt;firstName&gt;Elmar&lt;/firstName&gt;&lt;lastName&gt;Schiebel&lt;/lastName&gt;&lt;/author&gt;&lt;author&gt;&lt;firstName&gt;Michael&lt;/firstName&gt;&lt;lastName&gt;Knop&lt;/lastName&gt;&lt;/author&gt;&lt;/authors&gt;&lt;/publication&gt;&lt;publication&gt;&lt;uuid&gt;474AEAE2-072A-4B47-90FD-58F3E20E6766&lt;/uuid&gt;&lt;volume&gt;13&lt;/volume&gt;&lt;doi&gt;10.1002/(SICI)1097-0061(19970915)13:11&amp;lt;1065::AID-YEA159&amp;gt;3.0.CO;2-K&lt;/doi&gt;&lt;startpage&gt;1065&lt;/startpage&gt;&lt;publication_date&gt;99199709151200000000222000&lt;/publication_date&gt;&lt;url&gt;http://eutils.ncbi.nlm.nih.gov/entrez/eutils/elink.fcgi?dbfrom=pubmed&amp;amp;id=9290211&amp;amp;retmode=ref&amp;amp;cmd=prlinks&lt;/url&gt;&lt;type&gt;400&lt;/type&gt;&lt;title&gt;Heterologous HIS3 marker and GFP reporter modules for PCR-targeting in Saccharomyces cerevisiae.&lt;/title&gt;&lt;location&gt;200,4,47.5574210,7.5925727&lt;/location&gt;&lt;institution&gt;Institut für Angewandte Mikrobiologie, Universität Basel, Switzerland.&lt;/institution&gt;&lt;number&gt;11&lt;/number&gt;&lt;subtype&gt;400&lt;/subtype&gt;&lt;endpage&gt;1075&lt;/endpage&gt;&lt;bundle&gt;&lt;publication&gt;&lt;url&gt;http://onlinelibrary.wiley.com&lt;/url&gt;&lt;title&gt;Yeast (Chichester, England)&lt;/title&gt;&lt;type&gt;-100&lt;/type&gt;&lt;subtype&gt;-100&lt;/subtype&gt;&lt;uuid&gt;C0DB0E35-910B-4192-9A23-B00FD6F77A5C&lt;/uuid&gt;&lt;/publication&gt;&lt;/bundle&gt;&lt;authors&gt;&lt;author&gt;&lt;firstName&gt;A&lt;/firstName&gt;&lt;lastName&gt;Wach&lt;/lastName&gt;&lt;/author&gt;&lt;author&gt;&lt;firstName&gt;A&lt;/firstName&gt;&lt;lastName&gt;Brachat&lt;/lastName&gt;&lt;/author&gt;&lt;author&gt;&lt;firstName&gt;C&lt;/firstName&gt;&lt;lastName&gt;Alberti-Segui&lt;/lastName&gt;&lt;/author&gt;&lt;author&gt;&lt;firstName&gt;C&lt;/firstName&gt;&lt;lastName&gt;Rebischung&lt;/lastName&gt;&lt;/author&gt;&lt;author&gt;&lt;firstName&gt;P&lt;/firstName&gt;&lt;lastName&gt;Philippsen&lt;/lastName&gt;&lt;/author&gt;&lt;/authors&gt;&lt;/publication&gt;&lt;publication&gt;&lt;uuid&gt;6B882A8D-2EBC-48EC-9C4A-5D5860A2A433&lt;/uuid&gt;&lt;volume&gt;10&lt;/volume&gt;&lt;startpage&gt;1793&lt;/startpage&gt;&lt;publication_date&gt;99199412001200000000220000&lt;/publication_date&gt;&lt;url&gt;http://eutils.ncbi.nlm.nih.gov/entrez/eutils/elink.fcgi?dbfrom=pubmed&amp;amp;id=7747518&amp;amp;retmode=ref&amp;amp;cmd=prlinks&lt;/url&gt;&lt;type&gt;400&lt;/type&gt;&lt;title&gt;New heterologous modules for classical or PCR-based gene disruptions in Saccharomyces cerevisiae.&lt;/title&gt;&lt;location&gt;200,4,47.5574210,7.5925727&lt;/location&gt;&lt;institution&gt;Institut für Angewandte Mikrobiologie, Universität Basel, Switzerland.&lt;/institution&gt;&lt;number&gt;13&lt;/number&gt;&lt;subtype&gt;400&lt;/subtype&gt;&lt;endpage&gt;1808&lt;/endpage&gt;&lt;bundle&gt;&lt;publication&gt;&lt;url&gt;http://onlinelibrary.wiley.com&lt;/url&gt;&lt;title&gt;Yeast (Chichester, England)&lt;/title&gt;&lt;type&gt;-100&lt;/type&gt;&lt;subtype&gt;-100&lt;/subtype&gt;&lt;uuid&gt;C0DB0E35-910B-4192-9A23-B00FD6F77A5C&lt;/uuid&gt;&lt;/publication&gt;&lt;/bundle&gt;&lt;authors&gt;&lt;author&gt;&lt;firstName&gt;A&lt;/firstName&gt;&lt;lastName&gt;Wach&lt;/lastName&gt;&lt;/author&gt;&lt;author&gt;&lt;firstName&gt;A&lt;/firstName&gt;&lt;lastName&gt;Brachat&lt;/lastName&gt;&lt;/author&gt;&lt;author&gt;&lt;firstName&gt;R&lt;/firstName&gt;&lt;lastName&gt;Pöhlmann&lt;/lastName&gt;&lt;/author&gt;&lt;author&gt;&lt;firstName&gt;P&lt;/firstName&gt;&lt;lastName&gt;Philippsen&lt;/lastName&gt;&lt;/author&gt;&lt;/authors&gt;&lt;/publication&gt;&lt;publication&gt;&lt;uuid&gt;01A7804B-D611-4779-8902-F49909224516&lt;/uuid&gt;&lt;volume&gt;14&lt;/volume&gt;&lt;doi&gt;10.1002/(SICI)1097-0061(199807)14:10&amp;lt;953::AID-YEA293&amp;gt;3.0.CO;2-U&lt;/doi&gt;&lt;startpage&gt;953&lt;/startpage&gt;&lt;publication_date&gt;99199807001200000000220000&lt;/publication_date&gt;&lt;url&gt;http://eutils.ncbi.nlm.nih.gov/entrez/eutils/elink.fcgi?dbfrom=pubmed&amp;amp;id=9717241&amp;amp;retmode=ref&amp;amp;cmd=prlinks&lt;/url&gt;&lt;type&gt;400&lt;/type&gt;&lt;title&gt;Additional modules for versatile and economical PCR-based gene deletion and modification in Saccharomyces cerevisiae.&lt;/title&gt;&lt;institution&gt;Department of Biology, University of North Carolina, Chapel Hill 27599-3280, USA. mlunc@isis.unc.edu&lt;/institution&gt;&lt;number&gt;10&lt;/number&gt;&lt;subtype&gt;400&lt;/subtype&gt;&lt;endpage&gt;961&lt;/endpage&gt;&lt;bundle&gt;&lt;publication&gt;&lt;url&gt;http://onlinelibrary.wiley.com&lt;/url&gt;&lt;title&gt;Yeast (Chichester, England)&lt;/title&gt;&lt;type&gt;-100&lt;/type&gt;&lt;subtype&gt;-100&lt;/subtype&gt;&lt;uuid&gt;C0DB0E35-910B-4192-9A23-B00FD6F77A5C&lt;/uuid&gt;&lt;/publication&gt;&lt;/bundle&gt;&lt;authors&gt;&lt;author&gt;&lt;firstName&gt;M&lt;/firstName&gt;&lt;middleNames&gt;S&lt;/middleNames&gt;&lt;lastName&gt;Longtine&lt;/lastName&gt;&lt;/author&gt;&lt;author&gt;&lt;firstName&gt;A&lt;/firstName&gt;&lt;lastName&gt;McKenzie&lt;/lastName&gt;&lt;/author&gt;&lt;author&gt;&lt;firstName&gt;D&lt;/firstName&gt;&lt;middleNames&gt;J&lt;/middleNames&gt;&lt;lastName&gt;Demarini&lt;/lastName&gt;&lt;/author&gt;&lt;author&gt;&lt;firstName&gt;N&lt;/firstName&gt;&lt;middleNames&gt;G&lt;/middleNames&gt;&lt;lastName&gt;Shah&lt;/lastName&gt;&lt;/author&gt;&lt;author&gt;&lt;firstName&gt;A&lt;/firstName&gt;&lt;lastName&gt;Wach&lt;/lastName&gt;&lt;/author&gt;&lt;author&gt;&lt;firstName&gt;A&lt;/firstName&gt;&lt;lastName&gt;Brachat&lt;/lastName&gt;&lt;/author&gt;&lt;author&gt;&lt;firstName&gt;P&lt;/firstName&gt;&lt;lastName&gt;Philippsen&lt;/lastName&gt;&lt;/author&gt;&lt;author&gt;&lt;firstName&gt;J&lt;/firstName&gt;&lt;middleNames&gt;R&lt;/middleNames&gt;&lt;lastName&gt;Pringle&lt;/lastName&gt;&lt;/author&gt;&lt;/authors&gt;&lt;/publication&gt;&lt;/publications&gt;&lt;cites&gt;&lt;/cites&gt;&lt;/citation&gt;</w:instrText>
      </w:r>
      <w:r>
        <w:rPr>
          <w:rFonts w:ascii="Arial" w:hAnsi="Arial"/>
          <w:sz w:val="20"/>
          <w:szCs w:val="20"/>
          <w:lang w:val="en-US"/>
        </w:rPr>
        <w:fldChar w:fldCharType="separate"/>
      </w:r>
      <w:r w:rsidRPr="00B95B14">
        <w:rPr>
          <w:rFonts w:ascii="Arial" w:hAnsi="Arial"/>
          <w:sz w:val="20"/>
          <w:szCs w:val="20"/>
          <w:lang w:eastAsia="de-DE"/>
        </w:rPr>
        <w:t>[10,11,13-15]</w:t>
      </w:r>
      <w:r>
        <w:rPr>
          <w:rFonts w:ascii="Arial" w:hAnsi="Arial"/>
          <w:sz w:val="20"/>
          <w:szCs w:val="20"/>
          <w:lang w:val="en-US"/>
        </w:rPr>
        <w:fldChar w:fldCharType="end"/>
      </w:r>
      <w:r>
        <w:rPr>
          <w:rFonts w:ascii="Arial" w:hAnsi="Arial"/>
          <w:sz w:val="20"/>
          <w:szCs w:val="20"/>
          <w:lang w:val="en-US"/>
        </w:rPr>
        <w:t>.</w:t>
      </w:r>
    </w:p>
    <w:p w:rsidR="009901F1" w:rsidRPr="003E37A0" w:rsidRDefault="009901F1" w:rsidP="009901F1">
      <w:pPr>
        <w:spacing w:line="480" w:lineRule="auto"/>
        <w:rPr>
          <w:rFonts w:ascii="Arial" w:hAnsi="Arial"/>
          <w:b/>
          <w:sz w:val="20"/>
          <w:szCs w:val="20"/>
          <w:lang w:val="en-US"/>
        </w:rPr>
      </w:pPr>
      <w:r>
        <w:rPr>
          <w:rFonts w:ascii="Arial" w:hAnsi="Arial"/>
          <w:b/>
          <w:sz w:val="20"/>
          <w:szCs w:val="20"/>
          <w:lang w:val="en-US"/>
        </w:rPr>
        <w:t>3</w:t>
      </w:r>
      <w:r w:rsidRPr="003E37A0">
        <w:rPr>
          <w:rFonts w:ascii="Arial" w:hAnsi="Arial"/>
          <w:b/>
          <w:sz w:val="20"/>
          <w:szCs w:val="20"/>
          <w:lang w:val="en-US"/>
        </w:rPr>
        <w:t xml:space="preserve">. </w:t>
      </w:r>
      <w:r w:rsidRPr="003E37A0">
        <w:rPr>
          <w:rFonts w:ascii="Arial" w:hAnsi="Arial"/>
          <w:b/>
          <w:sz w:val="20"/>
          <w:szCs w:val="20"/>
          <w:lang w:val="en-US"/>
        </w:rPr>
        <w:tab/>
        <w:t xml:space="preserve">Design of </w:t>
      </w:r>
      <w:r>
        <w:rPr>
          <w:rFonts w:ascii="Arial" w:hAnsi="Arial"/>
          <w:b/>
          <w:sz w:val="20"/>
          <w:szCs w:val="20"/>
          <w:lang w:val="en-US"/>
        </w:rPr>
        <w:t>o</w:t>
      </w:r>
      <w:r w:rsidRPr="003E37A0">
        <w:rPr>
          <w:rFonts w:ascii="Arial" w:hAnsi="Arial"/>
          <w:b/>
          <w:sz w:val="20"/>
          <w:szCs w:val="20"/>
          <w:lang w:val="en-US"/>
        </w:rPr>
        <w:t>ligonucleotides</w:t>
      </w:r>
    </w:p>
    <w:p w:rsidR="009901F1" w:rsidRDefault="009901F1" w:rsidP="009901F1">
      <w:pPr>
        <w:spacing w:line="480" w:lineRule="auto"/>
        <w:rPr>
          <w:rFonts w:ascii="Arial" w:hAnsi="Arial"/>
          <w:sz w:val="20"/>
          <w:szCs w:val="20"/>
          <w:lang w:val="en-US"/>
        </w:rPr>
      </w:pPr>
      <w:r>
        <w:rPr>
          <w:rFonts w:ascii="Arial" w:hAnsi="Arial"/>
          <w:sz w:val="20"/>
          <w:szCs w:val="20"/>
          <w:lang w:val="en-US"/>
        </w:rPr>
        <w:t>Duplication primer A: Paste 55 bp from the 3’-end of the region to be duplicated in sense orientation + annealing site I in the plasmid.</w:t>
      </w:r>
    </w:p>
    <w:p w:rsidR="009901F1" w:rsidRDefault="009901F1" w:rsidP="009901F1">
      <w:pPr>
        <w:spacing w:line="480" w:lineRule="auto"/>
        <w:rPr>
          <w:rFonts w:ascii="Arial" w:hAnsi="Arial"/>
          <w:sz w:val="20"/>
          <w:szCs w:val="20"/>
          <w:lang w:val="en-US"/>
        </w:rPr>
      </w:pPr>
      <w:r>
        <w:rPr>
          <w:rFonts w:ascii="Arial" w:hAnsi="Arial"/>
          <w:sz w:val="20"/>
          <w:szCs w:val="20"/>
          <w:lang w:val="en-US"/>
        </w:rPr>
        <w:t>Duplication primer B: Paste 55 bp from the 5’-end of the region to be duplicated in antisense orientation + annealing site II in the plasmid.</w:t>
      </w:r>
    </w:p>
    <w:p w:rsidR="009901F1" w:rsidRDefault="009901F1" w:rsidP="009901F1">
      <w:pPr>
        <w:spacing w:line="480" w:lineRule="auto"/>
        <w:rPr>
          <w:rFonts w:ascii="Arial" w:hAnsi="Arial"/>
          <w:sz w:val="20"/>
          <w:szCs w:val="20"/>
          <w:lang w:val="en-US"/>
        </w:rPr>
      </w:pPr>
      <w:r>
        <w:rPr>
          <w:rFonts w:ascii="Arial" w:hAnsi="Arial"/>
          <w:sz w:val="20"/>
          <w:szCs w:val="20"/>
          <w:lang w:val="en-US"/>
        </w:rPr>
        <w:t>Note that for the construction of reporter fusions it is critical to design a functional linkage between the genomic region and the reporter gene.</w:t>
      </w:r>
    </w:p>
    <w:p w:rsidR="009901F1" w:rsidRPr="003E37A0" w:rsidRDefault="009901F1" w:rsidP="009901F1">
      <w:pPr>
        <w:spacing w:line="480" w:lineRule="auto"/>
        <w:rPr>
          <w:rFonts w:ascii="Arial" w:hAnsi="Arial"/>
          <w:b/>
          <w:sz w:val="20"/>
          <w:szCs w:val="20"/>
          <w:lang w:val="en-US"/>
        </w:rPr>
      </w:pPr>
      <w:r>
        <w:rPr>
          <w:rFonts w:ascii="Arial" w:hAnsi="Arial"/>
          <w:b/>
          <w:sz w:val="20"/>
          <w:szCs w:val="20"/>
          <w:lang w:val="en-US"/>
        </w:rPr>
        <w:t>4</w:t>
      </w:r>
      <w:r w:rsidRPr="003E37A0">
        <w:rPr>
          <w:rFonts w:ascii="Arial" w:hAnsi="Arial"/>
          <w:b/>
          <w:sz w:val="20"/>
          <w:szCs w:val="20"/>
          <w:lang w:val="en-US"/>
        </w:rPr>
        <w:t>.</w:t>
      </w:r>
      <w:r w:rsidRPr="003E37A0">
        <w:rPr>
          <w:rFonts w:ascii="Arial" w:hAnsi="Arial"/>
          <w:b/>
          <w:sz w:val="20"/>
          <w:szCs w:val="20"/>
          <w:lang w:val="en-US"/>
        </w:rPr>
        <w:tab/>
        <w:t xml:space="preserve">PCR </w:t>
      </w:r>
      <w:r>
        <w:rPr>
          <w:rFonts w:ascii="Arial" w:hAnsi="Arial"/>
          <w:b/>
          <w:sz w:val="20"/>
          <w:szCs w:val="20"/>
          <w:lang w:val="en-US"/>
        </w:rPr>
        <w:t>a</w:t>
      </w:r>
      <w:r w:rsidRPr="003E37A0">
        <w:rPr>
          <w:rFonts w:ascii="Arial" w:hAnsi="Arial"/>
          <w:b/>
          <w:sz w:val="20"/>
          <w:szCs w:val="20"/>
          <w:lang w:val="en-US"/>
        </w:rPr>
        <w:t>mplification of the template cassette</w:t>
      </w:r>
    </w:p>
    <w:p w:rsidR="009901F1" w:rsidRDefault="009901F1" w:rsidP="009901F1">
      <w:pPr>
        <w:spacing w:line="480" w:lineRule="auto"/>
        <w:rPr>
          <w:rFonts w:ascii="Arial" w:hAnsi="Arial"/>
          <w:sz w:val="20"/>
          <w:szCs w:val="20"/>
          <w:lang w:val="en-US"/>
        </w:rPr>
      </w:pPr>
      <w:r>
        <w:rPr>
          <w:rFonts w:ascii="Arial" w:hAnsi="Arial"/>
          <w:sz w:val="20"/>
          <w:szCs w:val="20"/>
          <w:lang w:val="en-US"/>
        </w:rPr>
        <w:t xml:space="preserve">Run a PCR to generate the DNA molecules to be transformed. Use a high fidelity polymerase to minimise the chance of mutations. For detailed protcols, please refer to the manual of your DNA polymerase or the following references: </w:t>
      </w:r>
      <w:r>
        <w:rPr>
          <w:rFonts w:ascii="Arial" w:hAnsi="Arial"/>
          <w:sz w:val="20"/>
          <w:szCs w:val="20"/>
          <w:lang w:val="en-US"/>
        </w:rPr>
        <w:fldChar w:fldCharType="begin"/>
      </w:r>
      <w:r>
        <w:rPr>
          <w:rFonts w:ascii="Arial" w:hAnsi="Arial"/>
          <w:sz w:val="20"/>
          <w:szCs w:val="20"/>
          <w:lang w:val="en-US"/>
        </w:rPr>
        <w:instrText xml:space="preserve"> ADDIN PAPERS2_CITATIONS &lt;citation&gt;&lt;uuid&gt;F76F8846-7099-416F-A9D6-6C2BBEC037C1&lt;/uuid&gt;&lt;priority&gt;26&lt;/priority&gt;&lt;publications&gt;&lt;publication&gt;&lt;uuid&gt;B081AC5D-9306-422C-AC92-08BD2A81104E&lt;/uuid&gt;&lt;volume&gt;21&lt;/volume&gt;&lt;doi&gt;10.1002/yea.1142&lt;/doi&gt;&lt;startpage&gt;947&lt;/startpage&gt;&lt;publication_date&gt;99200408001200000000220000&lt;/publication_date&gt;&lt;url&gt;http://eutils.ncbi.nlm.nih.gov/entrez/eutils/elink.fcgi?dbfrom=pubmed&amp;amp;id=15334558&amp;amp;retmode=ref&amp;amp;cmd=prlinks&lt;/url&gt;&lt;type&gt;400&lt;/type&gt;&lt;title&gt;A versatile toolbox for PCR-based tagging of yeast genes: new fluorescent proteins, more markers and promoter substitution cassettes.&lt;/title&gt;&lt;location&gt;602,0,0,0&lt;/location&gt;&lt;institution&gt;CRBM, CNRS FRE2593, 1919 Route de Mende, F-34293 Montpellier cedex 5, France.&lt;/institution&gt;&lt;number&gt;11&lt;/number&gt;&lt;subtype&gt;400&lt;/subtype&gt;&lt;endpage&gt;962&lt;/endpage&gt;&lt;bundle&gt;&lt;publication&gt;&lt;url&gt;http://onlinelibrary.wiley.com&lt;/url&gt;&lt;title&gt;Yeast (Chichester, England)&lt;/title&gt;&lt;type&gt;-100&lt;/type&gt;&lt;subtype&gt;-100&lt;/subtype&gt;&lt;uuid&gt;C0DB0E35-910B-4192-9A23-B00FD6F77A5C&lt;/uuid&gt;&lt;/publication&gt;&lt;/bundle&gt;&lt;authors&gt;&lt;author&gt;&lt;firstName&gt;Carsten&lt;/firstName&gt;&lt;lastName&gt;Janke&lt;/lastName&gt;&lt;/author&gt;&lt;author&gt;&lt;firstName&gt;Maria&lt;/firstName&gt;&lt;middleNames&gt;M&lt;/middleNames&gt;&lt;lastName&gt;Magiera&lt;/lastName&gt;&lt;/author&gt;&lt;author&gt;&lt;firstName&gt;Nicole&lt;/firstName&gt;&lt;lastName&gt;Rathfelder&lt;/lastName&gt;&lt;/author&gt;&lt;author&gt;&lt;firstName&gt;Christof&lt;/firstName&gt;&lt;lastName&gt;Taxis&lt;/lastName&gt;&lt;/author&gt;&lt;author&gt;&lt;firstName&gt;Simone&lt;/firstName&gt;&lt;lastName&gt;Reber&lt;/lastName&gt;&lt;/author&gt;&lt;author&gt;&lt;firstName&gt;Hiromi&lt;/firstName&gt;&lt;lastName&gt;Maekawa&lt;/lastName&gt;&lt;/author&gt;&lt;author&gt;&lt;firstName&gt;Alexandra&lt;/firstName&gt;&lt;lastName&gt;Moreno-Borchart&lt;/lastName&gt;&lt;/author&gt;&lt;author&gt;&lt;firstName&gt;Georg&lt;/firstName&gt;&lt;lastName&gt;Doenges&lt;/lastName&gt;&lt;/author&gt;&lt;author&gt;&lt;firstName&gt;Etienne&lt;/firstName&gt;&lt;lastName&gt;Schwob&lt;/lastName&gt;&lt;/author&gt;&lt;author&gt;&lt;firstName&gt;Elmar&lt;/firstName&gt;&lt;lastName&gt;Schiebel&lt;/lastName&gt;&lt;/author&gt;&lt;author&gt;&lt;firstName&gt;Michael&lt;/firstName&gt;&lt;lastName&gt;Knop&lt;/lastName&gt;&lt;/author&gt;&lt;/authors&gt;&lt;/publication&gt;&lt;publication&gt;&lt;uuid&gt;49126F46-B803-405F-8CE9-958EB0454F9C&lt;/uuid&gt;&lt;volume&gt;15&lt;/volume&gt;&lt;doi&gt;10.1002/(SICI)1097-0061(199907)15:10B&amp;lt;963::AID-YEA399&amp;gt;3.0.CO;2-W&lt;/doi&gt;&lt;startpage&gt;963&lt;/startpage&gt;&lt;publication_date&gt;99199907001200000000220000&lt;/publication_date&gt;&lt;url&gt;http://eutils.ncbi.nlm.nih.gov/entrez/eutils/elink.fcgi?dbfrom=pubmed&amp;amp;id=10407276&amp;amp;retmode=ref&amp;amp;cmd=prlinks&lt;/url&gt;&lt;type&gt;400&lt;/type&gt;&lt;title&gt;Epitope tagging of yeast genes using a PCR-based strategy: more tags and improved practical routines.&lt;/title&gt;&lt;location&gt;200,5,55.9060143,-4.3218489&lt;/location&gt;&lt;institution&gt;The Beatson Institute for Cancer Research, CRC Beatson Laboratories, Garscube Estate, Switchback Road, Bearsden, Glasgow G61 1BD, U.K.&lt;/institution&gt;&lt;number&gt;10B&lt;/number&gt;&lt;subtype&gt;400&lt;/subtype&gt;&lt;endpage&gt;972&lt;/endpage&gt;&lt;bundle&gt;&lt;publication&gt;&lt;url&gt;http://onlinelibrary.wiley.com&lt;/url&gt;&lt;title&gt;Yeast (Chichester, England)&lt;/title&gt;&lt;type&gt;-100&lt;/type&gt;&lt;subtype&gt;-100&lt;/subtype&gt;&lt;uuid&gt;C0DB0E35-910B-4192-9A23-B00FD6F77A5C&lt;/uuid&gt;&lt;/publication&gt;&lt;/bundle&gt;&lt;authors&gt;&lt;author&gt;&lt;firstName&gt;M&lt;/firstName&gt;&lt;lastName&gt;Knop&lt;/lastName&gt;&lt;/author&gt;&lt;author&gt;&lt;firstName&gt;K&lt;/firstName&gt;&lt;lastName&gt;Siegers&lt;/lastName&gt;&lt;/author&gt;&lt;author&gt;&lt;firstName&gt;G&lt;/firstName&gt;&lt;lastName&gt;Pereira&lt;/lastName&gt;&lt;/author&gt;&lt;author&gt;&lt;firstName&gt;W&lt;/firstName&gt;&lt;lastName&gt;Zachariae&lt;/lastName&gt;&lt;/author&gt;&lt;author&gt;&lt;firstName&gt;B&lt;/firstName&gt;&lt;lastName&gt;Winsor&lt;/lastName&gt;&lt;/author&gt;&lt;author&gt;&lt;firstName&gt;K&lt;/firstName&gt;&lt;lastName&gt;Nasmyth&lt;/lastName&gt;&lt;/author&gt;&lt;author&gt;&lt;firstName&gt;E&lt;/firstName&gt;&lt;lastName&gt;Schiebel&lt;/lastName&gt;&lt;/author&gt;&lt;/authors&gt;&lt;/publication&gt;&lt;/publications&gt;&lt;cites&gt;&lt;/cites&gt;&lt;/citation&gt;</w:instrText>
      </w:r>
      <w:r>
        <w:rPr>
          <w:rFonts w:ascii="Arial" w:hAnsi="Arial"/>
          <w:sz w:val="20"/>
          <w:szCs w:val="20"/>
          <w:lang w:val="en-US"/>
        </w:rPr>
        <w:fldChar w:fldCharType="separate"/>
      </w:r>
      <w:r w:rsidRPr="00B95B14">
        <w:rPr>
          <w:rFonts w:ascii="Arial" w:hAnsi="Arial"/>
          <w:sz w:val="20"/>
          <w:szCs w:val="20"/>
          <w:lang w:eastAsia="de-DE"/>
        </w:rPr>
        <w:t>[11,13]</w:t>
      </w:r>
      <w:r>
        <w:rPr>
          <w:rFonts w:ascii="Arial" w:hAnsi="Arial"/>
          <w:sz w:val="20"/>
          <w:szCs w:val="20"/>
          <w:lang w:val="en-US"/>
        </w:rPr>
        <w:fldChar w:fldCharType="end"/>
      </w:r>
      <w:r>
        <w:rPr>
          <w:rFonts w:ascii="Arial" w:hAnsi="Arial"/>
          <w:sz w:val="20"/>
          <w:szCs w:val="20"/>
          <w:lang w:val="en-US"/>
        </w:rPr>
        <w:t>.</w:t>
      </w:r>
    </w:p>
    <w:p w:rsidR="009901F1" w:rsidRPr="003E37A0" w:rsidRDefault="009901F1" w:rsidP="009901F1">
      <w:pPr>
        <w:spacing w:line="480" w:lineRule="auto"/>
        <w:rPr>
          <w:rFonts w:ascii="Arial" w:hAnsi="Arial"/>
          <w:b/>
          <w:sz w:val="20"/>
          <w:szCs w:val="20"/>
          <w:lang w:val="en-US"/>
        </w:rPr>
      </w:pPr>
      <w:r w:rsidRPr="003E37A0">
        <w:rPr>
          <w:rFonts w:ascii="Arial" w:hAnsi="Arial"/>
          <w:b/>
          <w:sz w:val="20"/>
          <w:szCs w:val="20"/>
          <w:lang w:val="en-US"/>
        </w:rPr>
        <w:t xml:space="preserve">5. </w:t>
      </w:r>
      <w:r w:rsidRPr="003E37A0">
        <w:rPr>
          <w:rFonts w:ascii="Arial" w:hAnsi="Arial"/>
          <w:b/>
          <w:sz w:val="20"/>
          <w:szCs w:val="20"/>
          <w:lang w:val="en-US"/>
        </w:rPr>
        <w:tab/>
        <w:t>Yeast manipulations</w:t>
      </w:r>
    </w:p>
    <w:p w:rsidR="009901F1" w:rsidRDefault="009901F1" w:rsidP="009901F1">
      <w:pPr>
        <w:spacing w:line="480" w:lineRule="auto"/>
        <w:rPr>
          <w:rFonts w:ascii="Arial" w:hAnsi="Arial"/>
          <w:sz w:val="20"/>
          <w:szCs w:val="20"/>
          <w:lang w:val="en-US"/>
        </w:rPr>
      </w:pPr>
      <w:r>
        <w:rPr>
          <w:rFonts w:ascii="Arial" w:hAnsi="Arial"/>
          <w:sz w:val="20"/>
          <w:szCs w:val="20"/>
          <w:lang w:val="en-US"/>
        </w:rPr>
        <w:lastRenderedPageBreak/>
        <w:t xml:space="preserve">5 µl of the PCR product is used to directly transform competent yeast cells according to standard procedures </w:t>
      </w:r>
      <w:r>
        <w:rPr>
          <w:rFonts w:ascii="Arial" w:hAnsi="Arial"/>
          <w:sz w:val="20"/>
          <w:szCs w:val="20"/>
          <w:lang w:val="en-US"/>
        </w:rPr>
        <w:fldChar w:fldCharType="begin"/>
      </w:r>
      <w:r>
        <w:rPr>
          <w:rFonts w:ascii="Arial" w:hAnsi="Arial"/>
          <w:sz w:val="20"/>
          <w:szCs w:val="20"/>
          <w:lang w:val="en-US"/>
        </w:rPr>
        <w:instrText xml:space="preserve"> ADDIN PAPERS2_CITATIONS &lt;citation&gt;&lt;uuid&gt;1EC79F39-9257-4864-BAC5-6EF2AD43D600&lt;/uuid&gt;&lt;priority&gt;27&lt;/priority&gt;&lt;publications&gt;&lt;publication&gt;&lt;uuid&gt;B081AC5D-9306-422C-AC92-08BD2A81104E&lt;/uuid&gt;&lt;volume&gt;21&lt;/volume&gt;&lt;doi&gt;10.1002/yea.1142&lt;/doi&gt;&lt;startpage&gt;947&lt;/startpage&gt;&lt;publication_date&gt;99200408001200000000220000&lt;/publication_date&gt;&lt;url&gt;http://eutils.ncbi.nlm.nih.gov/entrez/eutils/elink.fcgi?dbfrom=pubmed&amp;amp;id=15334558&amp;amp;retmode=ref&amp;amp;cmd=prlinks&lt;/url&gt;&lt;type&gt;400&lt;/type&gt;&lt;title&gt;A versatile toolbox for PCR-based tagging of yeast genes: new fluorescent proteins, more markers and promoter substitution cassettes.&lt;/title&gt;&lt;location&gt;602,0,0,0&lt;/location&gt;&lt;institution&gt;CRBM, CNRS FRE2593, 1919 Route de Mende, F-34293 Montpellier cedex 5, France.&lt;/institution&gt;&lt;number&gt;11&lt;/number&gt;&lt;subtype&gt;400&lt;/subtype&gt;&lt;endpage&gt;962&lt;/endpage&gt;&lt;bundle&gt;&lt;publication&gt;&lt;url&gt;http://onlinelibrary.wiley.com&lt;/url&gt;&lt;title&gt;Yeast (Chichester, England)&lt;/title&gt;&lt;type&gt;-100&lt;/type&gt;&lt;subtype&gt;-100&lt;/subtype&gt;&lt;uuid&gt;C0DB0E35-910B-4192-9A23-B00FD6F77A5C&lt;/uuid&gt;&lt;/publication&gt;&lt;/bundle&gt;&lt;authors&gt;&lt;author&gt;&lt;firstName&gt;Carsten&lt;/firstName&gt;&lt;lastName&gt;Janke&lt;/lastName&gt;&lt;/author&gt;&lt;author&gt;&lt;firstName&gt;Maria&lt;/firstName&gt;&lt;middleNames&gt;M&lt;/middleNames&gt;&lt;lastName&gt;Magiera&lt;/lastName&gt;&lt;/author&gt;&lt;author&gt;&lt;firstName&gt;Nicole&lt;/firstName&gt;&lt;lastName&gt;Rathfelder&lt;/lastName&gt;&lt;/author&gt;&lt;author&gt;&lt;firstName&gt;Christof&lt;/firstName&gt;&lt;lastName&gt;Taxis&lt;/lastName&gt;&lt;/author&gt;&lt;author&gt;&lt;firstName&gt;Simone&lt;/firstName&gt;&lt;lastName&gt;Reber&lt;/lastName&gt;&lt;/author&gt;&lt;author&gt;&lt;firstName&gt;Hiromi&lt;/firstName&gt;&lt;lastName&gt;Maekawa&lt;/lastName&gt;&lt;/author&gt;&lt;author&gt;&lt;firstName&gt;Alexandra&lt;/firstName&gt;&lt;lastName&gt;Moreno-Borchart&lt;/lastName&gt;&lt;/author&gt;&lt;author&gt;&lt;firstName&gt;Georg&lt;/firstName&gt;&lt;lastName&gt;Doenges&lt;/lastName&gt;&lt;/author&gt;&lt;author&gt;&lt;firstName&gt;Etienne&lt;/firstName&gt;&lt;lastName&gt;Schwob&lt;/lastName&gt;&lt;/author&gt;&lt;author&gt;&lt;firstName&gt;Elmar&lt;/firstName&gt;&lt;lastName&gt;Schiebel&lt;/lastName&gt;&lt;/author&gt;&lt;author&gt;&lt;firstName&gt;Michael&lt;/firstName&gt;&lt;lastName&gt;Knop&lt;/lastName&gt;&lt;/author&gt;&lt;/authors&gt;&lt;/publication&gt;&lt;/publications&gt;&lt;cites&gt;&lt;/cites&gt;&lt;/citation&gt;</w:instrText>
      </w:r>
      <w:r>
        <w:rPr>
          <w:rFonts w:ascii="Arial" w:hAnsi="Arial"/>
          <w:sz w:val="20"/>
          <w:szCs w:val="20"/>
          <w:lang w:val="en-US"/>
        </w:rPr>
        <w:fldChar w:fldCharType="separate"/>
      </w:r>
      <w:r w:rsidRPr="00B95B14">
        <w:rPr>
          <w:rFonts w:ascii="Arial" w:hAnsi="Arial"/>
          <w:sz w:val="20"/>
          <w:szCs w:val="20"/>
          <w:lang w:eastAsia="de-DE"/>
        </w:rPr>
        <w:t>[13]</w:t>
      </w:r>
      <w:r>
        <w:rPr>
          <w:rFonts w:ascii="Arial" w:hAnsi="Arial"/>
          <w:sz w:val="20"/>
          <w:szCs w:val="20"/>
          <w:lang w:val="en-US"/>
        </w:rPr>
        <w:fldChar w:fldCharType="end"/>
      </w:r>
      <w:r>
        <w:rPr>
          <w:rFonts w:ascii="Arial" w:hAnsi="Arial"/>
          <w:sz w:val="20"/>
          <w:szCs w:val="20"/>
          <w:lang w:val="en-US"/>
        </w:rPr>
        <w:t>. Wait for colonies to appear and streak them again to single colonies.</w:t>
      </w:r>
    </w:p>
    <w:p w:rsidR="009901F1" w:rsidRPr="003E37A0" w:rsidRDefault="009901F1" w:rsidP="009901F1">
      <w:pPr>
        <w:spacing w:line="480" w:lineRule="auto"/>
        <w:rPr>
          <w:rFonts w:ascii="Arial" w:hAnsi="Arial"/>
          <w:b/>
          <w:sz w:val="20"/>
          <w:szCs w:val="20"/>
          <w:lang w:val="en-US"/>
        </w:rPr>
      </w:pPr>
      <w:r w:rsidRPr="003E37A0">
        <w:rPr>
          <w:rFonts w:ascii="Arial" w:hAnsi="Arial"/>
          <w:b/>
          <w:sz w:val="20"/>
          <w:szCs w:val="20"/>
          <w:lang w:val="en-US"/>
        </w:rPr>
        <w:t>6.</w:t>
      </w:r>
      <w:r w:rsidRPr="003E37A0">
        <w:rPr>
          <w:rFonts w:ascii="Arial" w:hAnsi="Arial"/>
          <w:b/>
          <w:sz w:val="20"/>
          <w:szCs w:val="20"/>
          <w:lang w:val="en-US"/>
        </w:rPr>
        <w:tab/>
        <w:t xml:space="preserve">Validation of strains </w:t>
      </w:r>
    </w:p>
    <w:p w:rsidR="009B1B52" w:rsidRPr="009901F1" w:rsidRDefault="009901F1" w:rsidP="009901F1">
      <w:pPr>
        <w:spacing w:line="480" w:lineRule="auto"/>
        <w:rPr>
          <w:rFonts w:ascii="Arial" w:hAnsi="Arial"/>
          <w:sz w:val="20"/>
          <w:szCs w:val="20"/>
          <w:lang w:val="en-US"/>
        </w:rPr>
      </w:pPr>
      <w:r>
        <w:rPr>
          <w:rFonts w:ascii="Arial" w:hAnsi="Arial"/>
          <w:sz w:val="20"/>
          <w:szCs w:val="20"/>
          <w:lang w:val="en-US"/>
        </w:rPr>
        <w:t xml:space="preserve">Genotype the resulting strains to ensure the correctness of the gene duplication by running a chromosomal PCR on the 2 newly generated junctions and the untransformed strain as a negative control (for an example </w:t>
      </w:r>
      <w:r w:rsidRPr="00DA68C6">
        <w:rPr>
          <w:rFonts w:ascii="Arial" w:hAnsi="Arial"/>
          <w:sz w:val="20"/>
          <w:szCs w:val="20"/>
          <w:lang w:val="en-US"/>
        </w:rPr>
        <w:t>see Figure S1). Keep</w:t>
      </w:r>
      <w:r>
        <w:rPr>
          <w:rFonts w:ascii="Arial" w:hAnsi="Arial"/>
          <w:sz w:val="20"/>
          <w:szCs w:val="20"/>
          <w:lang w:val="en-US"/>
        </w:rPr>
        <w:t xml:space="preserve"> in mind that the orientation of the marker and an optional tag inserted between the duplicated sequences will follow the PCR product starting from duplication primer A. Moreover, consider that it is possible that multiple copies are integrated into the genome, albeit with low frequency (see also main text).</w:t>
      </w:r>
    </w:p>
    <w:sectPr w:rsidR="009B1B52" w:rsidRPr="009901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1F1"/>
    <w:rsid w:val="00734889"/>
    <w:rsid w:val="009901F1"/>
    <w:rsid w:val="009B1B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FB017-7B42-4A6F-879E-6BD21963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1F1"/>
    <w:pPr>
      <w:spacing w:after="200" w:line="276" w:lineRule="auto"/>
    </w:pPr>
    <w:rPr>
      <w:rFonts w:ascii="Calibri" w:eastAsia="SimSun" w:hAnsi="Calibri" w:cs="Arial"/>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2315</Words>
  <Characters>13201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Huber</dc:creator>
  <cp:keywords/>
  <dc:description/>
  <cp:lastModifiedBy>Florian Huber</cp:lastModifiedBy>
  <cp:revision>2</cp:revision>
  <dcterms:created xsi:type="dcterms:W3CDTF">2014-11-20T10:22:00Z</dcterms:created>
  <dcterms:modified xsi:type="dcterms:W3CDTF">2014-11-20T10:32:00Z</dcterms:modified>
</cp:coreProperties>
</file>