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F7550" w14:textId="5D7110AC" w:rsidR="005840D2" w:rsidRPr="00AF39A3" w:rsidRDefault="005F18A5" w:rsidP="00832038">
      <w:pPr>
        <w:spacing w:line="360" w:lineRule="auto"/>
        <w:jc w:val="both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t xml:space="preserve"> </w:t>
      </w:r>
      <w:r w:rsidR="005840D2" w:rsidRPr="00AF39A3">
        <w:rPr>
          <w:b/>
          <w:sz w:val="28"/>
          <w:szCs w:val="28"/>
          <w:lang w:val="en-US"/>
        </w:rPr>
        <w:t xml:space="preserve">Supplemental </w:t>
      </w:r>
      <w:r w:rsidR="00AF39A3">
        <w:rPr>
          <w:b/>
          <w:sz w:val="28"/>
          <w:szCs w:val="28"/>
          <w:lang w:val="en-US"/>
        </w:rPr>
        <w:t>M</w:t>
      </w:r>
      <w:r w:rsidR="005840D2" w:rsidRPr="00AF39A3">
        <w:rPr>
          <w:b/>
          <w:sz w:val="28"/>
          <w:szCs w:val="28"/>
          <w:lang w:val="en-US"/>
        </w:rPr>
        <w:t>aterial</w:t>
      </w:r>
    </w:p>
    <w:p w14:paraId="0DEC6DB5" w14:textId="796C6C13" w:rsidR="00D611E2" w:rsidRPr="00AF39A3" w:rsidRDefault="00D611E2" w:rsidP="00832038">
      <w:pPr>
        <w:spacing w:line="360" w:lineRule="auto"/>
        <w:jc w:val="both"/>
        <w:rPr>
          <w:b/>
          <w:lang w:val="en-US"/>
        </w:rPr>
      </w:pPr>
    </w:p>
    <w:p w14:paraId="4F7AFABB" w14:textId="77777777" w:rsidR="008877A5" w:rsidRPr="00AF39A3" w:rsidRDefault="008877A5" w:rsidP="00832038">
      <w:pPr>
        <w:spacing w:line="360" w:lineRule="auto"/>
        <w:jc w:val="both"/>
        <w:rPr>
          <w:b/>
          <w:lang w:val="en-US"/>
        </w:rPr>
      </w:pPr>
    </w:p>
    <w:p w14:paraId="74F86E8F" w14:textId="4862D6ED" w:rsidR="00AF39A3" w:rsidRDefault="00AF39A3" w:rsidP="003D6D06">
      <w:pPr>
        <w:spacing w:line="360" w:lineRule="auto"/>
        <w:jc w:val="both"/>
        <w:rPr>
          <w:b/>
          <w:sz w:val="24"/>
          <w:szCs w:val="24"/>
          <w:lang w:val="en-US"/>
        </w:rPr>
      </w:pPr>
      <w:r w:rsidRPr="00FA69EB">
        <w:rPr>
          <w:b/>
          <w:iCs/>
          <w:sz w:val="24"/>
          <w:szCs w:val="24"/>
          <w:lang w:val="en-US"/>
        </w:rPr>
        <w:t>Genotype</w:t>
      </w:r>
      <w:r w:rsidRPr="00FA69EB">
        <w:rPr>
          <w:b/>
          <w:sz w:val="24"/>
          <w:szCs w:val="24"/>
          <w:lang w:val="en-US"/>
        </w:rPr>
        <w:t xml:space="preserve"> and intensive pre-treatment influence outcome of acute myeloid leukemia patients treated with venetoclax in combination with hypomethylating agents or low-dose cytarabine: </w:t>
      </w:r>
      <w:r>
        <w:rPr>
          <w:b/>
          <w:sz w:val="24"/>
          <w:szCs w:val="24"/>
          <w:lang w:val="en-US"/>
        </w:rPr>
        <w:t>“</w:t>
      </w:r>
      <w:r w:rsidRPr="00A65D87">
        <w:rPr>
          <w:b/>
          <w:sz w:val="24"/>
          <w:szCs w:val="24"/>
          <w:lang w:val="en-US"/>
        </w:rPr>
        <w:t>Real world</w:t>
      </w:r>
      <w:r>
        <w:rPr>
          <w:b/>
          <w:sz w:val="24"/>
          <w:szCs w:val="24"/>
          <w:lang w:val="en-US"/>
        </w:rPr>
        <w:t>”</w:t>
      </w:r>
      <w:r w:rsidRPr="00A65D87">
        <w:rPr>
          <w:b/>
          <w:sz w:val="24"/>
          <w:szCs w:val="24"/>
          <w:lang w:val="en-US"/>
        </w:rPr>
        <w:t xml:space="preserve"> data from Germany</w:t>
      </w:r>
    </w:p>
    <w:p w14:paraId="12DC0CBB" w14:textId="77777777" w:rsidR="008662F7" w:rsidRPr="00AF39A3" w:rsidRDefault="008662F7" w:rsidP="003D6D06">
      <w:pPr>
        <w:spacing w:line="360" w:lineRule="auto"/>
        <w:jc w:val="both"/>
        <w:rPr>
          <w:b/>
          <w:sz w:val="24"/>
          <w:szCs w:val="24"/>
          <w:lang w:val="en-US"/>
        </w:rPr>
      </w:pPr>
    </w:p>
    <w:p w14:paraId="79B66AAB" w14:textId="1FFF9B64" w:rsidR="00AF39A3" w:rsidRPr="00AF39A3" w:rsidRDefault="00AF39A3" w:rsidP="003D6D06">
      <w:pPr>
        <w:spacing w:line="360" w:lineRule="auto"/>
        <w:jc w:val="both"/>
        <w:rPr>
          <w:rFonts w:eastAsia="Times New Roman"/>
          <w:sz w:val="20"/>
          <w:szCs w:val="20"/>
          <w:lang w:val="en-US" w:eastAsia="en-US"/>
        </w:rPr>
      </w:pPr>
      <w:r w:rsidRPr="00AF39A3">
        <w:rPr>
          <w:rFonts w:eastAsia="Times New Roman"/>
          <w:iCs/>
          <w:sz w:val="20"/>
          <w:szCs w:val="20"/>
          <w:shd w:val="clear" w:color="auto" w:fill="FFFFFF"/>
          <w:lang w:val="en-US" w:eastAsia="en-US"/>
        </w:rPr>
        <w:t>Krischan Braitsch</w:t>
      </w:r>
      <w:r w:rsidRPr="00AF39A3">
        <w:rPr>
          <w:rFonts w:eastAsia="Times New Roman"/>
          <w:iCs/>
          <w:sz w:val="20"/>
          <w:szCs w:val="20"/>
          <w:bdr w:val="none" w:sz="0" w:space="0" w:color="auto" w:frame="1"/>
          <w:vertAlign w:val="superscript"/>
          <w:lang w:val="en-US" w:eastAsia="en-US"/>
        </w:rPr>
        <w:t>1,*</w:t>
      </w:r>
      <w:r w:rsidRPr="00AF39A3">
        <w:rPr>
          <w:rFonts w:eastAsia="Times New Roman"/>
          <w:iCs/>
          <w:sz w:val="20"/>
          <w:szCs w:val="20"/>
          <w:shd w:val="clear" w:color="auto" w:fill="FFFFFF"/>
          <w:lang w:val="en-US" w:eastAsia="en-US"/>
        </w:rPr>
        <w:t xml:space="preserve">, </w:t>
      </w:r>
      <w:r w:rsidRPr="00AF39A3">
        <w:rPr>
          <w:rFonts w:eastAsia="Times New Roman"/>
          <w:iCs/>
          <w:sz w:val="20"/>
          <w:szCs w:val="20"/>
          <w:bdr w:val="none" w:sz="0" w:space="0" w:color="auto" w:frame="1"/>
          <w:lang w:val="en-US" w:eastAsia="en-US"/>
        </w:rPr>
        <w:t>Laura K. Schmalbrock</w:t>
      </w:r>
      <w:r w:rsidRPr="00AF39A3">
        <w:rPr>
          <w:rFonts w:eastAsia="Times New Roman"/>
          <w:iCs/>
          <w:sz w:val="20"/>
          <w:szCs w:val="20"/>
          <w:bdr w:val="none" w:sz="0" w:space="0" w:color="auto" w:frame="1"/>
          <w:vertAlign w:val="superscript"/>
          <w:lang w:val="en-US" w:eastAsia="en-US"/>
        </w:rPr>
        <w:t>2,3,*</w:t>
      </w:r>
      <w:r w:rsidRPr="00AF39A3">
        <w:rPr>
          <w:rFonts w:eastAsia="Times New Roman"/>
          <w:iCs/>
          <w:sz w:val="20"/>
          <w:szCs w:val="20"/>
          <w:shd w:val="clear" w:color="auto" w:fill="FFFFFF"/>
          <w:lang w:val="en-US" w:eastAsia="en-US"/>
        </w:rPr>
        <w:t>, Paul Jung</w:t>
      </w:r>
      <w:r w:rsidRPr="00AF39A3">
        <w:rPr>
          <w:rFonts w:eastAsia="Times New Roman"/>
          <w:iCs/>
          <w:sz w:val="20"/>
          <w:szCs w:val="20"/>
          <w:bdr w:val="none" w:sz="0" w:space="0" w:color="auto" w:frame="1"/>
          <w:vertAlign w:val="superscript"/>
          <w:lang w:val="en-US" w:eastAsia="en-US"/>
        </w:rPr>
        <w:t>2</w:t>
      </w:r>
      <w:r w:rsidRPr="00AF39A3">
        <w:rPr>
          <w:rFonts w:eastAsia="Times New Roman"/>
          <w:iCs/>
          <w:sz w:val="20"/>
          <w:szCs w:val="20"/>
          <w:shd w:val="clear" w:color="auto" w:fill="FFFFFF"/>
          <w:lang w:val="en-US" w:eastAsia="en-US"/>
        </w:rPr>
        <w:t>, Irmgard Bumeder</w:t>
      </w:r>
      <w:r w:rsidRPr="00AF39A3">
        <w:rPr>
          <w:rFonts w:eastAsia="Times New Roman"/>
          <w:iCs/>
          <w:sz w:val="20"/>
          <w:szCs w:val="20"/>
          <w:bdr w:val="none" w:sz="0" w:space="0" w:color="auto" w:frame="1"/>
          <w:vertAlign w:val="superscript"/>
          <w:lang w:val="en-US" w:eastAsia="en-US"/>
        </w:rPr>
        <w:t>4</w:t>
      </w:r>
      <w:r w:rsidRPr="00AF39A3">
        <w:rPr>
          <w:rFonts w:eastAsia="Times New Roman"/>
          <w:iCs/>
          <w:sz w:val="20"/>
          <w:szCs w:val="20"/>
          <w:shd w:val="clear" w:color="auto" w:fill="FFFFFF"/>
          <w:lang w:val="en-US" w:eastAsia="en-US"/>
        </w:rPr>
        <w:t>, Philipp Kiewe</w:t>
      </w:r>
      <w:r w:rsidRPr="00AF39A3">
        <w:rPr>
          <w:rFonts w:eastAsia="Times New Roman"/>
          <w:iCs/>
          <w:sz w:val="20"/>
          <w:szCs w:val="20"/>
          <w:bdr w:val="none" w:sz="0" w:space="0" w:color="auto" w:frame="1"/>
          <w:vertAlign w:val="superscript"/>
          <w:lang w:val="en-US" w:eastAsia="en-US"/>
        </w:rPr>
        <w:t>5</w:t>
      </w:r>
      <w:r w:rsidRPr="00AF39A3">
        <w:rPr>
          <w:rFonts w:eastAsia="Times New Roman"/>
          <w:iCs/>
          <w:sz w:val="20"/>
          <w:szCs w:val="20"/>
          <w:shd w:val="clear" w:color="auto" w:fill="FFFFFF"/>
          <w:lang w:val="en-US" w:eastAsia="en-US"/>
        </w:rPr>
        <w:t>, Judith S. Hecker</w:t>
      </w:r>
      <w:r w:rsidRPr="00AF39A3">
        <w:rPr>
          <w:rFonts w:eastAsia="Times New Roman"/>
          <w:iCs/>
          <w:sz w:val="20"/>
          <w:szCs w:val="20"/>
          <w:shd w:val="clear" w:color="auto" w:fill="FFFFFF"/>
          <w:vertAlign w:val="superscript"/>
          <w:lang w:val="en-US" w:eastAsia="en-US"/>
        </w:rPr>
        <w:t>1</w:t>
      </w:r>
      <w:r w:rsidRPr="00AF39A3">
        <w:rPr>
          <w:rFonts w:eastAsia="Times New Roman"/>
          <w:iCs/>
          <w:sz w:val="20"/>
          <w:szCs w:val="20"/>
          <w:shd w:val="clear" w:color="auto" w:fill="FFFFFF"/>
          <w:lang w:val="en-US" w:eastAsia="en-US"/>
        </w:rPr>
        <w:t>, Mareike Verbeek</w:t>
      </w:r>
      <w:r w:rsidRPr="00AF39A3">
        <w:rPr>
          <w:rFonts w:eastAsia="Times New Roman"/>
          <w:iCs/>
          <w:sz w:val="20"/>
          <w:szCs w:val="20"/>
          <w:shd w:val="clear" w:color="auto" w:fill="FFFFFF"/>
          <w:vertAlign w:val="superscript"/>
          <w:lang w:val="en-US" w:eastAsia="en-US"/>
        </w:rPr>
        <w:t>1</w:t>
      </w:r>
      <w:r w:rsidRPr="00AF39A3">
        <w:rPr>
          <w:rFonts w:eastAsia="Times New Roman"/>
          <w:iCs/>
          <w:sz w:val="20"/>
          <w:szCs w:val="20"/>
          <w:shd w:val="clear" w:color="auto" w:fill="FFFFFF"/>
          <w:lang w:val="en-US" w:eastAsia="en-US"/>
        </w:rPr>
        <w:t>, Jörg Westermann</w:t>
      </w:r>
      <w:r w:rsidRPr="00AF39A3">
        <w:rPr>
          <w:rFonts w:eastAsia="Times New Roman"/>
          <w:iCs/>
          <w:sz w:val="20"/>
          <w:szCs w:val="20"/>
          <w:bdr w:val="none" w:sz="0" w:space="0" w:color="auto" w:frame="1"/>
          <w:vertAlign w:val="superscript"/>
          <w:lang w:val="en-US" w:eastAsia="en-US"/>
        </w:rPr>
        <w:t>6</w:t>
      </w:r>
      <w:r w:rsidRPr="00AF39A3">
        <w:rPr>
          <w:rFonts w:eastAsia="Times New Roman"/>
          <w:iCs/>
          <w:sz w:val="20"/>
          <w:szCs w:val="20"/>
          <w:shd w:val="clear" w:color="auto" w:fill="FFFFFF"/>
          <w:lang w:val="en-US" w:eastAsia="en-US"/>
        </w:rPr>
        <w:t>, Lars Bullinger</w:t>
      </w:r>
      <w:r w:rsidRPr="00AF39A3">
        <w:rPr>
          <w:rFonts w:eastAsia="Times New Roman"/>
          <w:iCs/>
          <w:sz w:val="20"/>
          <w:szCs w:val="20"/>
          <w:bdr w:val="none" w:sz="0" w:space="0" w:color="auto" w:frame="1"/>
          <w:vertAlign w:val="superscript"/>
          <w:lang w:val="en-US" w:eastAsia="en-US"/>
        </w:rPr>
        <w:t>3,6,7</w:t>
      </w:r>
      <w:r w:rsidRPr="00AF39A3">
        <w:rPr>
          <w:rFonts w:eastAsia="Times New Roman"/>
          <w:iCs/>
          <w:sz w:val="20"/>
          <w:szCs w:val="20"/>
          <w:shd w:val="clear" w:color="auto" w:fill="FFFFFF"/>
          <w:lang w:val="en-US" w:eastAsia="en-US"/>
        </w:rPr>
        <w:t>, Ulrich Keller</w:t>
      </w:r>
      <w:r w:rsidRPr="00AF39A3">
        <w:rPr>
          <w:rFonts w:eastAsia="Times New Roman"/>
          <w:iCs/>
          <w:sz w:val="20"/>
          <w:szCs w:val="20"/>
          <w:bdr w:val="none" w:sz="0" w:space="0" w:color="auto" w:frame="1"/>
          <w:vertAlign w:val="superscript"/>
          <w:lang w:val="en-US" w:eastAsia="en-US"/>
        </w:rPr>
        <w:t>2,7</w:t>
      </w:r>
      <w:r w:rsidRPr="00AF39A3">
        <w:rPr>
          <w:rFonts w:eastAsia="Times New Roman"/>
          <w:iCs/>
          <w:sz w:val="20"/>
          <w:szCs w:val="20"/>
          <w:shd w:val="clear" w:color="auto" w:fill="FFFFFF"/>
          <w:lang w:val="en-US" w:eastAsia="en-US"/>
        </w:rPr>
        <w:t>, Florian Bassermann</w:t>
      </w:r>
      <w:r w:rsidRPr="00AF39A3">
        <w:rPr>
          <w:rFonts w:eastAsia="Times New Roman"/>
          <w:iCs/>
          <w:sz w:val="20"/>
          <w:szCs w:val="20"/>
          <w:bdr w:val="none" w:sz="0" w:space="0" w:color="auto" w:frame="1"/>
          <w:vertAlign w:val="superscript"/>
          <w:lang w:val="en-US" w:eastAsia="en-US"/>
        </w:rPr>
        <w:t>1</w:t>
      </w:r>
      <w:r w:rsidR="00794B48">
        <w:rPr>
          <w:rFonts w:eastAsia="Times New Roman"/>
          <w:iCs/>
          <w:sz w:val="20"/>
          <w:szCs w:val="20"/>
          <w:bdr w:val="none" w:sz="0" w:space="0" w:color="auto" w:frame="1"/>
          <w:vertAlign w:val="superscript"/>
          <w:lang w:val="en-US" w:eastAsia="en-US"/>
        </w:rPr>
        <w:t>,7</w:t>
      </w:r>
      <w:r w:rsidRPr="00AF39A3">
        <w:rPr>
          <w:rFonts w:eastAsia="Times New Roman"/>
          <w:iCs/>
          <w:sz w:val="20"/>
          <w:szCs w:val="20"/>
          <w:shd w:val="clear" w:color="auto" w:fill="FFFFFF"/>
          <w:lang w:val="en-US" w:eastAsia="en-US"/>
        </w:rPr>
        <w:t>, Jan Krönke</w:t>
      </w:r>
      <w:r w:rsidRPr="00AF39A3">
        <w:rPr>
          <w:rFonts w:eastAsia="Times New Roman"/>
          <w:iCs/>
          <w:sz w:val="20"/>
          <w:szCs w:val="20"/>
          <w:bdr w:val="none" w:sz="0" w:space="0" w:color="auto" w:frame="1"/>
          <w:vertAlign w:val="superscript"/>
          <w:lang w:val="en-US" w:eastAsia="en-US"/>
        </w:rPr>
        <w:t>2</w:t>
      </w:r>
      <w:r w:rsidRPr="00AF39A3">
        <w:rPr>
          <w:rFonts w:eastAsia="Times New Roman"/>
          <w:iCs/>
          <w:sz w:val="20"/>
          <w:szCs w:val="20"/>
          <w:shd w:val="clear" w:color="auto" w:fill="FFFFFF"/>
          <w:lang w:val="en-US" w:eastAsia="en-US"/>
        </w:rPr>
        <w:t>, Katharina S. Götze</w:t>
      </w:r>
      <w:r w:rsidRPr="00AF39A3">
        <w:rPr>
          <w:rFonts w:eastAsia="Times New Roman"/>
          <w:iCs/>
          <w:sz w:val="20"/>
          <w:szCs w:val="20"/>
          <w:bdr w:val="none" w:sz="0" w:space="0" w:color="auto" w:frame="1"/>
          <w:vertAlign w:val="superscript"/>
          <w:lang w:val="en-US" w:eastAsia="en-US"/>
        </w:rPr>
        <w:t>1,</w:t>
      </w:r>
      <w:r w:rsidR="00794B48">
        <w:rPr>
          <w:rFonts w:eastAsia="Times New Roman"/>
          <w:iCs/>
          <w:sz w:val="20"/>
          <w:szCs w:val="20"/>
          <w:bdr w:val="none" w:sz="0" w:space="0" w:color="auto" w:frame="1"/>
          <w:vertAlign w:val="superscript"/>
          <w:lang w:val="en-US" w:eastAsia="en-US"/>
        </w:rPr>
        <w:t>7</w:t>
      </w:r>
      <w:r w:rsidRPr="00AF39A3">
        <w:rPr>
          <w:rFonts w:eastAsia="Times New Roman"/>
          <w:iCs/>
          <w:sz w:val="20"/>
          <w:szCs w:val="20"/>
          <w:bdr w:val="none" w:sz="0" w:space="0" w:color="auto" w:frame="1"/>
          <w:vertAlign w:val="superscript"/>
          <w:lang w:val="en-US" w:eastAsia="en-US"/>
        </w:rPr>
        <w:t>*</w:t>
      </w:r>
      <w:r w:rsidRPr="00AF39A3">
        <w:rPr>
          <w:rFonts w:eastAsia="Times New Roman"/>
          <w:iCs/>
          <w:sz w:val="20"/>
          <w:szCs w:val="20"/>
          <w:bdr w:val="none" w:sz="0" w:space="0" w:color="auto" w:frame="1"/>
          <w:lang w:val="en-US" w:eastAsia="en-US"/>
        </w:rPr>
        <w:t xml:space="preserve"> </w:t>
      </w:r>
      <w:r w:rsidRPr="00AF39A3">
        <w:rPr>
          <w:rFonts w:eastAsia="Times New Roman"/>
          <w:iCs/>
          <w:sz w:val="20"/>
          <w:szCs w:val="20"/>
          <w:shd w:val="clear" w:color="auto" w:fill="FFFFFF"/>
          <w:lang w:val="en-US" w:eastAsia="en-US"/>
        </w:rPr>
        <w:t>and Kathrin Rieger</w:t>
      </w:r>
      <w:r w:rsidRPr="00AF39A3">
        <w:rPr>
          <w:rFonts w:eastAsia="Times New Roman"/>
          <w:iCs/>
          <w:sz w:val="20"/>
          <w:szCs w:val="20"/>
          <w:bdr w:val="none" w:sz="0" w:space="0" w:color="auto" w:frame="1"/>
          <w:vertAlign w:val="superscript"/>
          <w:lang w:val="en-US" w:eastAsia="en-US"/>
        </w:rPr>
        <w:t>2,*</w:t>
      </w:r>
      <w:r w:rsidRPr="00AF39A3">
        <w:rPr>
          <w:rFonts w:eastAsia="Times New Roman"/>
          <w:iCs/>
          <w:sz w:val="20"/>
          <w:szCs w:val="20"/>
          <w:shd w:val="clear" w:color="auto" w:fill="FFFFFF"/>
          <w:lang w:val="en-US" w:eastAsia="en-US"/>
        </w:rPr>
        <w:t> </w:t>
      </w:r>
    </w:p>
    <w:p w14:paraId="0406B6CE" w14:textId="1EE1121D" w:rsidR="00AF39A3" w:rsidRDefault="00AF39A3" w:rsidP="003D6D06">
      <w:pPr>
        <w:spacing w:line="360" w:lineRule="auto"/>
        <w:jc w:val="both"/>
        <w:rPr>
          <w:sz w:val="20"/>
          <w:szCs w:val="20"/>
          <w:lang w:val="en-US"/>
        </w:rPr>
      </w:pPr>
      <w:r w:rsidRPr="00AF39A3">
        <w:rPr>
          <w:sz w:val="20"/>
          <w:szCs w:val="20"/>
          <w:lang w:val="en-US"/>
        </w:rPr>
        <w:t>* equal contribution</w:t>
      </w:r>
    </w:p>
    <w:p w14:paraId="3B80B482" w14:textId="77777777" w:rsidR="008662F7" w:rsidRPr="00AF39A3" w:rsidRDefault="008662F7" w:rsidP="003D6D06">
      <w:pPr>
        <w:spacing w:line="360" w:lineRule="auto"/>
        <w:jc w:val="both"/>
        <w:rPr>
          <w:sz w:val="20"/>
          <w:szCs w:val="20"/>
          <w:lang w:val="en-US"/>
        </w:rPr>
      </w:pPr>
    </w:p>
    <w:p w14:paraId="109F9DA8" w14:textId="77777777" w:rsidR="00AF39A3" w:rsidRPr="00AF39A3" w:rsidRDefault="00AF39A3" w:rsidP="003D6D06">
      <w:pPr>
        <w:spacing w:line="360" w:lineRule="auto"/>
        <w:jc w:val="both"/>
        <w:rPr>
          <w:sz w:val="18"/>
          <w:szCs w:val="18"/>
          <w:lang w:val="en-US"/>
        </w:rPr>
      </w:pPr>
      <w:r w:rsidRPr="00AF39A3">
        <w:rPr>
          <w:sz w:val="18"/>
          <w:szCs w:val="18"/>
          <w:vertAlign w:val="superscript"/>
          <w:lang w:val="en-US"/>
        </w:rPr>
        <w:t>1</w:t>
      </w:r>
      <w:r w:rsidRPr="00AF39A3">
        <w:rPr>
          <w:sz w:val="18"/>
          <w:szCs w:val="18"/>
          <w:lang w:val="en-US"/>
        </w:rPr>
        <w:t>Department of Medicine III, Technical University Munich, Klinikum Rechts der Isar, Munich, Germany</w:t>
      </w:r>
    </w:p>
    <w:p w14:paraId="566FFEEF" w14:textId="77777777" w:rsidR="00AF39A3" w:rsidRPr="00AF39A3" w:rsidRDefault="00AF39A3" w:rsidP="003D6D06">
      <w:pPr>
        <w:spacing w:line="360" w:lineRule="auto"/>
        <w:jc w:val="both"/>
        <w:rPr>
          <w:sz w:val="18"/>
          <w:szCs w:val="18"/>
          <w:lang w:val="en-US"/>
        </w:rPr>
      </w:pPr>
      <w:r w:rsidRPr="00AF39A3">
        <w:rPr>
          <w:sz w:val="18"/>
          <w:szCs w:val="18"/>
          <w:vertAlign w:val="superscript"/>
          <w:lang w:val="en-US"/>
        </w:rPr>
        <w:t>2</w:t>
      </w:r>
      <w:r w:rsidRPr="00AF39A3">
        <w:rPr>
          <w:sz w:val="18"/>
          <w:szCs w:val="18"/>
          <w:lang w:val="en-US"/>
        </w:rPr>
        <w:t>Department of Hematology, Oncology and Cancer Immunology, Campus Benjamin Franklin, Charité – Universitätsmedizin Berlin, corporate member of Freie Universität Berlin and Humboldt-Universität zu Berlin, Berlin, Germany</w:t>
      </w:r>
    </w:p>
    <w:p w14:paraId="21940CEA" w14:textId="77777777" w:rsidR="00AF39A3" w:rsidRPr="00AF39A3" w:rsidRDefault="00AF39A3" w:rsidP="003D6D06">
      <w:pPr>
        <w:spacing w:line="360" w:lineRule="auto"/>
        <w:jc w:val="both"/>
        <w:rPr>
          <w:sz w:val="18"/>
          <w:szCs w:val="18"/>
          <w:lang w:val="de-DE"/>
        </w:rPr>
      </w:pPr>
      <w:r w:rsidRPr="00AF39A3">
        <w:rPr>
          <w:sz w:val="18"/>
          <w:szCs w:val="18"/>
          <w:vertAlign w:val="superscript"/>
          <w:lang w:val="de-DE"/>
        </w:rPr>
        <w:t>3</w:t>
      </w:r>
      <w:r w:rsidRPr="00AF39A3">
        <w:rPr>
          <w:sz w:val="18"/>
          <w:szCs w:val="18"/>
          <w:lang w:val="de-DE"/>
        </w:rPr>
        <w:t>Berlin Institute of Health at Charité – Universitätsmedizin Berlin, Berlin, Germany</w:t>
      </w:r>
    </w:p>
    <w:p w14:paraId="47C02AAC" w14:textId="77777777" w:rsidR="00AF39A3" w:rsidRPr="00AF39A3" w:rsidRDefault="00AF39A3" w:rsidP="003D6D06">
      <w:pPr>
        <w:spacing w:line="360" w:lineRule="auto"/>
        <w:jc w:val="both"/>
        <w:rPr>
          <w:sz w:val="18"/>
          <w:szCs w:val="18"/>
          <w:lang w:val="de-DE"/>
        </w:rPr>
      </w:pPr>
      <w:r w:rsidRPr="00AF39A3">
        <w:rPr>
          <w:sz w:val="18"/>
          <w:szCs w:val="18"/>
          <w:vertAlign w:val="superscript"/>
          <w:lang w:val="de-DE"/>
        </w:rPr>
        <w:t>4</w:t>
      </w:r>
      <w:r w:rsidRPr="00AF39A3">
        <w:rPr>
          <w:sz w:val="18"/>
          <w:szCs w:val="18"/>
          <w:lang w:val="de-DE"/>
        </w:rPr>
        <w:t>Praxis und Tagesklinik für Hämatologie und internistische Onkologie, Munich, Germany</w:t>
      </w:r>
    </w:p>
    <w:p w14:paraId="3231F522" w14:textId="77777777" w:rsidR="00AF39A3" w:rsidRPr="00AF39A3" w:rsidRDefault="00AF39A3" w:rsidP="003D6D06">
      <w:pPr>
        <w:spacing w:line="360" w:lineRule="auto"/>
        <w:jc w:val="both"/>
        <w:rPr>
          <w:sz w:val="18"/>
          <w:szCs w:val="18"/>
          <w:lang w:val="de-DE"/>
        </w:rPr>
      </w:pPr>
      <w:r w:rsidRPr="00AF39A3">
        <w:rPr>
          <w:sz w:val="18"/>
          <w:szCs w:val="18"/>
          <w:vertAlign w:val="superscript"/>
          <w:lang w:val="de-DE"/>
        </w:rPr>
        <w:t>5</w:t>
      </w:r>
      <w:r w:rsidRPr="00AF39A3">
        <w:rPr>
          <w:sz w:val="18"/>
          <w:szCs w:val="18"/>
          <w:lang w:val="de-DE"/>
        </w:rPr>
        <w:t>Onkologischer Schwerpunkt am Oskar-Helene-Heim, Berlin, Germany</w:t>
      </w:r>
    </w:p>
    <w:p w14:paraId="4195DB5D" w14:textId="77777777" w:rsidR="00AF39A3" w:rsidRPr="00AF39A3" w:rsidRDefault="00AF39A3" w:rsidP="003D6D06">
      <w:pPr>
        <w:spacing w:line="360" w:lineRule="auto"/>
        <w:jc w:val="both"/>
        <w:rPr>
          <w:sz w:val="18"/>
          <w:szCs w:val="18"/>
          <w:lang w:val="en-US"/>
        </w:rPr>
      </w:pPr>
      <w:r w:rsidRPr="00AF39A3">
        <w:rPr>
          <w:sz w:val="18"/>
          <w:szCs w:val="18"/>
          <w:vertAlign w:val="superscript"/>
          <w:lang w:val="en-US"/>
        </w:rPr>
        <w:t>6</w:t>
      </w:r>
      <w:r w:rsidRPr="00AF39A3">
        <w:rPr>
          <w:sz w:val="18"/>
          <w:szCs w:val="18"/>
          <w:lang w:val="en-US"/>
        </w:rPr>
        <w:t>Department of Hematology, Oncology and Tumor Immunology, Campus Virchow Clinic, Charité – Universitätsmedizin Berlin, corporate member of Freie Universität Berlin and Humboldt-Universität zu Berlin, Berlin, Germany</w:t>
      </w:r>
    </w:p>
    <w:p w14:paraId="2D0D599A" w14:textId="79A5FC75" w:rsidR="00AF39A3" w:rsidRDefault="00AF39A3" w:rsidP="003D6D06">
      <w:pPr>
        <w:spacing w:line="360" w:lineRule="auto"/>
        <w:jc w:val="both"/>
        <w:rPr>
          <w:sz w:val="18"/>
          <w:szCs w:val="18"/>
          <w:lang w:val="en-US"/>
        </w:rPr>
      </w:pPr>
      <w:r w:rsidRPr="00AF39A3">
        <w:rPr>
          <w:sz w:val="18"/>
          <w:szCs w:val="18"/>
          <w:vertAlign w:val="superscript"/>
          <w:lang w:val="en-US"/>
        </w:rPr>
        <w:t>7</w:t>
      </w:r>
      <w:r w:rsidRPr="00AF39A3">
        <w:rPr>
          <w:sz w:val="18"/>
          <w:szCs w:val="18"/>
          <w:lang w:val="en-US"/>
        </w:rPr>
        <w:t>German Cancer Consortium (DKTK), partner site</w:t>
      </w:r>
      <w:r w:rsidR="00794B48">
        <w:rPr>
          <w:sz w:val="18"/>
          <w:szCs w:val="18"/>
          <w:lang w:val="en-US"/>
        </w:rPr>
        <w:t>s</w:t>
      </w:r>
      <w:r w:rsidRPr="00AF39A3">
        <w:rPr>
          <w:sz w:val="18"/>
          <w:szCs w:val="18"/>
          <w:lang w:val="en-US"/>
        </w:rPr>
        <w:t xml:space="preserve"> Berlin</w:t>
      </w:r>
      <w:r w:rsidR="00794B48">
        <w:rPr>
          <w:sz w:val="18"/>
          <w:szCs w:val="18"/>
          <w:lang w:val="en-US"/>
        </w:rPr>
        <w:t>/Munich</w:t>
      </w:r>
      <w:r w:rsidRPr="00AF39A3">
        <w:rPr>
          <w:sz w:val="18"/>
          <w:szCs w:val="18"/>
          <w:lang w:val="en-US"/>
        </w:rPr>
        <w:t xml:space="preserve"> and German Cancer Research Center (DKFZ), Heidelberg, Germany</w:t>
      </w:r>
    </w:p>
    <w:p w14:paraId="20C27D6D" w14:textId="60527179" w:rsidR="005B784E" w:rsidRDefault="005B784E" w:rsidP="003D6D06">
      <w:pPr>
        <w:spacing w:line="360" w:lineRule="auto"/>
        <w:jc w:val="both"/>
        <w:rPr>
          <w:sz w:val="18"/>
          <w:szCs w:val="18"/>
          <w:lang w:val="en-US"/>
        </w:rPr>
      </w:pPr>
    </w:p>
    <w:p w14:paraId="55D8159C" w14:textId="5DC1D5AA" w:rsidR="005B784E" w:rsidRDefault="005B784E" w:rsidP="003D6D06">
      <w:pPr>
        <w:spacing w:line="360" w:lineRule="auto"/>
        <w:jc w:val="both"/>
        <w:rPr>
          <w:sz w:val="18"/>
          <w:szCs w:val="18"/>
          <w:lang w:val="en-US"/>
        </w:rPr>
      </w:pPr>
    </w:p>
    <w:p w14:paraId="70C75E21" w14:textId="77777777" w:rsidR="008662F7" w:rsidRPr="00AF39A3" w:rsidRDefault="008662F7" w:rsidP="003D6D06">
      <w:pPr>
        <w:spacing w:line="360" w:lineRule="auto"/>
        <w:jc w:val="both"/>
        <w:rPr>
          <w:b/>
          <w:lang w:val="en-US"/>
        </w:rPr>
      </w:pPr>
    </w:p>
    <w:p w14:paraId="4163546E" w14:textId="4C33BE7B" w:rsidR="008877A5" w:rsidRDefault="00EE56FB" w:rsidP="00EE56FB">
      <w:pPr>
        <w:spacing w:after="120" w:line="360" w:lineRule="auto"/>
        <w:jc w:val="both"/>
        <w:rPr>
          <w:b/>
          <w:sz w:val="24"/>
          <w:szCs w:val="24"/>
          <w:lang w:val="en-US"/>
        </w:rPr>
      </w:pPr>
      <w:r w:rsidRPr="00AF39A3">
        <w:rPr>
          <w:b/>
          <w:sz w:val="24"/>
          <w:szCs w:val="24"/>
          <w:lang w:val="en-US"/>
        </w:rPr>
        <w:t xml:space="preserve">Supplemental </w:t>
      </w:r>
      <w:r w:rsidR="00AF39A3" w:rsidRPr="00AF39A3">
        <w:rPr>
          <w:b/>
          <w:sz w:val="24"/>
          <w:szCs w:val="24"/>
          <w:lang w:val="en-US"/>
        </w:rPr>
        <w:t>M</w:t>
      </w:r>
      <w:r w:rsidRPr="00AF39A3">
        <w:rPr>
          <w:b/>
          <w:sz w:val="24"/>
          <w:szCs w:val="24"/>
          <w:lang w:val="en-US"/>
        </w:rPr>
        <w:t>ethods</w:t>
      </w:r>
    </w:p>
    <w:p w14:paraId="781F429B" w14:textId="77777777" w:rsidR="005B784E" w:rsidRPr="00AF39A3" w:rsidRDefault="005B784E" w:rsidP="00EE56FB">
      <w:pPr>
        <w:spacing w:after="120" w:line="360" w:lineRule="auto"/>
        <w:jc w:val="both"/>
        <w:rPr>
          <w:b/>
          <w:sz w:val="24"/>
          <w:szCs w:val="24"/>
          <w:lang w:val="en-US"/>
        </w:rPr>
      </w:pPr>
    </w:p>
    <w:p w14:paraId="67B62A8B" w14:textId="77777777" w:rsidR="00044C97" w:rsidRPr="00AF39A3" w:rsidRDefault="00044C97">
      <w:pPr>
        <w:spacing w:line="480" w:lineRule="auto"/>
        <w:jc w:val="both"/>
        <w:rPr>
          <w:u w:val="single"/>
          <w:lang w:val="en-US"/>
        </w:rPr>
      </w:pPr>
      <w:r w:rsidRPr="00AF39A3">
        <w:rPr>
          <w:u w:val="single"/>
          <w:lang w:val="en-US"/>
        </w:rPr>
        <w:t>Patient population</w:t>
      </w:r>
      <w:r w:rsidR="00573195" w:rsidRPr="00AF39A3">
        <w:rPr>
          <w:u w:val="single"/>
          <w:lang w:val="en-US"/>
        </w:rPr>
        <w:t xml:space="preserve"> and data collection</w:t>
      </w:r>
    </w:p>
    <w:p w14:paraId="39B9A7D1" w14:textId="0A304646" w:rsidR="005257B3" w:rsidRPr="00AF39A3" w:rsidRDefault="005840D2" w:rsidP="00EE56FB">
      <w:pPr>
        <w:spacing w:line="480" w:lineRule="auto"/>
        <w:ind w:firstLine="720"/>
        <w:jc w:val="both"/>
        <w:rPr>
          <w:i/>
          <w:lang w:val="en-US"/>
        </w:rPr>
      </w:pPr>
      <w:r w:rsidRPr="00AF39A3">
        <w:rPr>
          <w:lang w:val="en-US"/>
        </w:rPr>
        <w:t>We reviewed m</w:t>
      </w:r>
      <w:r w:rsidR="00B01FA6" w:rsidRPr="00AF39A3">
        <w:rPr>
          <w:lang w:val="en-US"/>
        </w:rPr>
        <w:t>edical</w:t>
      </w:r>
      <w:r w:rsidR="00771338" w:rsidRPr="00AF39A3">
        <w:rPr>
          <w:lang w:val="en-US"/>
        </w:rPr>
        <w:t xml:space="preserve"> charts </w:t>
      </w:r>
      <w:r w:rsidR="00044C97" w:rsidRPr="00AF39A3">
        <w:rPr>
          <w:lang w:val="en-US"/>
        </w:rPr>
        <w:t>of</w:t>
      </w:r>
      <w:r w:rsidR="00771338" w:rsidRPr="00AF39A3">
        <w:rPr>
          <w:lang w:val="en-US"/>
        </w:rPr>
        <w:t xml:space="preserve"> AML </w:t>
      </w:r>
      <w:r w:rsidR="00044C97" w:rsidRPr="00AF39A3">
        <w:rPr>
          <w:lang w:val="en-US"/>
        </w:rPr>
        <w:t xml:space="preserve">patients treated </w:t>
      </w:r>
      <w:r w:rsidR="00534A1C" w:rsidRPr="00AF39A3">
        <w:rPr>
          <w:lang w:val="en-US"/>
        </w:rPr>
        <w:t xml:space="preserve">between 2017 and 2021 </w:t>
      </w:r>
      <w:r w:rsidR="00044C97" w:rsidRPr="00AF39A3">
        <w:rPr>
          <w:lang w:val="en-US"/>
        </w:rPr>
        <w:t xml:space="preserve">at two university hospital sites and two large outpatient clinics in Berlin and Munich (Germany) and </w:t>
      </w:r>
      <w:r w:rsidRPr="00AF39A3">
        <w:rPr>
          <w:lang w:val="en-US"/>
        </w:rPr>
        <w:t>identified n=</w:t>
      </w:r>
      <w:r w:rsidR="00044C97" w:rsidRPr="00AF39A3">
        <w:rPr>
          <w:lang w:val="en-US"/>
        </w:rPr>
        <w:t xml:space="preserve">73 patients who had received at least one </w:t>
      </w:r>
      <w:r w:rsidRPr="00AF39A3">
        <w:rPr>
          <w:lang w:val="en-US"/>
        </w:rPr>
        <w:t>venetoclax (</w:t>
      </w:r>
      <w:r w:rsidR="00044C97" w:rsidRPr="00AF39A3">
        <w:rPr>
          <w:lang w:val="en-US"/>
        </w:rPr>
        <w:t>VEN</w:t>
      </w:r>
      <w:r w:rsidRPr="00AF39A3">
        <w:rPr>
          <w:lang w:val="en-US"/>
        </w:rPr>
        <w:t>)</w:t>
      </w:r>
      <w:r w:rsidR="00044C97" w:rsidRPr="00AF39A3">
        <w:rPr>
          <w:lang w:val="en-US"/>
        </w:rPr>
        <w:t xml:space="preserve"> dose</w:t>
      </w:r>
      <w:r w:rsidR="00573195" w:rsidRPr="00AF39A3">
        <w:rPr>
          <w:lang w:val="en-US"/>
        </w:rPr>
        <w:t xml:space="preserve"> in combination with </w:t>
      </w:r>
      <w:r w:rsidRPr="00AF39A3">
        <w:rPr>
          <w:lang w:val="en-US"/>
        </w:rPr>
        <w:t>hypomethylating agents (</w:t>
      </w:r>
      <w:r w:rsidR="00573195" w:rsidRPr="00AF39A3">
        <w:rPr>
          <w:lang w:val="en-US"/>
        </w:rPr>
        <w:t>HMA</w:t>
      </w:r>
      <w:r w:rsidRPr="00AF39A3">
        <w:rPr>
          <w:lang w:val="en-US"/>
        </w:rPr>
        <w:t>)</w:t>
      </w:r>
      <w:r w:rsidR="00573195" w:rsidRPr="00AF39A3">
        <w:rPr>
          <w:lang w:val="en-US"/>
        </w:rPr>
        <w:t xml:space="preserve"> or </w:t>
      </w:r>
      <w:r w:rsidRPr="00AF39A3">
        <w:rPr>
          <w:lang w:val="en-US"/>
        </w:rPr>
        <w:t>low-dose cytarabine (</w:t>
      </w:r>
      <w:r w:rsidR="00573195" w:rsidRPr="00AF39A3">
        <w:rPr>
          <w:lang w:val="en-US"/>
        </w:rPr>
        <w:t>LDAC</w:t>
      </w:r>
      <w:r w:rsidRPr="00AF39A3">
        <w:rPr>
          <w:lang w:val="en-US"/>
        </w:rPr>
        <w:t>)</w:t>
      </w:r>
      <w:r w:rsidR="00573195" w:rsidRPr="00AF39A3">
        <w:rPr>
          <w:lang w:val="en-US"/>
        </w:rPr>
        <w:t xml:space="preserve">. VEN </w:t>
      </w:r>
      <w:r w:rsidR="00044C97" w:rsidRPr="00AF39A3">
        <w:rPr>
          <w:lang w:val="en-US"/>
        </w:rPr>
        <w:t>was administered “off-label” in all cases</w:t>
      </w:r>
      <w:r w:rsidRPr="00AF39A3">
        <w:rPr>
          <w:lang w:val="en-US"/>
        </w:rPr>
        <w:t xml:space="preserve"> due to </w:t>
      </w:r>
      <w:r w:rsidR="00881D5D" w:rsidRPr="00AF39A3">
        <w:rPr>
          <w:lang w:val="en-US"/>
        </w:rPr>
        <w:t xml:space="preserve">pending EMA </w:t>
      </w:r>
      <w:r w:rsidRPr="00AF39A3">
        <w:rPr>
          <w:lang w:val="en-US"/>
        </w:rPr>
        <w:t>approval status</w:t>
      </w:r>
      <w:r w:rsidR="00044C97" w:rsidRPr="00AF39A3">
        <w:rPr>
          <w:lang w:val="en-US"/>
        </w:rPr>
        <w:t xml:space="preserve">. Baseline </w:t>
      </w:r>
      <w:r w:rsidRPr="00AF39A3">
        <w:rPr>
          <w:lang w:val="en-US"/>
        </w:rPr>
        <w:t xml:space="preserve">clinical </w:t>
      </w:r>
      <w:r w:rsidR="00044C97" w:rsidRPr="00AF39A3">
        <w:rPr>
          <w:lang w:val="en-US"/>
        </w:rPr>
        <w:t xml:space="preserve">characteristics, previous treatment lines, courses of </w:t>
      </w:r>
      <w:r w:rsidRPr="00AF39A3">
        <w:rPr>
          <w:lang w:val="en-US"/>
        </w:rPr>
        <w:t xml:space="preserve">VEN </w:t>
      </w:r>
      <w:r w:rsidR="00044C97" w:rsidRPr="00AF39A3">
        <w:rPr>
          <w:lang w:val="en-US"/>
        </w:rPr>
        <w:t>treatment as well as outcome data w</w:t>
      </w:r>
      <w:r w:rsidR="00A65D87" w:rsidRPr="00AF39A3">
        <w:rPr>
          <w:lang w:val="en-US"/>
        </w:rPr>
        <w:t xml:space="preserve">ere </w:t>
      </w:r>
      <w:r w:rsidR="00044C97" w:rsidRPr="00AF39A3">
        <w:rPr>
          <w:lang w:val="en-US"/>
        </w:rPr>
        <w:t xml:space="preserve">extracted </w:t>
      </w:r>
      <w:r w:rsidR="00044C97" w:rsidRPr="00AF39A3">
        <w:rPr>
          <w:lang w:val="en-US"/>
        </w:rPr>
        <w:lastRenderedPageBreak/>
        <w:t>from medical charts and nursing records.</w:t>
      </w:r>
      <w:r w:rsidR="005257B3" w:rsidRPr="00AF39A3">
        <w:rPr>
          <w:lang w:val="en-US"/>
        </w:rPr>
        <w:t xml:space="preserve"> </w:t>
      </w:r>
      <w:r w:rsidR="00564E58" w:rsidRPr="00AF39A3">
        <w:rPr>
          <w:lang w:val="en-US"/>
        </w:rPr>
        <w:t xml:space="preserve">Cytogenetics and molecular markers </w:t>
      </w:r>
      <w:r w:rsidR="00881D5D" w:rsidRPr="00AF39A3">
        <w:rPr>
          <w:lang w:val="en-US"/>
        </w:rPr>
        <w:t xml:space="preserve">at the time of diagnosis </w:t>
      </w:r>
      <w:r w:rsidR="00564E58" w:rsidRPr="00AF39A3">
        <w:rPr>
          <w:lang w:val="en-US"/>
        </w:rPr>
        <w:t xml:space="preserve">were </w:t>
      </w:r>
      <w:r w:rsidR="00881D5D" w:rsidRPr="00AF39A3">
        <w:rPr>
          <w:lang w:val="en-US"/>
        </w:rPr>
        <w:t>analyzed</w:t>
      </w:r>
      <w:r w:rsidR="005257B3" w:rsidRPr="00AF39A3">
        <w:rPr>
          <w:lang w:val="en-US"/>
        </w:rPr>
        <w:t xml:space="preserve"> in local labs according to standard of practice</w:t>
      </w:r>
      <w:r w:rsidR="00881D5D" w:rsidRPr="00AF39A3">
        <w:rPr>
          <w:lang w:val="en-US"/>
        </w:rPr>
        <w:t>.</w:t>
      </w:r>
      <w:r w:rsidR="005257B3" w:rsidRPr="00AF39A3">
        <w:rPr>
          <w:lang w:val="en-US"/>
        </w:rPr>
        <w:t xml:space="preserve"> </w:t>
      </w:r>
      <w:r w:rsidR="00564E58" w:rsidRPr="00AF39A3">
        <w:rPr>
          <w:lang w:val="en-US"/>
        </w:rPr>
        <w:t xml:space="preserve">Information on cytogenetics, </w:t>
      </w:r>
      <w:r w:rsidR="00564E58" w:rsidRPr="00AF39A3">
        <w:rPr>
          <w:i/>
          <w:lang w:val="en-US"/>
        </w:rPr>
        <w:t>NPM1</w:t>
      </w:r>
      <w:r w:rsidR="00564E58" w:rsidRPr="00AF39A3">
        <w:rPr>
          <w:lang w:val="en-US"/>
        </w:rPr>
        <w:t xml:space="preserve"> mutations and </w:t>
      </w:r>
      <w:r w:rsidR="00564E58" w:rsidRPr="00AF39A3">
        <w:rPr>
          <w:i/>
          <w:lang w:val="en-US"/>
        </w:rPr>
        <w:t>FLT3</w:t>
      </w:r>
      <w:r w:rsidR="00564E58" w:rsidRPr="00AF39A3">
        <w:rPr>
          <w:lang w:val="en-US"/>
        </w:rPr>
        <w:t xml:space="preserve">-ITD status </w:t>
      </w:r>
      <w:r w:rsidR="005257B3" w:rsidRPr="00AF39A3">
        <w:rPr>
          <w:lang w:val="en-US"/>
        </w:rPr>
        <w:t>was</w:t>
      </w:r>
      <w:r w:rsidR="00564E58" w:rsidRPr="00AF39A3">
        <w:rPr>
          <w:lang w:val="en-US"/>
        </w:rPr>
        <w:t xml:space="preserve"> available for n=6</w:t>
      </w:r>
      <w:r w:rsidR="007E2C00" w:rsidRPr="00AF39A3">
        <w:rPr>
          <w:lang w:val="en-US"/>
        </w:rPr>
        <w:t>6 and n=65</w:t>
      </w:r>
      <w:r w:rsidR="00564E58" w:rsidRPr="00AF39A3">
        <w:rPr>
          <w:lang w:val="en-US"/>
        </w:rPr>
        <w:t xml:space="preserve"> patients</w:t>
      </w:r>
      <w:r w:rsidR="007E2C00" w:rsidRPr="00AF39A3">
        <w:rPr>
          <w:lang w:val="en-US"/>
        </w:rPr>
        <w:t>, respectively</w:t>
      </w:r>
      <w:r w:rsidR="00881D5D" w:rsidRPr="00AF39A3">
        <w:rPr>
          <w:lang w:val="en-US"/>
        </w:rPr>
        <w:t>, based on which patients were classified according to ELN2017 risk groups</w:t>
      </w:r>
      <w:r w:rsidR="00D611E2" w:rsidRPr="00AF39A3">
        <w:rPr>
          <w:vertAlign w:val="superscript"/>
          <w:lang w:val="en-US"/>
        </w:rPr>
        <w:t>1</w:t>
      </w:r>
      <w:r w:rsidR="00881D5D" w:rsidRPr="00AF39A3">
        <w:rPr>
          <w:lang w:val="en-US"/>
        </w:rPr>
        <w:t xml:space="preserve">. </w:t>
      </w:r>
      <w:r w:rsidR="00564E58" w:rsidRPr="00AF39A3">
        <w:rPr>
          <w:lang w:val="en-US"/>
        </w:rPr>
        <w:t xml:space="preserve">We further included </w:t>
      </w:r>
      <w:r w:rsidR="00564E58" w:rsidRPr="00AF39A3">
        <w:rPr>
          <w:i/>
          <w:lang w:val="en-US"/>
        </w:rPr>
        <w:t xml:space="preserve">IDH1/2 </w:t>
      </w:r>
      <w:r w:rsidR="00564E58" w:rsidRPr="00AF39A3">
        <w:rPr>
          <w:lang w:val="en-US"/>
        </w:rPr>
        <w:t>mutational status in our analysis, which was available for n=5</w:t>
      </w:r>
      <w:r w:rsidR="007E2C00" w:rsidRPr="00AF39A3">
        <w:rPr>
          <w:lang w:val="en-US"/>
        </w:rPr>
        <w:t>7</w:t>
      </w:r>
      <w:r w:rsidR="00564E58" w:rsidRPr="00AF39A3">
        <w:rPr>
          <w:lang w:val="en-US"/>
        </w:rPr>
        <w:t xml:space="preserve"> patients.</w:t>
      </w:r>
      <w:r w:rsidR="00117CE1">
        <w:rPr>
          <w:lang w:val="en-US"/>
        </w:rPr>
        <w:t xml:space="preserve"> </w:t>
      </w:r>
      <w:r w:rsidR="00337FB6" w:rsidRPr="00AF39A3">
        <w:rPr>
          <w:lang w:val="en-US"/>
        </w:rPr>
        <w:t xml:space="preserve">All patients gave written informed consent to analysis of their records for scientific purposes. Data analysis was granted within the </w:t>
      </w:r>
      <w:r w:rsidR="00E85ADB" w:rsidRPr="00AF39A3">
        <w:rPr>
          <w:lang w:val="en-US"/>
        </w:rPr>
        <w:t xml:space="preserve">ethical </w:t>
      </w:r>
      <w:r w:rsidR="00337FB6" w:rsidRPr="00AF39A3">
        <w:rPr>
          <w:lang w:val="en-US"/>
        </w:rPr>
        <w:t>votes TUM 538/16S and</w:t>
      </w:r>
      <w:r w:rsidR="004A7E5D" w:rsidRPr="00AF39A3">
        <w:rPr>
          <w:lang w:val="en-US"/>
        </w:rPr>
        <w:t xml:space="preserve"> EA1/152/10</w:t>
      </w:r>
      <w:r w:rsidR="00337FB6" w:rsidRPr="00AF39A3">
        <w:rPr>
          <w:lang w:val="en-US"/>
        </w:rPr>
        <w:t xml:space="preserve">. </w:t>
      </w:r>
    </w:p>
    <w:p w14:paraId="5051D7C2" w14:textId="77777777" w:rsidR="00EE56FB" w:rsidRPr="00AF39A3" w:rsidRDefault="00EE56FB" w:rsidP="00EE56FB">
      <w:pPr>
        <w:spacing w:line="480" w:lineRule="auto"/>
        <w:ind w:firstLine="720"/>
        <w:jc w:val="both"/>
        <w:rPr>
          <w:i/>
          <w:lang w:val="en-US"/>
        </w:rPr>
      </w:pPr>
    </w:p>
    <w:p w14:paraId="2267CFCC" w14:textId="77777777" w:rsidR="00B15B49" w:rsidRPr="00AF39A3" w:rsidRDefault="00564E58">
      <w:pPr>
        <w:spacing w:line="480" w:lineRule="auto"/>
        <w:jc w:val="both"/>
        <w:rPr>
          <w:lang w:val="en-US"/>
        </w:rPr>
      </w:pPr>
      <w:r w:rsidRPr="00AF39A3">
        <w:rPr>
          <w:u w:val="single"/>
          <w:lang w:val="en-US"/>
        </w:rPr>
        <w:t>Definition of previous treatment lines</w:t>
      </w:r>
    </w:p>
    <w:p w14:paraId="039B9AE8" w14:textId="0CC1DD40" w:rsidR="00B15B49" w:rsidRPr="00AF39A3" w:rsidRDefault="001352D6">
      <w:pPr>
        <w:spacing w:line="480" w:lineRule="auto"/>
        <w:ind w:firstLine="720"/>
        <w:jc w:val="both"/>
        <w:rPr>
          <w:lang w:val="en-US"/>
        </w:rPr>
      </w:pPr>
      <w:r w:rsidRPr="00AF39A3">
        <w:rPr>
          <w:lang w:val="en-US"/>
        </w:rPr>
        <w:t xml:space="preserve">Due to the </w:t>
      </w:r>
      <w:r w:rsidR="00564E58" w:rsidRPr="00AF39A3">
        <w:rPr>
          <w:lang w:val="en-US"/>
        </w:rPr>
        <w:t>heterogeneity of pre-treatment</w:t>
      </w:r>
      <w:r w:rsidR="00F11BD9" w:rsidRPr="00AF39A3">
        <w:rPr>
          <w:lang w:val="en-US"/>
        </w:rPr>
        <w:t xml:space="preserve"> regimens</w:t>
      </w:r>
      <w:r w:rsidR="00564E58" w:rsidRPr="00AF39A3">
        <w:rPr>
          <w:lang w:val="en-US"/>
        </w:rPr>
        <w:t xml:space="preserve">, we defined </w:t>
      </w:r>
      <w:r w:rsidR="00784F8E" w:rsidRPr="00AF39A3">
        <w:rPr>
          <w:lang w:val="en-US"/>
        </w:rPr>
        <w:t xml:space="preserve">the following </w:t>
      </w:r>
      <w:r w:rsidR="00496287" w:rsidRPr="00AF39A3">
        <w:rPr>
          <w:lang w:val="en-US"/>
        </w:rPr>
        <w:t xml:space="preserve">treatment </w:t>
      </w:r>
      <w:r w:rsidR="00564E58" w:rsidRPr="00AF39A3">
        <w:rPr>
          <w:lang w:val="en-US"/>
        </w:rPr>
        <w:t>groups</w:t>
      </w:r>
      <w:r w:rsidR="00784F8E" w:rsidRPr="00AF39A3">
        <w:rPr>
          <w:lang w:val="en-US"/>
        </w:rPr>
        <w:t>:</w:t>
      </w:r>
      <w:r w:rsidR="00564E58" w:rsidRPr="00AF39A3">
        <w:rPr>
          <w:lang w:val="en-US"/>
        </w:rPr>
        <w:t xml:space="preserve"> Intensive chemotherapy including allogeneic stem-cell transplantation</w:t>
      </w:r>
      <w:r w:rsidR="00496287" w:rsidRPr="00AF39A3">
        <w:rPr>
          <w:lang w:val="en-US"/>
        </w:rPr>
        <w:t xml:space="preserve"> (allo-HSCT)</w:t>
      </w:r>
      <w:r w:rsidR="00564E58" w:rsidRPr="00AF39A3">
        <w:rPr>
          <w:lang w:val="en-US"/>
        </w:rPr>
        <w:t xml:space="preserve"> in first remission was considered as one treatment line; any salvage treatment due to </w:t>
      </w:r>
      <w:r w:rsidR="00496287" w:rsidRPr="00AF39A3">
        <w:rPr>
          <w:lang w:val="en-US"/>
        </w:rPr>
        <w:t>relapsed/refractory (</w:t>
      </w:r>
      <w:r w:rsidR="00564E58" w:rsidRPr="00AF39A3">
        <w:rPr>
          <w:lang w:val="en-US"/>
        </w:rPr>
        <w:t>r/r</w:t>
      </w:r>
      <w:r w:rsidR="00496287" w:rsidRPr="00AF39A3">
        <w:rPr>
          <w:lang w:val="en-US"/>
        </w:rPr>
        <w:t>)</w:t>
      </w:r>
      <w:r w:rsidR="00564E58" w:rsidRPr="00AF39A3">
        <w:rPr>
          <w:lang w:val="en-US"/>
        </w:rPr>
        <w:t xml:space="preserve"> disease defined an independent treatment line. HMA or LDAC treatment was considered </w:t>
      </w:r>
      <w:r w:rsidR="00496287" w:rsidRPr="00AF39A3">
        <w:rPr>
          <w:lang w:val="en-US"/>
        </w:rPr>
        <w:t xml:space="preserve">as </w:t>
      </w:r>
      <w:r w:rsidR="00564E58" w:rsidRPr="00AF39A3">
        <w:rPr>
          <w:lang w:val="en-US"/>
        </w:rPr>
        <w:t>an independent treatment line if &gt;4 cycles were given</w:t>
      </w:r>
      <w:r w:rsidR="00F11BD9" w:rsidRPr="00AF39A3">
        <w:rPr>
          <w:lang w:val="en-US"/>
        </w:rPr>
        <w:t xml:space="preserve"> before </w:t>
      </w:r>
      <w:r w:rsidR="00496287" w:rsidRPr="00AF39A3">
        <w:rPr>
          <w:lang w:val="en-US"/>
        </w:rPr>
        <w:t xml:space="preserve">the </w:t>
      </w:r>
      <w:r w:rsidR="00F11BD9" w:rsidRPr="00AF39A3">
        <w:rPr>
          <w:lang w:val="en-US"/>
        </w:rPr>
        <w:t xml:space="preserve">addition of </w:t>
      </w:r>
      <w:r w:rsidR="00185AA6" w:rsidRPr="00AF39A3">
        <w:rPr>
          <w:lang w:val="en-US"/>
        </w:rPr>
        <w:t>VE</w:t>
      </w:r>
      <w:r w:rsidR="00496287" w:rsidRPr="00AF39A3">
        <w:rPr>
          <w:lang w:val="en-US"/>
        </w:rPr>
        <w:t>N</w:t>
      </w:r>
      <w:r w:rsidR="00564E58" w:rsidRPr="00AF39A3">
        <w:rPr>
          <w:lang w:val="en-US"/>
        </w:rPr>
        <w:t xml:space="preserve">. With respect to the </w:t>
      </w:r>
      <w:r w:rsidR="00534A1C" w:rsidRPr="00AF39A3">
        <w:rPr>
          <w:lang w:val="en-US"/>
        </w:rPr>
        <w:t>heterogeneous</w:t>
      </w:r>
      <w:r w:rsidR="00564E58" w:rsidRPr="00AF39A3">
        <w:rPr>
          <w:lang w:val="en-US"/>
        </w:rPr>
        <w:t xml:space="preserve"> time-points of VEN initiation, we distinguished whether VEN was started at day 1, during cycle 1, after cycle 1 or after &gt;2 HMA/LDAC cycles due to disease progression.</w:t>
      </w:r>
      <w:r w:rsidR="00E77FD5" w:rsidRPr="00AF39A3">
        <w:rPr>
          <w:lang w:val="en-US"/>
        </w:rPr>
        <w:t xml:space="preserve"> If VEN was delayed due to health insurance approval, patients with</w:t>
      </w:r>
      <w:r w:rsidR="00A6103F" w:rsidRPr="00AF39A3">
        <w:rPr>
          <w:lang w:val="en-US"/>
        </w:rPr>
        <w:t xml:space="preserve"> up to 2 </w:t>
      </w:r>
      <w:r w:rsidR="0008088F">
        <w:rPr>
          <w:lang w:val="en-US"/>
        </w:rPr>
        <w:t>cycles</w:t>
      </w:r>
      <w:r w:rsidR="00E77FD5" w:rsidRPr="00AF39A3">
        <w:rPr>
          <w:lang w:val="en-US"/>
        </w:rPr>
        <w:t xml:space="preserve"> of previous HMA exposure and no signs of </w:t>
      </w:r>
      <w:r w:rsidR="00A6103F" w:rsidRPr="00AF39A3">
        <w:rPr>
          <w:lang w:val="en-US"/>
        </w:rPr>
        <w:t xml:space="preserve">disease </w:t>
      </w:r>
      <w:r w:rsidR="00E77FD5" w:rsidRPr="00AF39A3">
        <w:rPr>
          <w:lang w:val="en-US"/>
        </w:rPr>
        <w:t>progression were c</w:t>
      </w:r>
      <w:r w:rsidR="00E85ADB" w:rsidRPr="00AF39A3">
        <w:rPr>
          <w:lang w:val="en-US"/>
        </w:rPr>
        <w:t xml:space="preserve">onsidered </w:t>
      </w:r>
      <w:r w:rsidR="00E77FD5" w:rsidRPr="00AF39A3">
        <w:rPr>
          <w:lang w:val="en-US"/>
        </w:rPr>
        <w:t>as treated in first line.</w:t>
      </w:r>
    </w:p>
    <w:p w14:paraId="039268F0" w14:textId="77777777" w:rsidR="00B15B49" w:rsidRPr="00AF39A3" w:rsidRDefault="00B15B49">
      <w:pPr>
        <w:spacing w:line="480" w:lineRule="auto"/>
        <w:jc w:val="both"/>
        <w:rPr>
          <w:lang w:val="en-US"/>
        </w:rPr>
      </w:pPr>
    </w:p>
    <w:p w14:paraId="22D06A93" w14:textId="77777777" w:rsidR="00B15B49" w:rsidRPr="00AF39A3" w:rsidRDefault="00564E58">
      <w:pPr>
        <w:spacing w:line="480" w:lineRule="auto"/>
        <w:jc w:val="both"/>
        <w:rPr>
          <w:u w:val="single"/>
          <w:lang w:val="en-US"/>
        </w:rPr>
      </w:pPr>
      <w:r w:rsidRPr="00AF39A3">
        <w:rPr>
          <w:u w:val="single"/>
          <w:lang w:val="en-US"/>
        </w:rPr>
        <w:t>Venetoclax administration</w:t>
      </w:r>
    </w:p>
    <w:p w14:paraId="30954366" w14:textId="77777777" w:rsidR="00B15B49" w:rsidRPr="00AF39A3" w:rsidRDefault="00671B2E">
      <w:pPr>
        <w:spacing w:line="480" w:lineRule="auto"/>
        <w:jc w:val="both"/>
        <w:rPr>
          <w:lang w:val="en-US"/>
        </w:rPr>
      </w:pPr>
      <w:r w:rsidRPr="00AF39A3">
        <w:rPr>
          <w:lang w:val="en-US"/>
        </w:rPr>
        <w:tab/>
      </w:r>
      <w:r w:rsidR="00564E58" w:rsidRPr="00AF39A3">
        <w:rPr>
          <w:lang w:val="en-US"/>
        </w:rPr>
        <w:t xml:space="preserve">Patients were hospitalized at cycle 1 for daily dose escalation of oral VEN up to a </w:t>
      </w:r>
      <w:r w:rsidR="00C167D0" w:rsidRPr="00AF39A3">
        <w:rPr>
          <w:lang w:val="en-US"/>
        </w:rPr>
        <w:t>standard</w:t>
      </w:r>
      <w:r w:rsidR="00564E58" w:rsidRPr="00AF39A3">
        <w:rPr>
          <w:lang w:val="en-US"/>
        </w:rPr>
        <w:t xml:space="preserve"> dose of </w:t>
      </w:r>
      <w:r w:rsidR="00C167D0" w:rsidRPr="00AF39A3">
        <w:rPr>
          <w:lang w:val="en-US"/>
        </w:rPr>
        <w:t>4</w:t>
      </w:r>
      <w:r w:rsidR="00564E58" w:rsidRPr="00AF39A3">
        <w:rPr>
          <w:lang w:val="en-US"/>
        </w:rPr>
        <w:t>00</w:t>
      </w:r>
      <w:r w:rsidR="001352D6" w:rsidRPr="00AF39A3">
        <w:rPr>
          <w:lang w:val="en-US"/>
        </w:rPr>
        <w:t xml:space="preserve"> </w:t>
      </w:r>
      <w:r w:rsidR="00564E58" w:rsidRPr="00AF39A3">
        <w:rPr>
          <w:lang w:val="en-US"/>
        </w:rPr>
        <w:t xml:space="preserve">mg VEN per day. Azacitidine 75 mg/m² was administered subcutaneously from day 1 to </w:t>
      </w:r>
      <w:r w:rsidR="005A44C1" w:rsidRPr="00AF39A3">
        <w:rPr>
          <w:lang w:val="en-US"/>
        </w:rPr>
        <w:t>day 7</w:t>
      </w:r>
      <w:r w:rsidR="00564E58" w:rsidRPr="00AF39A3">
        <w:rPr>
          <w:lang w:val="en-US"/>
        </w:rPr>
        <w:t xml:space="preserve">. Decitabine was given at a dosage of 20 mg/m² IV day 1 to day 5. LDAC at a dose of 20 mg/m² was applied subcutaneously from day 1 to day 7 or 10. Patients received IV hydration and were monitored for tumor lysis syndrome. After discharge, patients </w:t>
      </w:r>
      <w:r w:rsidR="00354E98" w:rsidRPr="00AF39A3">
        <w:rPr>
          <w:lang w:val="en-US"/>
        </w:rPr>
        <w:t>received</w:t>
      </w:r>
      <w:r w:rsidR="00564E58" w:rsidRPr="00AF39A3">
        <w:rPr>
          <w:lang w:val="en-US"/>
        </w:rPr>
        <w:t xml:space="preserve"> VEN for durations between 7 to 28 days and were followed-up in outpatient </w:t>
      </w:r>
      <w:r w:rsidR="00564E58" w:rsidRPr="00AF39A3">
        <w:rPr>
          <w:lang w:val="en-US"/>
        </w:rPr>
        <w:lastRenderedPageBreak/>
        <w:t>clinics for subsequent treatment cycles. Discontinuation and dose reductions of VEN as well as the combination treatments occurred at the discretion of the treating physician.</w:t>
      </w:r>
    </w:p>
    <w:p w14:paraId="69476A28" w14:textId="77777777" w:rsidR="00B15B49" w:rsidRPr="00AF39A3" w:rsidRDefault="00B15B49">
      <w:pPr>
        <w:spacing w:line="480" w:lineRule="auto"/>
        <w:jc w:val="both"/>
        <w:rPr>
          <w:lang w:val="en-US"/>
        </w:rPr>
      </w:pPr>
    </w:p>
    <w:p w14:paraId="73C07305" w14:textId="77777777" w:rsidR="00B15B49" w:rsidRPr="00AF39A3" w:rsidRDefault="00564E58">
      <w:pPr>
        <w:spacing w:line="480" w:lineRule="auto"/>
        <w:jc w:val="both"/>
        <w:rPr>
          <w:u w:val="single"/>
          <w:lang w:val="en-US"/>
        </w:rPr>
      </w:pPr>
      <w:r w:rsidRPr="00AF39A3">
        <w:rPr>
          <w:u w:val="single"/>
          <w:lang w:val="en-US"/>
        </w:rPr>
        <w:t>Response assessment</w:t>
      </w:r>
    </w:p>
    <w:p w14:paraId="3AF2BA91" w14:textId="515450B4" w:rsidR="00B15B49" w:rsidRPr="00AF39A3" w:rsidRDefault="00564E58">
      <w:pPr>
        <w:spacing w:line="480" w:lineRule="auto"/>
        <w:jc w:val="both"/>
        <w:rPr>
          <w:lang w:val="en-US"/>
        </w:rPr>
      </w:pPr>
      <w:r w:rsidRPr="00AF39A3">
        <w:rPr>
          <w:lang w:val="en-US"/>
        </w:rPr>
        <w:tab/>
        <w:t xml:space="preserve">Bone marrow (BM) </w:t>
      </w:r>
      <w:r w:rsidR="00C92AAC" w:rsidRPr="00AF39A3">
        <w:rPr>
          <w:lang w:val="en-US"/>
        </w:rPr>
        <w:t xml:space="preserve">and peripheral blood (PB) </w:t>
      </w:r>
      <w:r w:rsidRPr="00AF39A3">
        <w:rPr>
          <w:lang w:val="en-US"/>
        </w:rPr>
        <w:t xml:space="preserve">response assessment was performed at the discretion of the treating physician and response </w:t>
      </w:r>
      <w:r w:rsidR="00C92AAC" w:rsidRPr="00AF39A3">
        <w:rPr>
          <w:lang w:val="en-US"/>
        </w:rPr>
        <w:t xml:space="preserve">based on blast counts </w:t>
      </w:r>
      <w:r w:rsidR="006C34B0" w:rsidRPr="00AF39A3">
        <w:rPr>
          <w:lang w:val="en-US"/>
        </w:rPr>
        <w:t xml:space="preserve">was </w:t>
      </w:r>
      <w:r w:rsidRPr="00AF39A3">
        <w:rPr>
          <w:lang w:val="en-US"/>
        </w:rPr>
        <w:t xml:space="preserve">defined according to </w:t>
      </w:r>
      <w:r w:rsidR="006C34B0" w:rsidRPr="00AF39A3">
        <w:rPr>
          <w:lang w:val="en-US"/>
        </w:rPr>
        <w:t xml:space="preserve">standard </w:t>
      </w:r>
      <w:r w:rsidRPr="00AF39A3">
        <w:rPr>
          <w:lang w:val="en-US"/>
        </w:rPr>
        <w:t>criteria</w:t>
      </w:r>
      <w:r w:rsidR="00D611E2" w:rsidRPr="00AF39A3">
        <w:rPr>
          <w:vertAlign w:val="superscript"/>
          <w:lang w:val="en-US"/>
        </w:rPr>
        <w:t>1</w:t>
      </w:r>
      <w:r w:rsidRPr="00AF39A3">
        <w:rPr>
          <w:lang w:val="en-US"/>
        </w:rPr>
        <w:t xml:space="preserve">. </w:t>
      </w:r>
      <w:r w:rsidR="00F67FB4" w:rsidRPr="00AF39A3">
        <w:rPr>
          <w:lang w:val="en-US"/>
        </w:rPr>
        <w:t>R</w:t>
      </w:r>
      <w:r w:rsidRPr="00AF39A3">
        <w:rPr>
          <w:lang w:val="en-US"/>
        </w:rPr>
        <w:t>esponse</w:t>
      </w:r>
      <w:r w:rsidR="00F67FB4" w:rsidRPr="00AF39A3">
        <w:rPr>
          <w:lang w:val="en-US"/>
        </w:rPr>
        <w:t xml:space="preserve"> evaluation</w:t>
      </w:r>
      <w:r w:rsidRPr="00AF39A3">
        <w:rPr>
          <w:lang w:val="en-US"/>
        </w:rPr>
        <w:t xml:space="preserve"> was available for n=58 patients</w:t>
      </w:r>
      <w:r w:rsidR="00C92AAC" w:rsidRPr="00AF39A3">
        <w:rPr>
          <w:lang w:val="en-US"/>
        </w:rPr>
        <w:t>; all other patients had no documented response assessment available due to the retrospective nature of our study</w:t>
      </w:r>
      <w:r w:rsidRPr="00AF39A3">
        <w:rPr>
          <w:lang w:val="en-US"/>
        </w:rPr>
        <w:t>.</w:t>
      </w:r>
    </w:p>
    <w:p w14:paraId="0CEC2A0A" w14:textId="77777777" w:rsidR="001352D6" w:rsidRPr="00AF39A3" w:rsidRDefault="001352D6">
      <w:pPr>
        <w:spacing w:line="480" w:lineRule="auto"/>
        <w:jc w:val="both"/>
        <w:rPr>
          <w:lang w:val="en-US"/>
        </w:rPr>
      </w:pPr>
    </w:p>
    <w:p w14:paraId="5B15818C" w14:textId="77777777" w:rsidR="00B15B49" w:rsidRPr="00AF39A3" w:rsidRDefault="00564E58">
      <w:pPr>
        <w:spacing w:line="480" w:lineRule="auto"/>
        <w:jc w:val="both"/>
        <w:rPr>
          <w:u w:val="single"/>
          <w:lang w:val="en-US"/>
        </w:rPr>
      </w:pPr>
      <w:r w:rsidRPr="00AF39A3">
        <w:rPr>
          <w:u w:val="single"/>
          <w:lang w:val="en-US"/>
        </w:rPr>
        <w:t>Statistical analysis</w:t>
      </w:r>
    </w:p>
    <w:p w14:paraId="451A1DB4" w14:textId="15F25E7B" w:rsidR="00832038" w:rsidRPr="00AF39A3" w:rsidRDefault="00564E58" w:rsidP="00004D85">
      <w:pPr>
        <w:spacing w:line="480" w:lineRule="auto"/>
        <w:ind w:firstLine="720"/>
        <w:jc w:val="both"/>
        <w:rPr>
          <w:lang w:val="en-US"/>
        </w:rPr>
      </w:pPr>
      <w:r w:rsidRPr="00AF39A3">
        <w:rPr>
          <w:lang w:val="en-US"/>
        </w:rPr>
        <w:t>All statistical tests were performed using GraphPad Prism (Version 9.2.0)</w:t>
      </w:r>
      <w:r w:rsidR="00F3285A" w:rsidRPr="00AF39A3">
        <w:rPr>
          <w:lang w:val="en-US"/>
        </w:rPr>
        <w:t xml:space="preserve"> and SPSS (IBM SPSS Statistics 27)</w:t>
      </w:r>
      <w:r w:rsidRPr="00AF39A3">
        <w:rPr>
          <w:lang w:val="en-US"/>
        </w:rPr>
        <w:t xml:space="preserve">. </w:t>
      </w:r>
      <w:r w:rsidRPr="00AF39A3">
        <w:rPr>
          <w:i/>
          <w:lang w:val="en-US"/>
        </w:rPr>
        <w:t>P</w:t>
      </w:r>
      <w:r w:rsidRPr="00AF39A3">
        <w:rPr>
          <w:lang w:val="en-US"/>
        </w:rPr>
        <w:t xml:space="preserve">-values &lt;0.05 were considered statistically significant. Comparison of survival curves were performed using the Log-rank (Mantel-Cox) test and </w:t>
      </w:r>
      <w:r w:rsidRPr="00AF39A3">
        <w:rPr>
          <w:color w:val="202122"/>
          <w:lang w:val="en-US"/>
        </w:rPr>
        <w:t>chi-squared test</w:t>
      </w:r>
      <w:r w:rsidRPr="00AF39A3">
        <w:rPr>
          <w:lang w:val="en-US"/>
        </w:rPr>
        <w:t xml:space="preserve"> was used to compare quantitative data between two samples. </w:t>
      </w:r>
      <w:r w:rsidR="005F6B75" w:rsidRPr="00AF39A3">
        <w:rPr>
          <w:lang w:val="en-US"/>
        </w:rPr>
        <w:t xml:space="preserve">Multivariate analyses were performed using Cox proportional hazards regression and logistic regression. </w:t>
      </w:r>
      <w:r w:rsidRPr="00AF39A3">
        <w:rPr>
          <w:lang w:val="en-US"/>
        </w:rPr>
        <w:t xml:space="preserve">Due to the retrospective analysis, sample size was chosen based on the number of available patients treated in the specified time frame. </w:t>
      </w:r>
    </w:p>
    <w:p w14:paraId="476632F0" w14:textId="77777777" w:rsidR="005B784E" w:rsidRDefault="005B784E" w:rsidP="005B784E">
      <w:pPr>
        <w:rPr>
          <w:lang w:val="en-US"/>
        </w:rPr>
      </w:pPr>
    </w:p>
    <w:p w14:paraId="0A7E52A6" w14:textId="77777777" w:rsidR="005B784E" w:rsidRDefault="005B784E" w:rsidP="005B784E">
      <w:pPr>
        <w:rPr>
          <w:lang w:val="en-US"/>
        </w:rPr>
      </w:pPr>
    </w:p>
    <w:p w14:paraId="3C3B7239" w14:textId="77777777" w:rsidR="005B784E" w:rsidRDefault="005B784E" w:rsidP="005B784E">
      <w:pPr>
        <w:rPr>
          <w:lang w:val="en-US"/>
        </w:rPr>
      </w:pPr>
    </w:p>
    <w:p w14:paraId="40A66322" w14:textId="4F99BAEA" w:rsidR="005B784E" w:rsidRDefault="005B784E" w:rsidP="005B784E">
      <w:pPr>
        <w:rPr>
          <w:b/>
          <w:bCs/>
          <w:sz w:val="24"/>
          <w:szCs w:val="24"/>
          <w:lang w:val="en-US"/>
        </w:rPr>
      </w:pPr>
      <w:r w:rsidRPr="00AF39A3">
        <w:rPr>
          <w:b/>
          <w:bCs/>
          <w:sz w:val="24"/>
          <w:szCs w:val="24"/>
          <w:lang w:val="en-US"/>
        </w:rPr>
        <w:t>Supplemental References</w:t>
      </w:r>
    </w:p>
    <w:p w14:paraId="57A4846A" w14:textId="77777777" w:rsidR="005B784E" w:rsidRPr="005B784E" w:rsidRDefault="005B784E" w:rsidP="005B784E">
      <w:pPr>
        <w:rPr>
          <w:b/>
          <w:bCs/>
          <w:lang w:val="en-US"/>
        </w:rPr>
      </w:pPr>
    </w:p>
    <w:p w14:paraId="4A35D449" w14:textId="77777777" w:rsidR="005B784E" w:rsidRPr="00AF39A3" w:rsidRDefault="005B784E" w:rsidP="005B784E">
      <w:pPr>
        <w:pStyle w:val="EndNoteBibliography"/>
        <w:rPr>
          <w:noProof/>
          <w:lang w:val="en-US"/>
        </w:rPr>
      </w:pPr>
      <w:r w:rsidRPr="0015344C">
        <w:rPr>
          <w:noProof/>
          <w:lang w:val="en-US"/>
        </w:rPr>
        <w:t xml:space="preserve">1. </w:t>
      </w:r>
      <w:r w:rsidRPr="0015344C">
        <w:rPr>
          <w:noProof/>
          <w:lang w:val="en-US"/>
        </w:rPr>
        <w:tab/>
        <w:t xml:space="preserve">Döhner H, Estey E, Grimwade D, et al. </w:t>
      </w:r>
      <w:r w:rsidRPr="00AF39A3">
        <w:rPr>
          <w:noProof/>
          <w:lang w:val="en-US"/>
        </w:rPr>
        <w:t xml:space="preserve">Diagnosis and management of AML in adults: 2017 ELN recommendations from an international expert panel. </w:t>
      </w:r>
      <w:r w:rsidRPr="00AF39A3">
        <w:rPr>
          <w:i/>
          <w:noProof/>
          <w:lang w:val="en-US"/>
        </w:rPr>
        <w:t>Blood</w:t>
      </w:r>
      <w:r w:rsidRPr="00AF39A3">
        <w:rPr>
          <w:noProof/>
          <w:lang w:val="en-US"/>
        </w:rPr>
        <w:t>. Jan 26 2017;129(4):424-447. doi:10.1182/blood-2016-08-733196</w:t>
      </w:r>
    </w:p>
    <w:p w14:paraId="0E1DD28F" w14:textId="5D78B571" w:rsidR="005B784E" w:rsidRDefault="005B784E" w:rsidP="005B784E">
      <w:pPr>
        <w:spacing w:line="480" w:lineRule="auto"/>
        <w:jc w:val="both"/>
        <w:rPr>
          <w:b/>
          <w:bCs/>
          <w:lang w:val="en-US"/>
        </w:rPr>
      </w:pPr>
    </w:p>
    <w:p w14:paraId="7AD58F35" w14:textId="6DE3D851" w:rsidR="005B784E" w:rsidRDefault="005B784E" w:rsidP="005B784E">
      <w:pPr>
        <w:spacing w:line="480" w:lineRule="auto"/>
        <w:jc w:val="both"/>
        <w:rPr>
          <w:b/>
          <w:bCs/>
          <w:lang w:val="en-US"/>
        </w:rPr>
      </w:pPr>
    </w:p>
    <w:p w14:paraId="58EE8333" w14:textId="512C2B65" w:rsidR="005B784E" w:rsidRDefault="005B784E" w:rsidP="005B784E">
      <w:pPr>
        <w:spacing w:line="480" w:lineRule="auto"/>
        <w:jc w:val="both"/>
        <w:rPr>
          <w:b/>
          <w:bCs/>
          <w:lang w:val="en-US"/>
        </w:rPr>
      </w:pPr>
    </w:p>
    <w:p w14:paraId="6DEECAC0" w14:textId="2B7310D9" w:rsidR="00AF39A3" w:rsidRDefault="00AF39A3">
      <w:pPr>
        <w:rPr>
          <w:b/>
          <w:bCs/>
          <w:lang w:val="en-US"/>
        </w:rPr>
      </w:pPr>
    </w:p>
    <w:p w14:paraId="785A2E38" w14:textId="77777777" w:rsidR="008662F7" w:rsidRDefault="008662F7">
      <w:pPr>
        <w:rPr>
          <w:lang w:val="en-US"/>
        </w:rPr>
      </w:pPr>
    </w:p>
    <w:p w14:paraId="7D4A6C56" w14:textId="77777777" w:rsidR="005B784E" w:rsidRPr="00AF39A3" w:rsidRDefault="005B784E">
      <w:pPr>
        <w:rPr>
          <w:lang w:val="en-US"/>
        </w:rPr>
      </w:pPr>
    </w:p>
    <w:p w14:paraId="35EEDDBC" w14:textId="3E9BFA78" w:rsidR="005B784E" w:rsidRDefault="00AF39A3" w:rsidP="005B784E">
      <w:pPr>
        <w:spacing w:after="120" w:line="360" w:lineRule="auto"/>
        <w:jc w:val="both"/>
        <w:rPr>
          <w:b/>
          <w:sz w:val="24"/>
          <w:szCs w:val="24"/>
          <w:lang w:val="en-US"/>
        </w:rPr>
      </w:pPr>
      <w:r w:rsidRPr="00AF39A3">
        <w:rPr>
          <w:b/>
          <w:sz w:val="24"/>
          <w:szCs w:val="24"/>
          <w:lang w:val="en-US"/>
        </w:rPr>
        <w:lastRenderedPageBreak/>
        <w:t>Supplemental Figures</w:t>
      </w:r>
    </w:p>
    <w:p w14:paraId="00E490E2" w14:textId="77777777" w:rsidR="005B784E" w:rsidRPr="005B784E" w:rsidRDefault="005B784E" w:rsidP="005B784E">
      <w:pPr>
        <w:spacing w:after="120" w:line="360" w:lineRule="auto"/>
        <w:jc w:val="both"/>
        <w:rPr>
          <w:b/>
          <w:sz w:val="24"/>
          <w:szCs w:val="24"/>
          <w:lang w:val="en-US"/>
        </w:rPr>
      </w:pPr>
    </w:p>
    <w:p w14:paraId="22305DB6" w14:textId="1184FA5A" w:rsidR="00AF39A3" w:rsidRDefault="005B784E">
      <w:pPr>
        <w:rPr>
          <w:b/>
          <w:bCs/>
          <w:lang w:val="en-US"/>
        </w:rPr>
      </w:pPr>
      <w:r w:rsidRPr="005B784E">
        <w:rPr>
          <w:b/>
          <w:bCs/>
          <w:noProof/>
          <w:lang w:val="de-DE"/>
        </w:rPr>
        <w:drawing>
          <wp:inline distT="0" distB="0" distL="0" distR="0" wp14:anchorId="467A91F3" wp14:editId="540A5C9C">
            <wp:extent cx="6514219" cy="3797135"/>
            <wp:effectExtent l="0" t="0" r="0" b="635"/>
            <wp:docPr id="6" name="Grafik 5">
              <a:extLst xmlns:a="http://schemas.openxmlformats.org/drawingml/2006/main">
                <a:ext uri="{FF2B5EF4-FFF2-40B4-BE49-F238E27FC236}">
                  <a16:creationId xmlns:a16="http://schemas.microsoft.com/office/drawing/2014/main" id="{6EE4E1DD-D130-2B9A-18D3-AD3E81DD1F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>
                      <a:extLst>
                        <a:ext uri="{FF2B5EF4-FFF2-40B4-BE49-F238E27FC236}">
                          <a16:creationId xmlns:a16="http://schemas.microsoft.com/office/drawing/2014/main" id="{6EE4E1DD-D130-2B9A-18D3-AD3E81DD1F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34503" cy="380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A397F" w14:textId="77777777" w:rsidR="005B784E" w:rsidRDefault="005B784E" w:rsidP="005B784E">
      <w:pPr>
        <w:spacing w:line="360" w:lineRule="auto"/>
        <w:jc w:val="both"/>
        <w:rPr>
          <w:b/>
          <w:lang w:val="en-US"/>
        </w:rPr>
      </w:pPr>
    </w:p>
    <w:p w14:paraId="58EAC88F" w14:textId="77777777" w:rsidR="005B784E" w:rsidRDefault="005B784E" w:rsidP="005B784E">
      <w:pPr>
        <w:spacing w:line="360" w:lineRule="auto"/>
        <w:jc w:val="both"/>
        <w:rPr>
          <w:b/>
          <w:lang w:val="en-US"/>
        </w:rPr>
      </w:pPr>
    </w:p>
    <w:p w14:paraId="6F3E3AFA" w14:textId="77777777" w:rsidR="005B784E" w:rsidRDefault="005B784E" w:rsidP="005B784E">
      <w:pPr>
        <w:spacing w:line="360" w:lineRule="auto"/>
        <w:jc w:val="both"/>
        <w:rPr>
          <w:b/>
          <w:lang w:val="en-US"/>
        </w:rPr>
      </w:pPr>
    </w:p>
    <w:p w14:paraId="5B6E2CEE" w14:textId="421D0B10" w:rsidR="005B784E" w:rsidRDefault="005B784E" w:rsidP="005B784E">
      <w:pPr>
        <w:spacing w:line="360" w:lineRule="auto"/>
        <w:jc w:val="both"/>
        <w:rPr>
          <w:lang w:val="en-US"/>
        </w:rPr>
      </w:pPr>
      <w:r>
        <w:rPr>
          <w:b/>
          <w:lang w:val="en-US"/>
        </w:rPr>
        <w:t xml:space="preserve">Supplemental </w:t>
      </w:r>
      <w:r w:rsidRPr="003A66EB">
        <w:rPr>
          <w:b/>
          <w:lang w:val="en-US"/>
        </w:rPr>
        <w:t xml:space="preserve">Figure 1: </w:t>
      </w:r>
      <w:r>
        <w:rPr>
          <w:b/>
          <w:lang w:val="en-US"/>
        </w:rPr>
        <w:t>Overall response rates</w:t>
      </w:r>
      <w:r w:rsidRPr="003A66EB">
        <w:rPr>
          <w:b/>
          <w:lang w:val="en-US"/>
        </w:rPr>
        <w:t xml:space="preserve">: </w:t>
      </w:r>
      <w:r w:rsidRPr="003A66EB">
        <w:rPr>
          <w:lang w:val="en-US"/>
        </w:rPr>
        <w:t xml:space="preserve">Overall response rate (ORR) with respect to clinical parameters and pre-treatment regimens in n=58 patients with evaluable response. ORR was not significantly affected by age and prior treatment, but better in patients harboring a </w:t>
      </w:r>
      <w:r w:rsidRPr="003A66EB">
        <w:rPr>
          <w:i/>
          <w:lang w:val="en-US"/>
        </w:rPr>
        <w:t>NPM1</w:t>
      </w:r>
      <w:r w:rsidRPr="003A66EB">
        <w:rPr>
          <w:lang w:val="en-US"/>
        </w:rPr>
        <w:t xml:space="preserve"> and/or </w:t>
      </w:r>
      <w:r w:rsidRPr="003A66EB">
        <w:rPr>
          <w:i/>
          <w:lang w:val="en-US"/>
        </w:rPr>
        <w:t xml:space="preserve">IDH1/2 </w:t>
      </w:r>
      <w:r w:rsidRPr="003A66EB">
        <w:rPr>
          <w:lang w:val="en-US"/>
        </w:rPr>
        <w:t xml:space="preserve">mutations. (ns=not significant; ***p&lt;0,01). </w:t>
      </w:r>
    </w:p>
    <w:p w14:paraId="3CFEAF32" w14:textId="5BAC677A" w:rsidR="005B784E" w:rsidRDefault="005B784E">
      <w:pPr>
        <w:rPr>
          <w:b/>
          <w:bCs/>
          <w:lang w:val="en-US"/>
        </w:rPr>
      </w:pPr>
    </w:p>
    <w:p w14:paraId="000A8FC9" w14:textId="303ACB0B" w:rsidR="005B784E" w:rsidRDefault="005B784E">
      <w:pPr>
        <w:rPr>
          <w:b/>
          <w:bCs/>
          <w:lang w:val="en-US"/>
        </w:rPr>
      </w:pPr>
    </w:p>
    <w:p w14:paraId="5A8C213D" w14:textId="4DB32DCA" w:rsidR="005B784E" w:rsidRDefault="005B784E">
      <w:pPr>
        <w:rPr>
          <w:b/>
          <w:bCs/>
          <w:lang w:val="en-US"/>
        </w:rPr>
      </w:pPr>
    </w:p>
    <w:p w14:paraId="6DF06B8E" w14:textId="77777777" w:rsidR="005B784E" w:rsidRDefault="005B784E">
      <w:pPr>
        <w:rPr>
          <w:b/>
          <w:bCs/>
          <w:lang w:val="en-US"/>
        </w:rPr>
      </w:pPr>
    </w:p>
    <w:p w14:paraId="7737D6D8" w14:textId="77777777" w:rsidR="005B784E" w:rsidRDefault="005B784E" w:rsidP="005B784E">
      <w:pPr>
        <w:spacing w:line="360" w:lineRule="auto"/>
        <w:jc w:val="both"/>
        <w:rPr>
          <w:b/>
          <w:lang w:val="en-US"/>
        </w:rPr>
      </w:pPr>
      <w:r w:rsidRPr="00D1562B">
        <w:rPr>
          <w:b/>
          <w:noProof/>
          <w:lang w:val="de-DE"/>
        </w:rPr>
        <w:lastRenderedPageBreak/>
        <w:drawing>
          <wp:inline distT="0" distB="0" distL="0" distR="0" wp14:anchorId="510D3236" wp14:editId="6BE92D6F">
            <wp:extent cx="6108700" cy="3047246"/>
            <wp:effectExtent l="0" t="0" r="0" b="0"/>
            <wp:docPr id="2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3693968E-CB89-8947-82A1-D1062DD5CC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>
                      <a:extLst>
                        <a:ext uri="{FF2B5EF4-FFF2-40B4-BE49-F238E27FC236}">
                          <a16:creationId xmlns:a16="http://schemas.microsoft.com/office/drawing/2014/main" id="{3693968E-CB89-8947-82A1-D1062DD5CC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7111" cy="305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CC64D" w14:textId="77777777" w:rsidR="005B784E" w:rsidRDefault="005B784E" w:rsidP="005B784E">
      <w:pPr>
        <w:spacing w:line="360" w:lineRule="auto"/>
        <w:jc w:val="both"/>
        <w:rPr>
          <w:b/>
          <w:lang w:val="en-US"/>
        </w:rPr>
      </w:pPr>
    </w:p>
    <w:p w14:paraId="2CFB919B" w14:textId="77777777" w:rsidR="005B784E" w:rsidRDefault="005B784E" w:rsidP="005B784E">
      <w:pPr>
        <w:spacing w:line="360" w:lineRule="auto"/>
        <w:jc w:val="both"/>
        <w:rPr>
          <w:b/>
          <w:lang w:val="en-US"/>
        </w:rPr>
      </w:pPr>
    </w:p>
    <w:p w14:paraId="0D5B791C" w14:textId="77777777" w:rsidR="005B784E" w:rsidRDefault="005B784E" w:rsidP="005B784E">
      <w:pPr>
        <w:spacing w:line="360" w:lineRule="auto"/>
        <w:jc w:val="both"/>
        <w:rPr>
          <w:b/>
          <w:lang w:val="en-US"/>
        </w:rPr>
      </w:pPr>
    </w:p>
    <w:p w14:paraId="0AE367AE" w14:textId="4A0DC56B" w:rsidR="005B784E" w:rsidRPr="005B784E" w:rsidRDefault="005B784E" w:rsidP="005B784E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Supplemental </w:t>
      </w:r>
      <w:r w:rsidRPr="003A66EB">
        <w:rPr>
          <w:b/>
          <w:lang w:val="en-US"/>
        </w:rPr>
        <w:t xml:space="preserve">Figure </w:t>
      </w:r>
      <w:r>
        <w:rPr>
          <w:b/>
          <w:lang w:val="en-US"/>
        </w:rPr>
        <w:t>2</w:t>
      </w:r>
      <w:r w:rsidRPr="003A66EB">
        <w:rPr>
          <w:b/>
          <w:lang w:val="en-US"/>
        </w:rPr>
        <w:t xml:space="preserve">: </w:t>
      </w:r>
      <w:r>
        <w:rPr>
          <w:b/>
          <w:iCs/>
          <w:lang w:val="en-US"/>
        </w:rPr>
        <w:t>Multivariate analysis of overall survival</w:t>
      </w:r>
      <w:r w:rsidRPr="003A66EB">
        <w:rPr>
          <w:b/>
          <w:lang w:val="en-US"/>
        </w:rPr>
        <w:t>:</w:t>
      </w:r>
      <w:r w:rsidRPr="003A66EB">
        <w:rPr>
          <w:bCs/>
          <w:lang w:val="en-US"/>
        </w:rPr>
        <w:t xml:space="preserve"> Forest</w:t>
      </w:r>
      <w:r w:rsidRPr="003A66EB">
        <w:rPr>
          <w:lang w:val="en-US"/>
        </w:rPr>
        <w:t xml:space="preserve"> plot of multivariate analysis showing hazard ratios (HR) and 95% confidence interval (CI) between overall survival (OS) and indicated variables on the left. Cox regression analysis shows a significantly better OS in patients &lt;65 years, patients without previous allogeneic stem-cell transplantation (allo-HSCT) and </w:t>
      </w:r>
      <w:r w:rsidRPr="003A66EB">
        <w:rPr>
          <w:i/>
          <w:lang w:val="en-US"/>
        </w:rPr>
        <w:t>IDH1/2</w:t>
      </w:r>
      <w:r w:rsidRPr="003A66EB">
        <w:rPr>
          <w:lang w:val="en-US"/>
        </w:rPr>
        <w:t xml:space="preserve"> and/or </w:t>
      </w:r>
      <w:r w:rsidRPr="003A66EB">
        <w:rPr>
          <w:i/>
          <w:lang w:val="en-US"/>
        </w:rPr>
        <w:t>NPM1</w:t>
      </w:r>
      <w:r w:rsidRPr="003A66EB">
        <w:rPr>
          <w:lang w:val="en-US"/>
        </w:rPr>
        <w:t xml:space="preserve"> mutated patients. Previous treatment with hypomethylating agents (HMA) and more treatment lines had no significant impact on OS.</w:t>
      </w:r>
    </w:p>
    <w:p w14:paraId="6365A68C" w14:textId="77777777" w:rsidR="005B784E" w:rsidRDefault="005B784E">
      <w:pPr>
        <w:rPr>
          <w:b/>
          <w:bCs/>
          <w:lang w:val="en-US"/>
        </w:rPr>
      </w:pPr>
    </w:p>
    <w:p w14:paraId="72B116C6" w14:textId="6AAA85AF" w:rsidR="005B784E" w:rsidRDefault="005B784E">
      <w:pPr>
        <w:rPr>
          <w:b/>
          <w:bCs/>
          <w:lang w:val="en-US"/>
        </w:rPr>
      </w:pPr>
    </w:p>
    <w:p w14:paraId="2AD773ED" w14:textId="77777777" w:rsidR="005B784E" w:rsidRDefault="005B784E">
      <w:pPr>
        <w:rPr>
          <w:b/>
          <w:bCs/>
          <w:lang w:val="en-US"/>
        </w:rPr>
      </w:pPr>
    </w:p>
    <w:p w14:paraId="4DF9164D" w14:textId="67D9724B" w:rsidR="005B784E" w:rsidRDefault="005B784E">
      <w:pPr>
        <w:rPr>
          <w:b/>
          <w:bCs/>
          <w:lang w:val="en-US"/>
        </w:rPr>
      </w:pPr>
    </w:p>
    <w:p w14:paraId="1C029DC9" w14:textId="2B6BE922" w:rsidR="005B784E" w:rsidRDefault="005B784E">
      <w:pPr>
        <w:rPr>
          <w:b/>
          <w:bCs/>
          <w:lang w:val="en-US"/>
        </w:rPr>
      </w:pPr>
    </w:p>
    <w:p w14:paraId="65DB9145" w14:textId="3360EEB1" w:rsidR="005B784E" w:rsidRDefault="005B784E">
      <w:pPr>
        <w:rPr>
          <w:b/>
          <w:bCs/>
          <w:lang w:val="en-US"/>
        </w:rPr>
      </w:pPr>
    </w:p>
    <w:p w14:paraId="694B428B" w14:textId="7353565F" w:rsidR="005B784E" w:rsidRDefault="005B784E" w:rsidP="005B784E">
      <w:pPr>
        <w:jc w:val="right"/>
        <w:rPr>
          <w:b/>
          <w:bCs/>
          <w:lang w:val="en-US"/>
        </w:rPr>
      </w:pPr>
      <w:r>
        <w:rPr>
          <w:noProof/>
          <w:lang w:val="de-DE"/>
        </w:rPr>
        <w:lastRenderedPageBreak/>
        <w:drawing>
          <wp:inline distT="0" distB="0" distL="0" distR="0" wp14:anchorId="5E652C7A" wp14:editId="05E32875">
            <wp:extent cx="6426200" cy="361985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33314" cy="362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9EABE" w14:textId="7A02DB1E" w:rsidR="005B784E" w:rsidRDefault="005B784E" w:rsidP="005B784E">
      <w:pPr>
        <w:rPr>
          <w:b/>
          <w:bCs/>
          <w:lang w:val="en-US"/>
        </w:rPr>
      </w:pPr>
    </w:p>
    <w:p w14:paraId="5A9CFED0" w14:textId="53E86793" w:rsidR="005B784E" w:rsidRDefault="005B784E" w:rsidP="005B784E">
      <w:pPr>
        <w:rPr>
          <w:b/>
          <w:bCs/>
          <w:lang w:val="en-US"/>
        </w:rPr>
      </w:pPr>
    </w:p>
    <w:p w14:paraId="15DA4F77" w14:textId="77777777" w:rsidR="005B784E" w:rsidRDefault="005B784E" w:rsidP="005B784E">
      <w:pPr>
        <w:rPr>
          <w:b/>
          <w:bCs/>
          <w:lang w:val="en-US"/>
        </w:rPr>
      </w:pPr>
    </w:p>
    <w:p w14:paraId="706F56DF" w14:textId="77777777" w:rsidR="005B784E" w:rsidRPr="005B784E" w:rsidRDefault="005B784E" w:rsidP="005B784E">
      <w:pPr>
        <w:rPr>
          <w:b/>
          <w:bCs/>
          <w:lang w:val="en-US"/>
        </w:rPr>
      </w:pPr>
    </w:p>
    <w:p w14:paraId="63A5C942" w14:textId="368B0462" w:rsidR="005B784E" w:rsidRPr="00C706EB" w:rsidRDefault="005B784E" w:rsidP="005B784E">
      <w:pPr>
        <w:spacing w:line="360" w:lineRule="auto"/>
        <w:jc w:val="both"/>
        <w:rPr>
          <w:lang w:val="en-US"/>
        </w:rPr>
      </w:pPr>
      <w:r>
        <w:rPr>
          <w:b/>
          <w:lang w:val="en-US"/>
        </w:rPr>
        <w:t>Supplemental Figure 3</w:t>
      </w:r>
      <w:r w:rsidRPr="00C706EB">
        <w:rPr>
          <w:b/>
          <w:lang w:val="en-US"/>
        </w:rPr>
        <w:t>: Survival curves:</w:t>
      </w:r>
      <w:r w:rsidRPr="00C706EB">
        <w:rPr>
          <w:lang w:val="en-US"/>
        </w:rPr>
        <w:t xml:space="preserve"> </w:t>
      </w:r>
      <w:r w:rsidRPr="003A66EB">
        <w:rPr>
          <w:lang w:val="en-US"/>
        </w:rPr>
        <w:t>Overall survival (OS) in univariate analysis was not influenced by (A) venetoclax combination partner, (B) previous therapy with hypomethylating agents</w:t>
      </w:r>
      <w:r>
        <w:rPr>
          <w:lang w:val="en-US"/>
        </w:rPr>
        <w:t xml:space="preserve"> </w:t>
      </w:r>
      <w:r w:rsidRPr="003A66EB">
        <w:rPr>
          <w:lang w:val="en-US"/>
        </w:rPr>
        <w:t xml:space="preserve">(HMA) or (C) </w:t>
      </w:r>
      <w:r w:rsidR="006E190D">
        <w:rPr>
          <w:lang w:val="en-US"/>
        </w:rPr>
        <w:t>number</w:t>
      </w:r>
      <w:r w:rsidR="002A12E0">
        <w:rPr>
          <w:lang w:val="en-US"/>
        </w:rPr>
        <w:t xml:space="preserve"> </w:t>
      </w:r>
      <w:r w:rsidRPr="003A66EB">
        <w:rPr>
          <w:lang w:val="en-US"/>
        </w:rPr>
        <w:t xml:space="preserve">of previous HMA cycles. OS was significantly influenced by (D) previous intensive treatment. </w:t>
      </w:r>
      <w:r w:rsidR="006E190D">
        <w:rPr>
          <w:lang w:val="en-US"/>
        </w:rPr>
        <w:t>(LDAC = low-dose cytarabin)</w:t>
      </w:r>
    </w:p>
    <w:p w14:paraId="47775973" w14:textId="48AF685E" w:rsidR="005B784E" w:rsidRDefault="005B784E">
      <w:pPr>
        <w:rPr>
          <w:b/>
          <w:bCs/>
          <w:lang w:val="en-US"/>
        </w:rPr>
      </w:pPr>
    </w:p>
    <w:p w14:paraId="0C43C4F4" w14:textId="1EE78036" w:rsidR="005B784E" w:rsidRDefault="005B784E">
      <w:pPr>
        <w:rPr>
          <w:b/>
          <w:bCs/>
          <w:lang w:val="en-US"/>
        </w:rPr>
      </w:pPr>
    </w:p>
    <w:p w14:paraId="322E5A9B" w14:textId="3756AE9F" w:rsidR="005B784E" w:rsidRDefault="005B784E">
      <w:pPr>
        <w:rPr>
          <w:b/>
          <w:bCs/>
          <w:lang w:val="en-US"/>
        </w:rPr>
      </w:pPr>
    </w:p>
    <w:p w14:paraId="1375DA17" w14:textId="2B3C4D0B" w:rsidR="005B784E" w:rsidRDefault="005B784E">
      <w:pPr>
        <w:rPr>
          <w:b/>
          <w:bCs/>
          <w:lang w:val="en-US"/>
        </w:rPr>
      </w:pPr>
    </w:p>
    <w:p w14:paraId="43646AAC" w14:textId="7E5D33DA" w:rsidR="005B784E" w:rsidRDefault="005B784E">
      <w:pPr>
        <w:rPr>
          <w:b/>
          <w:bCs/>
          <w:lang w:val="en-US"/>
        </w:rPr>
      </w:pPr>
    </w:p>
    <w:p w14:paraId="589B3D90" w14:textId="56959175" w:rsidR="005B784E" w:rsidRDefault="005B784E">
      <w:pPr>
        <w:rPr>
          <w:b/>
          <w:bCs/>
          <w:lang w:val="en-US"/>
        </w:rPr>
      </w:pPr>
    </w:p>
    <w:p w14:paraId="42FA0EAB" w14:textId="0E1195CF" w:rsidR="005B784E" w:rsidRDefault="005B784E">
      <w:pPr>
        <w:rPr>
          <w:b/>
          <w:bCs/>
          <w:lang w:val="en-US"/>
        </w:rPr>
      </w:pPr>
    </w:p>
    <w:p w14:paraId="53ACD7F3" w14:textId="28E5767F" w:rsidR="005B784E" w:rsidRDefault="005B784E">
      <w:pPr>
        <w:rPr>
          <w:b/>
          <w:bCs/>
          <w:lang w:val="en-US"/>
        </w:rPr>
      </w:pPr>
    </w:p>
    <w:p w14:paraId="18B17095" w14:textId="6A38BB80" w:rsidR="00EE56FB" w:rsidRPr="00AF39A3" w:rsidRDefault="00EE56FB" w:rsidP="00344A9C">
      <w:pPr>
        <w:spacing w:line="480" w:lineRule="auto"/>
        <w:jc w:val="both"/>
        <w:rPr>
          <w:b/>
          <w:bCs/>
          <w:lang w:val="en-US"/>
        </w:rPr>
      </w:pPr>
    </w:p>
    <w:p w14:paraId="2EC62296" w14:textId="22C36573" w:rsidR="00DF5E3A" w:rsidRPr="0015344C" w:rsidRDefault="00DF5E3A" w:rsidP="0015344C">
      <w:pPr>
        <w:rPr>
          <w:b/>
          <w:bCs/>
          <w:lang w:val="en-US"/>
        </w:rPr>
      </w:pPr>
    </w:p>
    <w:sectPr w:rsidR="00DF5E3A" w:rsidRPr="0015344C">
      <w:footerReference w:type="even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1AECF" w14:textId="77777777" w:rsidR="002A24BC" w:rsidRDefault="002A24BC" w:rsidP="005F6B75">
      <w:pPr>
        <w:spacing w:line="240" w:lineRule="auto"/>
      </w:pPr>
      <w:r>
        <w:separator/>
      </w:r>
    </w:p>
  </w:endnote>
  <w:endnote w:type="continuationSeparator" w:id="0">
    <w:p w14:paraId="701722EE" w14:textId="77777777" w:rsidR="002A24BC" w:rsidRDefault="002A24BC" w:rsidP="005F6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50964269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1ED4367" w14:textId="11921A0C" w:rsidR="00D611E2" w:rsidRDefault="00D611E2" w:rsidP="004959E1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4BFECD4" w14:textId="77777777" w:rsidR="00D611E2" w:rsidRDefault="00D611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196356391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BC7C971" w14:textId="766AEC6E" w:rsidR="00D611E2" w:rsidRDefault="00D611E2" w:rsidP="004959E1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851C14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13AE74A" w14:textId="77777777" w:rsidR="00D611E2" w:rsidRDefault="00D611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7F71D" w14:textId="77777777" w:rsidR="002A24BC" w:rsidRDefault="002A24BC" w:rsidP="005F6B75">
      <w:pPr>
        <w:spacing w:line="240" w:lineRule="auto"/>
      </w:pPr>
      <w:r>
        <w:separator/>
      </w:r>
    </w:p>
  </w:footnote>
  <w:footnote w:type="continuationSeparator" w:id="0">
    <w:p w14:paraId="43623EE5" w14:textId="77777777" w:rsidR="002A24BC" w:rsidRDefault="002A24BC" w:rsidP="005F6B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8640B"/>
    <w:multiLevelType w:val="multilevel"/>
    <w:tmpl w:val="6B14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A 11th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B15B49"/>
    <w:rsid w:val="00002F13"/>
    <w:rsid w:val="00004873"/>
    <w:rsid w:val="00004D85"/>
    <w:rsid w:val="000221CD"/>
    <w:rsid w:val="000247D8"/>
    <w:rsid w:val="00032701"/>
    <w:rsid w:val="00036EC7"/>
    <w:rsid w:val="00037B80"/>
    <w:rsid w:val="0004080D"/>
    <w:rsid w:val="000426A4"/>
    <w:rsid w:val="00044C97"/>
    <w:rsid w:val="0005363F"/>
    <w:rsid w:val="0005440C"/>
    <w:rsid w:val="00064EDD"/>
    <w:rsid w:val="00070997"/>
    <w:rsid w:val="0008088F"/>
    <w:rsid w:val="000810B1"/>
    <w:rsid w:val="000819C1"/>
    <w:rsid w:val="0008491F"/>
    <w:rsid w:val="00084F0D"/>
    <w:rsid w:val="00086B74"/>
    <w:rsid w:val="000870FE"/>
    <w:rsid w:val="0009011E"/>
    <w:rsid w:val="000961A5"/>
    <w:rsid w:val="000A563A"/>
    <w:rsid w:val="000A5C76"/>
    <w:rsid w:val="000B0E20"/>
    <w:rsid w:val="000B141C"/>
    <w:rsid w:val="000B2DDA"/>
    <w:rsid w:val="000B5174"/>
    <w:rsid w:val="000C2657"/>
    <w:rsid w:val="000D2183"/>
    <w:rsid w:val="000D2951"/>
    <w:rsid w:val="000D6496"/>
    <w:rsid w:val="000E76A1"/>
    <w:rsid w:val="000F63C7"/>
    <w:rsid w:val="000F6A8C"/>
    <w:rsid w:val="00106608"/>
    <w:rsid w:val="001067E8"/>
    <w:rsid w:val="0011031A"/>
    <w:rsid w:val="0011283E"/>
    <w:rsid w:val="001153D0"/>
    <w:rsid w:val="0011752D"/>
    <w:rsid w:val="00117CE1"/>
    <w:rsid w:val="00131FB4"/>
    <w:rsid w:val="00133239"/>
    <w:rsid w:val="00133E81"/>
    <w:rsid w:val="001352D6"/>
    <w:rsid w:val="00143BFF"/>
    <w:rsid w:val="00145386"/>
    <w:rsid w:val="0014638C"/>
    <w:rsid w:val="0015344C"/>
    <w:rsid w:val="0015716B"/>
    <w:rsid w:val="001633D0"/>
    <w:rsid w:val="0016386B"/>
    <w:rsid w:val="001642C1"/>
    <w:rsid w:val="001675DD"/>
    <w:rsid w:val="00170856"/>
    <w:rsid w:val="001716F9"/>
    <w:rsid w:val="00172E4B"/>
    <w:rsid w:val="00173406"/>
    <w:rsid w:val="0017672E"/>
    <w:rsid w:val="00180B15"/>
    <w:rsid w:val="00185AA6"/>
    <w:rsid w:val="001921A2"/>
    <w:rsid w:val="001977CA"/>
    <w:rsid w:val="001A4324"/>
    <w:rsid w:val="001A4D06"/>
    <w:rsid w:val="001A59E8"/>
    <w:rsid w:val="001A5B5F"/>
    <w:rsid w:val="001A611F"/>
    <w:rsid w:val="001C19A0"/>
    <w:rsid w:val="001C39ED"/>
    <w:rsid w:val="001D170E"/>
    <w:rsid w:val="001D51B9"/>
    <w:rsid w:val="001E0AE0"/>
    <w:rsid w:val="001E22F4"/>
    <w:rsid w:val="001E7E71"/>
    <w:rsid w:val="001F6FA9"/>
    <w:rsid w:val="002153A8"/>
    <w:rsid w:val="00220B69"/>
    <w:rsid w:val="002231E1"/>
    <w:rsid w:val="002232C1"/>
    <w:rsid w:val="0023181A"/>
    <w:rsid w:val="00232184"/>
    <w:rsid w:val="00234430"/>
    <w:rsid w:val="002373BF"/>
    <w:rsid w:val="00241883"/>
    <w:rsid w:val="0024526B"/>
    <w:rsid w:val="002504CE"/>
    <w:rsid w:val="00254CAA"/>
    <w:rsid w:val="00261420"/>
    <w:rsid w:val="00262B89"/>
    <w:rsid w:val="002669E9"/>
    <w:rsid w:val="002716F7"/>
    <w:rsid w:val="00276EDC"/>
    <w:rsid w:val="0028113E"/>
    <w:rsid w:val="002A0F1F"/>
    <w:rsid w:val="002A12E0"/>
    <w:rsid w:val="002A24BC"/>
    <w:rsid w:val="002A7DD9"/>
    <w:rsid w:val="002C53B7"/>
    <w:rsid w:val="002C7143"/>
    <w:rsid w:val="002C7BDA"/>
    <w:rsid w:val="002E1120"/>
    <w:rsid w:val="002E19FD"/>
    <w:rsid w:val="002E7D1A"/>
    <w:rsid w:val="002F061C"/>
    <w:rsid w:val="002F0D63"/>
    <w:rsid w:val="002F6EAE"/>
    <w:rsid w:val="002F7DE0"/>
    <w:rsid w:val="00303453"/>
    <w:rsid w:val="00305226"/>
    <w:rsid w:val="00306FCE"/>
    <w:rsid w:val="003142B3"/>
    <w:rsid w:val="00337FB6"/>
    <w:rsid w:val="0034244D"/>
    <w:rsid w:val="00344A9C"/>
    <w:rsid w:val="00345CB6"/>
    <w:rsid w:val="00345EB3"/>
    <w:rsid w:val="00354E98"/>
    <w:rsid w:val="003552F8"/>
    <w:rsid w:val="00356D7A"/>
    <w:rsid w:val="003572F9"/>
    <w:rsid w:val="00367D8D"/>
    <w:rsid w:val="0037038E"/>
    <w:rsid w:val="00375E9D"/>
    <w:rsid w:val="00384FDA"/>
    <w:rsid w:val="00385647"/>
    <w:rsid w:val="00386A1C"/>
    <w:rsid w:val="00395F16"/>
    <w:rsid w:val="003A4AC4"/>
    <w:rsid w:val="003A5B5E"/>
    <w:rsid w:val="003A66EB"/>
    <w:rsid w:val="003A6E62"/>
    <w:rsid w:val="003C584E"/>
    <w:rsid w:val="003D0258"/>
    <w:rsid w:val="003D309C"/>
    <w:rsid w:val="003D6D06"/>
    <w:rsid w:val="003E1C3D"/>
    <w:rsid w:val="003E5990"/>
    <w:rsid w:val="003F126B"/>
    <w:rsid w:val="003F2DA9"/>
    <w:rsid w:val="003F52CB"/>
    <w:rsid w:val="003F6028"/>
    <w:rsid w:val="00400FAC"/>
    <w:rsid w:val="0041215E"/>
    <w:rsid w:val="00413058"/>
    <w:rsid w:val="00417214"/>
    <w:rsid w:val="00417A8B"/>
    <w:rsid w:val="0042439B"/>
    <w:rsid w:val="00426E1B"/>
    <w:rsid w:val="0043597D"/>
    <w:rsid w:val="004410D2"/>
    <w:rsid w:val="00441E21"/>
    <w:rsid w:val="00446362"/>
    <w:rsid w:val="0045765F"/>
    <w:rsid w:val="00457D23"/>
    <w:rsid w:val="00462CC5"/>
    <w:rsid w:val="00465447"/>
    <w:rsid w:val="00465A3C"/>
    <w:rsid w:val="004723EA"/>
    <w:rsid w:val="00482502"/>
    <w:rsid w:val="00484929"/>
    <w:rsid w:val="0048638A"/>
    <w:rsid w:val="00496287"/>
    <w:rsid w:val="004962C2"/>
    <w:rsid w:val="004962E8"/>
    <w:rsid w:val="004A482D"/>
    <w:rsid w:val="004A61E6"/>
    <w:rsid w:val="004A6D80"/>
    <w:rsid w:val="004A7E5D"/>
    <w:rsid w:val="004B29EE"/>
    <w:rsid w:val="004C2EA4"/>
    <w:rsid w:val="004C4F94"/>
    <w:rsid w:val="004D2052"/>
    <w:rsid w:val="004D7453"/>
    <w:rsid w:val="004D77EA"/>
    <w:rsid w:val="004E47D6"/>
    <w:rsid w:val="004F526B"/>
    <w:rsid w:val="004F76C5"/>
    <w:rsid w:val="00500711"/>
    <w:rsid w:val="00502BBB"/>
    <w:rsid w:val="005043D7"/>
    <w:rsid w:val="00520485"/>
    <w:rsid w:val="00524977"/>
    <w:rsid w:val="005257B3"/>
    <w:rsid w:val="00534A1C"/>
    <w:rsid w:val="0054511A"/>
    <w:rsid w:val="00553B8F"/>
    <w:rsid w:val="00561FEB"/>
    <w:rsid w:val="00564E58"/>
    <w:rsid w:val="005667A5"/>
    <w:rsid w:val="00573097"/>
    <w:rsid w:val="00573195"/>
    <w:rsid w:val="0057666D"/>
    <w:rsid w:val="005840D2"/>
    <w:rsid w:val="005873FB"/>
    <w:rsid w:val="00597751"/>
    <w:rsid w:val="005A2ABE"/>
    <w:rsid w:val="005A44C1"/>
    <w:rsid w:val="005B7378"/>
    <w:rsid w:val="005B784E"/>
    <w:rsid w:val="005D10B1"/>
    <w:rsid w:val="005F0B16"/>
    <w:rsid w:val="005F18A5"/>
    <w:rsid w:val="005F2231"/>
    <w:rsid w:val="005F6B75"/>
    <w:rsid w:val="005F7628"/>
    <w:rsid w:val="00610307"/>
    <w:rsid w:val="00625F6C"/>
    <w:rsid w:val="00641C5A"/>
    <w:rsid w:val="00645A92"/>
    <w:rsid w:val="00661A1C"/>
    <w:rsid w:val="00663925"/>
    <w:rsid w:val="006642E4"/>
    <w:rsid w:val="006645EB"/>
    <w:rsid w:val="00666355"/>
    <w:rsid w:val="00670B2F"/>
    <w:rsid w:val="00671B2E"/>
    <w:rsid w:val="00680B59"/>
    <w:rsid w:val="00687809"/>
    <w:rsid w:val="006972A1"/>
    <w:rsid w:val="006A071C"/>
    <w:rsid w:val="006B0D99"/>
    <w:rsid w:val="006B3956"/>
    <w:rsid w:val="006B41DF"/>
    <w:rsid w:val="006B73CC"/>
    <w:rsid w:val="006C34B0"/>
    <w:rsid w:val="006C7038"/>
    <w:rsid w:val="006D1703"/>
    <w:rsid w:val="006D35A4"/>
    <w:rsid w:val="006D6AB0"/>
    <w:rsid w:val="006E18C4"/>
    <w:rsid w:val="006E190D"/>
    <w:rsid w:val="006E6451"/>
    <w:rsid w:val="006E7037"/>
    <w:rsid w:val="006F0B7F"/>
    <w:rsid w:val="006F558D"/>
    <w:rsid w:val="00701506"/>
    <w:rsid w:val="007153FA"/>
    <w:rsid w:val="00717D8A"/>
    <w:rsid w:val="00723DFD"/>
    <w:rsid w:val="00734B0B"/>
    <w:rsid w:val="00736DD3"/>
    <w:rsid w:val="007376D0"/>
    <w:rsid w:val="00744B3E"/>
    <w:rsid w:val="0074729F"/>
    <w:rsid w:val="00750A12"/>
    <w:rsid w:val="007521B4"/>
    <w:rsid w:val="00753C37"/>
    <w:rsid w:val="00761166"/>
    <w:rsid w:val="00761D1E"/>
    <w:rsid w:val="00767760"/>
    <w:rsid w:val="00771338"/>
    <w:rsid w:val="00782D45"/>
    <w:rsid w:val="00784F8E"/>
    <w:rsid w:val="0078558C"/>
    <w:rsid w:val="00786EC8"/>
    <w:rsid w:val="00794B48"/>
    <w:rsid w:val="00795DEB"/>
    <w:rsid w:val="007A0173"/>
    <w:rsid w:val="007A6447"/>
    <w:rsid w:val="007C3C92"/>
    <w:rsid w:val="007C5112"/>
    <w:rsid w:val="007D11B2"/>
    <w:rsid w:val="007D56EC"/>
    <w:rsid w:val="007D7C0F"/>
    <w:rsid w:val="007E0996"/>
    <w:rsid w:val="007E2C00"/>
    <w:rsid w:val="007E5CC5"/>
    <w:rsid w:val="007F33DA"/>
    <w:rsid w:val="007F4BFA"/>
    <w:rsid w:val="00813DAE"/>
    <w:rsid w:val="00815420"/>
    <w:rsid w:val="00820E24"/>
    <w:rsid w:val="008243FE"/>
    <w:rsid w:val="00827B31"/>
    <w:rsid w:val="00830593"/>
    <w:rsid w:val="00832038"/>
    <w:rsid w:val="00850E08"/>
    <w:rsid w:val="00851C14"/>
    <w:rsid w:val="00860FC5"/>
    <w:rsid w:val="00865609"/>
    <w:rsid w:val="008662F7"/>
    <w:rsid w:val="00881D5D"/>
    <w:rsid w:val="008877A5"/>
    <w:rsid w:val="00890CA9"/>
    <w:rsid w:val="008A047E"/>
    <w:rsid w:val="008A1A88"/>
    <w:rsid w:val="008C5C67"/>
    <w:rsid w:val="008D66C7"/>
    <w:rsid w:val="008E1D98"/>
    <w:rsid w:val="008E3735"/>
    <w:rsid w:val="008F3198"/>
    <w:rsid w:val="008F328D"/>
    <w:rsid w:val="008F5230"/>
    <w:rsid w:val="008F7B4A"/>
    <w:rsid w:val="00903607"/>
    <w:rsid w:val="00916C40"/>
    <w:rsid w:val="0092218F"/>
    <w:rsid w:val="0092748C"/>
    <w:rsid w:val="0093073F"/>
    <w:rsid w:val="00940B2C"/>
    <w:rsid w:val="00946978"/>
    <w:rsid w:val="00956BF3"/>
    <w:rsid w:val="0096098F"/>
    <w:rsid w:val="009614CC"/>
    <w:rsid w:val="00975BEA"/>
    <w:rsid w:val="009870C1"/>
    <w:rsid w:val="009A0771"/>
    <w:rsid w:val="009A344D"/>
    <w:rsid w:val="009A674E"/>
    <w:rsid w:val="009B2A35"/>
    <w:rsid w:val="009B2D51"/>
    <w:rsid w:val="009B3F06"/>
    <w:rsid w:val="009B71A4"/>
    <w:rsid w:val="009C070B"/>
    <w:rsid w:val="009C1185"/>
    <w:rsid w:val="009C171A"/>
    <w:rsid w:val="009C20C2"/>
    <w:rsid w:val="009C33E0"/>
    <w:rsid w:val="009C5B35"/>
    <w:rsid w:val="009D2638"/>
    <w:rsid w:val="009E3698"/>
    <w:rsid w:val="009E3DA6"/>
    <w:rsid w:val="00A00A7E"/>
    <w:rsid w:val="00A0102F"/>
    <w:rsid w:val="00A01CD1"/>
    <w:rsid w:val="00A03C00"/>
    <w:rsid w:val="00A04C6F"/>
    <w:rsid w:val="00A0514C"/>
    <w:rsid w:val="00A0551C"/>
    <w:rsid w:val="00A16EA1"/>
    <w:rsid w:val="00A205E7"/>
    <w:rsid w:val="00A24960"/>
    <w:rsid w:val="00A313EF"/>
    <w:rsid w:val="00A34B18"/>
    <w:rsid w:val="00A35818"/>
    <w:rsid w:val="00A4559A"/>
    <w:rsid w:val="00A470CA"/>
    <w:rsid w:val="00A521FC"/>
    <w:rsid w:val="00A529CE"/>
    <w:rsid w:val="00A6103F"/>
    <w:rsid w:val="00A63CB7"/>
    <w:rsid w:val="00A65D87"/>
    <w:rsid w:val="00A74F2F"/>
    <w:rsid w:val="00A82668"/>
    <w:rsid w:val="00A902A8"/>
    <w:rsid w:val="00A9532C"/>
    <w:rsid w:val="00AA0290"/>
    <w:rsid w:val="00AA2849"/>
    <w:rsid w:val="00AB2CE4"/>
    <w:rsid w:val="00AB48B0"/>
    <w:rsid w:val="00AC13B2"/>
    <w:rsid w:val="00AC6A98"/>
    <w:rsid w:val="00AC6F05"/>
    <w:rsid w:val="00AC7B11"/>
    <w:rsid w:val="00AD21C6"/>
    <w:rsid w:val="00AD5378"/>
    <w:rsid w:val="00AD5D4C"/>
    <w:rsid w:val="00AD6375"/>
    <w:rsid w:val="00AE1425"/>
    <w:rsid w:val="00AE4291"/>
    <w:rsid w:val="00AE792C"/>
    <w:rsid w:val="00AF0142"/>
    <w:rsid w:val="00AF39A3"/>
    <w:rsid w:val="00AF3B39"/>
    <w:rsid w:val="00AF4670"/>
    <w:rsid w:val="00AF6164"/>
    <w:rsid w:val="00B01FA6"/>
    <w:rsid w:val="00B1055A"/>
    <w:rsid w:val="00B15B49"/>
    <w:rsid w:val="00B16866"/>
    <w:rsid w:val="00B17D14"/>
    <w:rsid w:val="00B255E7"/>
    <w:rsid w:val="00B34ED4"/>
    <w:rsid w:val="00B35305"/>
    <w:rsid w:val="00B35C5A"/>
    <w:rsid w:val="00B3621D"/>
    <w:rsid w:val="00B461DB"/>
    <w:rsid w:val="00B462AA"/>
    <w:rsid w:val="00B50026"/>
    <w:rsid w:val="00B535D8"/>
    <w:rsid w:val="00B5529A"/>
    <w:rsid w:val="00B5567B"/>
    <w:rsid w:val="00B55BD4"/>
    <w:rsid w:val="00B81A01"/>
    <w:rsid w:val="00B82815"/>
    <w:rsid w:val="00BA051F"/>
    <w:rsid w:val="00BA7E7D"/>
    <w:rsid w:val="00BD0DD1"/>
    <w:rsid w:val="00BD3680"/>
    <w:rsid w:val="00BD4408"/>
    <w:rsid w:val="00BD7636"/>
    <w:rsid w:val="00BE03BB"/>
    <w:rsid w:val="00BE6D97"/>
    <w:rsid w:val="00BE7D14"/>
    <w:rsid w:val="00BF3E8C"/>
    <w:rsid w:val="00BF6641"/>
    <w:rsid w:val="00C01EC4"/>
    <w:rsid w:val="00C0227C"/>
    <w:rsid w:val="00C025E8"/>
    <w:rsid w:val="00C03A7C"/>
    <w:rsid w:val="00C167D0"/>
    <w:rsid w:val="00C17BCB"/>
    <w:rsid w:val="00C21931"/>
    <w:rsid w:val="00C33E7F"/>
    <w:rsid w:val="00C350F6"/>
    <w:rsid w:val="00C42582"/>
    <w:rsid w:val="00C4273E"/>
    <w:rsid w:val="00C47FFD"/>
    <w:rsid w:val="00C54E82"/>
    <w:rsid w:val="00C5501B"/>
    <w:rsid w:val="00C56501"/>
    <w:rsid w:val="00C6524C"/>
    <w:rsid w:val="00C706EB"/>
    <w:rsid w:val="00C76ABF"/>
    <w:rsid w:val="00C81ED4"/>
    <w:rsid w:val="00C81F05"/>
    <w:rsid w:val="00C90602"/>
    <w:rsid w:val="00C92AAC"/>
    <w:rsid w:val="00CA249F"/>
    <w:rsid w:val="00CB6B53"/>
    <w:rsid w:val="00CC2BED"/>
    <w:rsid w:val="00CC2E77"/>
    <w:rsid w:val="00CC3729"/>
    <w:rsid w:val="00CD2AB7"/>
    <w:rsid w:val="00CD2AF5"/>
    <w:rsid w:val="00CD5475"/>
    <w:rsid w:val="00CF0F28"/>
    <w:rsid w:val="00CF2645"/>
    <w:rsid w:val="00CF4883"/>
    <w:rsid w:val="00D0048C"/>
    <w:rsid w:val="00D03B2C"/>
    <w:rsid w:val="00D04A6D"/>
    <w:rsid w:val="00D10A3A"/>
    <w:rsid w:val="00D1272B"/>
    <w:rsid w:val="00D13220"/>
    <w:rsid w:val="00D214DC"/>
    <w:rsid w:val="00D277BF"/>
    <w:rsid w:val="00D31F31"/>
    <w:rsid w:val="00D330DD"/>
    <w:rsid w:val="00D33CE6"/>
    <w:rsid w:val="00D37AE7"/>
    <w:rsid w:val="00D46DCE"/>
    <w:rsid w:val="00D5078A"/>
    <w:rsid w:val="00D53A4A"/>
    <w:rsid w:val="00D611E2"/>
    <w:rsid w:val="00D63002"/>
    <w:rsid w:val="00D66F6C"/>
    <w:rsid w:val="00D6743C"/>
    <w:rsid w:val="00D74BAB"/>
    <w:rsid w:val="00D7750B"/>
    <w:rsid w:val="00D82944"/>
    <w:rsid w:val="00D837C8"/>
    <w:rsid w:val="00D90F93"/>
    <w:rsid w:val="00D924CA"/>
    <w:rsid w:val="00D94306"/>
    <w:rsid w:val="00D978D7"/>
    <w:rsid w:val="00DA1675"/>
    <w:rsid w:val="00DA5066"/>
    <w:rsid w:val="00DA5AB1"/>
    <w:rsid w:val="00DA6E88"/>
    <w:rsid w:val="00DC043E"/>
    <w:rsid w:val="00DC0FB8"/>
    <w:rsid w:val="00DC14AF"/>
    <w:rsid w:val="00DC334E"/>
    <w:rsid w:val="00DC675C"/>
    <w:rsid w:val="00DD27F7"/>
    <w:rsid w:val="00DE05EB"/>
    <w:rsid w:val="00DE6B36"/>
    <w:rsid w:val="00DF1054"/>
    <w:rsid w:val="00DF1177"/>
    <w:rsid w:val="00DF18F9"/>
    <w:rsid w:val="00DF4DDC"/>
    <w:rsid w:val="00DF5E3A"/>
    <w:rsid w:val="00DF6A5F"/>
    <w:rsid w:val="00E04ABF"/>
    <w:rsid w:val="00E04DA4"/>
    <w:rsid w:val="00E06A07"/>
    <w:rsid w:val="00E22F76"/>
    <w:rsid w:val="00E301C8"/>
    <w:rsid w:val="00E40243"/>
    <w:rsid w:val="00E4070A"/>
    <w:rsid w:val="00E446E0"/>
    <w:rsid w:val="00E57903"/>
    <w:rsid w:val="00E60941"/>
    <w:rsid w:val="00E624D8"/>
    <w:rsid w:val="00E62ADC"/>
    <w:rsid w:val="00E63B76"/>
    <w:rsid w:val="00E65660"/>
    <w:rsid w:val="00E67E08"/>
    <w:rsid w:val="00E7039A"/>
    <w:rsid w:val="00E70516"/>
    <w:rsid w:val="00E71A77"/>
    <w:rsid w:val="00E7416F"/>
    <w:rsid w:val="00E77FD5"/>
    <w:rsid w:val="00E812F8"/>
    <w:rsid w:val="00E81D64"/>
    <w:rsid w:val="00E85ADB"/>
    <w:rsid w:val="00E85FBB"/>
    <w:rsid w:val="00E86CB6"/>
    <w:rsid w:val="00E90609"/>
    <w:rsid w:val="00EA1B33"/>
    <w:rsid w:val="00EA24E2"/>
    <w:rsid w:val="00EB1DA7"/>
    <w:rsid w:val="00EB2E6C"/>
    <w:rsid w:val="00EB3FD5"/>
    <w:rsid w:val="00EC0211"/>
    <w:rsid w:val="00EC2384"/>
    <w:rsid w:val="00EC3E8C"/>
    <w:rsid w:val="00ED4038"/>
    <w:rsid w:val="00ED4C27"/>
    <w:rsid w:val="00ED6AD5"/>
    <w:rsid w:val="00ED72FC"/>
    <w:rsid w:val="00EE56FB"/>
    <w:rsid w:val="00EE638B"/>
    <w:rsid w:val="00F03583"/>
    <w:rsid w:val="00F07F13"/>
    <w:rsid w:val="00F11BD9"/>
    <w:rsid w:val="00F138C6"/>
    <w:rsid w:val="00F14CAE"/>
    <w:rsid w:val="00F177F3"/>
    <w:rsid w:val="00F221E6"/>
    <w:rsid w:val="00F3285A"/>
    <w:rsid w:val="00F41A3A"/>
    <w:rsid w:val="00F41E8B"/>
    <w:rsid w:val="00F437B8"/>
    <w:rsid w:val="00F460F8"/>
    <w:rsid w:val="00F50844"/>
    <w:rsid w:val="00F5481F"/>
    <w:rsid w:val="00F60D5F"/>
    <w:rsid w:val="00F614ED"/>
    <w:rsid w:val="00F65CBD"/>
    <w:rsid w:val="00F67FB4"/>
    <w:rsid w:val="00F72F4D"/>
    <w:rsid w:val="00F81180"/>
    <w:rsid w:val="00F91C64"/>
    <w:rsid w:val="00F94F08"/>
    <w:rsid w:val="00F9786E"/>
    <w:rsid w:val="00FA2ED9"/>
    <w:rsid w:val="00FA69EB"/>
    <w:rsid w:val="00FB1667"/>
    <w:rsid w:val="00FB3C18"/>
    <w:rsid w:val="00FC7D26"/>
    <w:rsid w:val="00FD0773"/>
    <w:rsid w:val="00FD3254"/>
    <w:rsid w:val="00FE1E18"/>
    <w:rsid w:val="00FE5146"/>
    <w:rsid w:val="00FF175E"/>
    <w:rsid w:val="00FF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8022B0"/>
  <w15:docId w15:val="{EFBBDAAA-18AD-4141-AB4E-87D83F9C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EndNoteBibliographyTitle">
    <w:name w:val="EndNote Bibliography Title"/>
    <w:basedOn w:val="Standard"/>
    <w:link w:val="EndNoteBibliographyTitleZchn"/>
    <w:rsid w:val="00E85FBB"/>
    <w:pPr>
      <w:jc w:val="center"/>
    </w:pPr>
    <w:rPr>
      <w:lang w:val="de-DE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E85FBB"/>
    <w:rPr>
      <w:lang w:val="de-DE"/>
    </w:rPr>
  </w:style>
  <w:style w:type="paragraph" w:customStyle="1" w:styleId="EndNoteBibliography">
    <w:name w:val="EndNote Bibliography"/>
    <w:basedOn w:val="Standard"/>
    <w:link w:val="EndNoteBibliographyZchn"/>
    <w:rsid w:val="00E85FBB"/>
    <w:pPr>
      <w:spacing w:line="240" w:lineRule="auto"/>
      <w:jc w:val="both"/>
    </w:pPr>
    <w:rPr>
      <w:lang w:val="de-DE"/>
    </w:rPr>
  </w:style>
  <w:style w:type="character" w:customStyle="1" w:styleId="EndNoteBibliographyZchn">
    <w:name w:val="EndNote Bibliography Zchn"/>
    <w:basedOn w:val="Absatz-Standardschriftart"/>
    <w:link w:val="EndNoteBibliography"/>
    <w:rsid w:val="00E85FBB"/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5F6B7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6B75"/>
  </w:style>
  <w:style w:type="paragraph" w:styleId="Fuzeile">
    <w:name w:val="footer"/>
    <w:basedOn w:val="Standard"/>
    <w:link w:val="FuzeileZchn"/>
    <w:uiPriority w:val="99"/>
    <w:unhideWhenUsed/>
    <w:rsid w:val="005F6B7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6B75"/>
  </w:style>
  <w:style w:type="paragraph" w:styleId="berarbeitung">
    <w:name w:val="Revision"/>
    <w:hidden/>
    <w:uiPriority w:val="99"/>
    <w:semiHidden/>
    <w:rsid w:val="001675DD"/>
    <w:pPr>
      <w:spacing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67E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7E0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7E0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7E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7E0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62A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62AA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173406"/>
  </w:style>
  <w:style w:type="paragraph" w:styleId="Listenabsatz">
    <w:name w:val="List Paragraph"/>
    <w:basedOn w:val="Standard"/>
    <w:uiPriority w:val="34"/>
    <w:qFormat/>
    <w:rsid w:val="00457D2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C0211"/>
    <w:rPr>
      <w:strike w:val="0"/>
      <w:dstrike w:val="0"/>
      <w:color w:val="0071BC"/>
      <w:u w:val="none"/>
      <w:effect w:val="none"/>
      <w:shd w:val="clear" w:color="auto" w:fill="auto"/>
    </w:rPr>
  </w:style>
  <w:style w:type="character" w:customStyle="1" w:styleId="authors-list-item">
    <w:name w:val="authors-list-item"/>
    <w:basedOn w:val="Absatz-Standardschriftart"/>
    <w:rsid w:val="00EC0211"/>
  </w:style>
  <w:style w:type="character" w:customStyle="1" w:styleId="author-sup-separator">
    <w:name w:val="author-sup-separator"/>
    <w:basedOn w:val="Absatz-Standardschriftart"/>
    <w:rsid w:val="00EC0211"/>
  </w:style>
  <w:style w:type="character" w:customStyle="1" w:styleId="comma">
    <w:name w:val="comma"/>
    <w:basedOn w:val="Absatz-Standardschriftart"/>
    <w:rsid w:val="00EC0211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461D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461DB"/>
    <w:rPr>
      <w:color w:val="800080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3A5B5E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D61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253">
              <w:marLeft w:val="0"/>
              <w:marRight w:val="0"/>
              <w:marTop w:val="100"/>
              <w:marBottom w:val="100"/>
              <w:divBdr>
                <w:top w:val="single" w:sz="6" w:space="0" w:color="CFD6D9"/>
                <w:left w:val="single" w:sz="6" w:space="0" w:color="CFD6D9"/>
                <w:bottom w:val="single" w:sz="6" w:space="0" w:color="CFD6D9"/>
                <w:right w:val="single" w:sz="6" w:space="0" w:color="CFD6D9"/>
              </w:divBdr>
              <w:divsChild>
                <w:div w:id="412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9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84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31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81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77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56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87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51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78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7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02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06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5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88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6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06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6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73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36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0237">
              <w:marLeft w:val="0"/>
              <w:marRight w:val="0"/>
              <w:marTop w:val="100"/>
              <w:marBottom w:val="100"/>
              <w:divBdr>
                <w:top w:val="single" w:sz="6" w:space="0" w:color="CFD6D9"/>
                <w:left w:val="single" w:sz="6" w:space="0" w:color="CFD6D9"/>
                <w:bottom w:val="single" w:sz="6" w:space="0" w:color="CFD6D9"/>
                <w:right w:val="single" w:sz="6" w:space="0" w:color="CFD6D9"/>
              </w:divBdr>
              <w:divsChild>
                <w:div w:id="2900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8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2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1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5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86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42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53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83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97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15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66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65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10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0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02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8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1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7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0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7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57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65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0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7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9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2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2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03FC65-5353-4A8C-9213-6287E12D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928</Words>
  <Characters>5851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Schmalbrock, Laura Katharina</dc:creator>
  <cp:lastModifiedBy>Rieger, Kathrin</cp:lastModifiedBy>
  <cp:revision>2</cp:revision>
  <dcterms:created xsi:type="dcterms:W3CDTF">2022-06-01T12:50:00Z</dcterms:created>
  <dcterms:modified xsi:type="dcterms:W3CDTF">2022-06-01T12:50:00Z</dcterms:modified>
</cp:coreProperties>
</file>