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3E1DF" w14:textId="77777777" w:rsidR="004A16E6" w:rsidRPr="00F04D62" w:rsidRDefault="004A16E6" w:rsidP="004A16E6">
      <w:pPr>
        <w:spacing w:line="480" w:lineRule="auto"/>
        <w:jc w:val="both"/>
        <w:rPr>
          <w:rFonts w:ascii="Arial" w:hAnsi="Arial" w:cs="Arial"/>
          <w:b/>
          <w:bCs/>
          <w:u w:val="single"/>
        </w:rPr>
      </w:pPr>
      <w:r w:rsidRPr="00F04D62">
        <w:rPr>
          <w:rFonts w:ascii="Arial" w:hAnsi="Arial" w:cs="Arial"/>
          <w:b/>
          <w:bCs/>
          <w:u w:val="single"/>
        </w:rPr>
        <w:t>Supplementary Materials and Methods</w:t>
      </w:r>
    </w:p>
    <w:p w14:paraId="4F4CDD96" w14:textId="77777777" w:rsidR="004A16E6" w:rsidRPr="00F04D62" w:rsidRDefault="004A16E6" w:rsidP="004A16E6">
      <w:pPr>
        <w:spacing w:line="480" w:lineRule="auto"/>
        <w:jc w:val="both"/>
        <w:rPr>
          <w:rFonts w:ascii="Arial" w:hAnsi="Arial" w:cs="Arial"/>
          <w:b/>
          <w:bCs/>
          <w:u w:val="single"/>
        </w:rPr>
      </w:pPr>
    </w:p>
    <w:p w14:paraId="52DD9876" w14:textId="77777777" w:rsidR="004A16E6" w:rsidRPr="00F04D62" w:rsidRDefault="004A16E6" w:rsidP="004A16E6">
      <w:pPr>
        <w:spacing w:line="480" w:lineRule="auto"/>
        <w:jc w:val="both"/>
        <w:rPr>
          <w:rFonts w:ascii="Arial" w:hAnsi="Arial" w:cs="Arial"/>
          <w:b/>
          <w:bCs/>
        </w:rPr>
      </w:pPr>
      <w:r w:rsidRPr="00F04D62">
        <w:rPr>
          <w:rFonts w:ascii="Arial" w:hAnsi="Arial" w:cs="Arial"/>
          <w:b/>
          <w:bCs/>
        </w:rPr>
        <w:t xml:space="preserve">Allograft experiments and statistical analysis </w:t>
      </w:r>
    </w:p>
    <w:p w14:paraId="1A2EBFF6" w14:textId="77777777" w:rsidR="004A16E6" w:rsidRPr="00F04D62" w:rsidRDefault="004A16E6" w:rsidP="004A16E6">
      <w:pPr>
        <w:spacing w:line="480" w:lineRule="auto"/>
        <w:jc w:val="both"/>
        <w:rPr>
          <w:rFonts w:ascii="Arial" w:hAnsi="Arial" w:cs="Arial"/>
        </w:rPr>
      </w:pPr>
      <w:r w:rsidRPr="00F04D62">
        <w:rPr>
          <w:rFonts w:ascii="Arial" w:hAnsi="Arial" w:cs="Arial"/>
        </w:rPr>
        <w:t xml:space="preserve">Primary murine tumor cells derived from </w:t>
      </w:r>
      <w:proofErr w:type="spellStart"/>
      <w:r w:rsidRPr="00F04D62">
        <w:rPr>
          <w:rFonts w:ascii="Arial" w:hAnsi="Arial" w:cs="Arial"/>
          <w:i/>
          <w:iCs/>
        </w:rPr>
        <w:t>fl</w:t>
      </w:r>
      <w:proofErr w:type="spellEnd"/>
      <w:r w:rsidRPr="00F04D62">
        <w:rPr>
          <w:rFonts w:ascii="Arial" w:hAnsi="Arial" w:cs="Arial"/>
          <w:i/>
          <w:iCs/>
        </w:rPr>
        <w:t>/</w:t>
      </w:r>
      <w:proofErr w:type="spellStart"/>
      <w:r w:rsidRPr="00F04D62">
        <w:rPr>
          <w:rFonts w:ascii="Arial" w:hAnsi="Arial" w:cs="Arial"/>
          <w:i/>
          <w:iCs/>
        </w:rPr>
        <w:t>fl</w:t>
      </w:r>
      <w:proofErr w:type="spellEnd"/>
      <w:r w:rsidRPr="00F04D62">
        <w:rPr>
          <w:rFonts w:ascii="Arial" w:hAnsi="Arial" w:cs="Arial"/>
          <w:i/>
          <w:iCs/>
        </w:rPr>
        <w:t xml:space="preserve"> </w:t>
      </w:r>
      <w:proofErr w:type="spellStart"/>
      <w:r w:rsidRPr="00F04D62">
        <w:rPr>
          <w:rFonts w:ascii="Arial" w:hAnsi="Arial" w:cs="Arial"/>
          <w:i/>
          <w:iCs/>
        </w:rPr>
        <w:t>Pdgfrb</w:t>
      </w:r>
      <w:proofErr w:type="spellEnd"/>
      <w:r w:rsidRPr="00F04D62">
        <w:rPr>
          <w:rFonts w:ascii="Arial" w:hAnsi="Arial" w:cs="Arial"/>
          <w:i/>
          <w:iCs/>
        </w:rPr>
        <w:t xml:space="preserve"> </w:t>
      </w:r>
      <w:r w:rsidRPr="00F04D62">
        <w:rPr>
          <w:rFonts w:ascii="Arial" w:hAnsi="Arial" w:cs="Arial"/>
        </w:rPr>
        <w:t xml:space="preserve">and </w:t>
      </w:r>
      <w:r w:rsidRPr="00F04D62">
        <w:rPr>
          <w:rFonts w:ascii="Arial" w:hAnsi="Arial" w:cs="Arial"/>
          <w:i/>
          <w:iCs/>
        </w:rPr>
        <w:sym w:font="Symbol" w:char="F044"/>
      </w:r>
      <w:r w:rsidRPr="00F04D62">
        <w:rPr>
          <w:rFonts w:ascii="Arial" w:hAnsi="Arial" w:cs="Arial"/>
          <w:i/>
          <w:iCs/>
        </w:rPr>
        <w:t>/</w:t>
      </w:r>
      <w:r w:rsidRPr="00F04D62">
        <w:rPr>
          <w:rFonts w:ascii="Arial" w:hAnsi="Arial" w:cs="Arial"/>
          <w:i/>
          <w:iCs/>
        </w:rPr>
        <w:sym w:font="Symbol" w:char="F044"/>
      </w:r>
      <w:r w:rsidRPr="00F04D62">
        <w:rPr>
          <w:rFonts w:ascii="Arial" w:hAnsi="Arial" w:cs="Arial"/>
          <w:i/>
          <w:iCs/>
        </w:rPr>
        <w:t xml:space="preserve"> </w:t>
      </w:r>
      <w:proofErr w:type="spellStart"/>
      <w:r w:rsidRPr="00F04D62">
        <w:rPr>
          <w:rFonts w:ascii="Arial" w:hAnsi="Arial" w:cs="Arial"/>
          <w:i/>
          <w:iCs/>
        </w:rPr>
        <w:t>Pdgfrb</w:t>
      </w:r>
      <w:proofErr w:type="spellEnd"/>
      <w:r w:rsidRPr="00F04D62">
        <w:rPr>
          <w:rFonts w:ascii="Arial" w:hAnsi="Arial" w:cs="Arial"/>
        </w:rPr>
        <w:t xml:space="preserve"> animals were inoculated into </w:t>
      </w:r>
      <w:proofErr w:type="spellStart"/>
      <w:r w:rsidRPr="00F04D62">
        <w:rPr>
          <w:rFonts w:ascii="Arial" w:hAnsi="Arial" w:cs="Arial"/>
        </w:rPr>
        <w:t>immunodeficient</w:t>
      </w:r>
      <w:proofErr w:type="spellEnd"/>
      <w:r w:rsidRPr="00F04D62">
        <w:rPr>
          <w:rFonts w:ascii="Arial" w:hAnsi="Arial" w:cs="Arial"/>
        </w:rPr>
        <w:t xml:space="preserve"> mice (</w:t>
      </w:r>
      <w:proofErr w:type="spellStart"/>
      <w:r w:rsidRPr="00F04D62">
        <w:rPr>
          <w:rFonts w:ascii="Arial" w:hAnsi="Arial" w:cs="Arial"/>
        </w:rPr>
        <w:t>NOD.Cg-</w:t>
      </w:r>
      <w:r w:rsidRPr="00F04D62">
        <w:rPr>
          <w:rFonts w:ascii="Arial" w:hAnsi="Arial" w:cs="Arial"/>
          <w:i/>
          <w:iCs/>
        </w:rPr>
        <w:t>Prkdc</w:t>
      </w:r>
      <w:r w:rsidRPr="00F04D62">
        <w:rPr>
          <w:rFonts w:ascii="Arial" w:hAnsi="Arial" w:cs="Arial"/>
          <w:i/>
          <w:iCs/>
          <w:vertAlign w:val="superscript"/>
        </w:rPr>
        <w:t>scid</w:t>
      </w:r>
      <w:proofErr w:type="spellEnd"/>
      <w:r w:rsidRPr="00F04D62">
        <w:rPr>
          <w:rFonts w:ascii="Arial" w:hAnsi="Arial" w:cs="Arial"/>
        </w:rPr>
        <w:t xml:space="preserve">, </w:t>
      </w:r>
      <w:r w:rsidRPr="00F04D62">
        <w:rPr>
          <w:rFonts w:ascii="Arial" w:hAnsi="Arial" w:cs="Arial"/>
          <w:i/>
          <w:iCs/>
        </w:rPr>
        <w:t>Il2rd</w:t>
      </w:r>
      <w:r w:rsidRPr="00F04D62">
        <w:rPr>
          <w:rFonts w:ascii="Arial" w:hAnsi="Arial" w:cs="Arial"/>
          <w:i/>
          <w:iCs/>
          <w:vertAlign w:val="superscript"/>
        </w:rPr>
        <w:t>tm1Wjl</w:t>
      </w:r>
      <w:r w:rsidRPr="00F04D62">
        <w:rPr>
          <w:rFonts w:ascii="Arial" w:hAnsi="Arial" w:cs="Arial"/>
        </w:rPr>
        <w:t>/</w:t>
      </w:r>
      <w:proofErr w:type="spellStart"/>
      <w:r w:rsidRPr="00F04D62">
        <w:rPr>
          <w:rFonts w:ascii="Arial" w:hAnsi="Arial" w:cs="Arial"/>
        </w:rPr>
        <w:t>SzJ</w:t>
      </w:r>
      <w:proofErr w:type="spellEnd"/>
      <w:r w:rsidRPr="00F04D62">
        <w:rPr>
          <w:rFonts w:ascii="Arial" w:hAnsi="Arial" w:cs="Arial"/>
        </w:rPr>
        <w:t>).</w:t>
      </w:r>
      <w:r w:rsidRPr="00F04D62">
        <w:rPr>
          <w:rFonts w:ascii="Arial" w:hAnsi="Arial" w:cs="Arial"/>
          <w:color w:val="000000"/>
        </w:rPr>
        <w:t xml:space="preserve"> </w:t>
      </w:r>
      <w:r w:rsidRPr="00F04D62">
        <w:rPr>
          <w:rFonts w:ascii="Arial" w:hAnsi="Arial" w:cs="Arial"/>
        </w:rPr>
        <w:t xml:space="preserve">6 week-old female mice were maintained under pathogen-free conditions at the Medical University of Vienna. All animal </w:t>
      </w:r>
      <w:proofErr w:type="gramStart"/>
      <w:r w:rsidRPr="00F04D62">
        <w:rPr>
          <w:rFonts w:ascii="Arial" w:hAnsi="Arial" w:cs="Arial"/>
        </w:rPr>
        <w:t>experiments</w:t>
      </w:r>
      <w:proofErr w:type="gramEnd"/>
      <w:r w:rsidRPr="00F04D62">
        <w:rPr>
          <w:rFonts w:ascii="Arial" w:hAnsi="Arial" w:cs="Arial"/>
        </w:rPr>
        <w:t xml:space="preserve"> were carried out according to the animal license protocols (</w:t>
      </w:r>
      <w:r w:rsidRPr="00F04D62">
        <w:rPr>
          <w:rFonts w:ascii="Arial" w:eastAsia="Calibri" w:hAnsi="Arial" w:cs="Arial"/>
        </w:rPr>
        <w:t>BMWFW-66.009 /0183-WF/V/3b/2017; BMWFW-66.009/0057-V/3b/2018; BMWFW-66.009/0401-V/3b/2018; 2020-0.103.412</w:t>
      </w:r>
      <w:r w:rsidRPr="00F04D62">
        <w:rPr>
          <w:rFonts w:ascii="Arial" w:hAnsi="Arial" w:cs="Arial"/>
        </w:rPr>
        <w:t xml:space="preserve">) approved by the ethics committee of the Medical University of Vienna and the Austrian Federal Ministry of Science and Research. The experimental design and number of mice assigned to each cohort was based on prior experience and statistical modelling to insure sufficient power to discern a significant difference amongst the cohorts. No mice were excluded from the analysis. </w:t>
      </w:r>
    </w:p>
    <w:p w14:paraId="0E86F2B9" w14:textId="77777777" w:rsidR="004A16E6" w:rsidRPr="00F04D62" w:rsidRDefault="004A16E6" w:rsidP="004A16E6">
      <w:pPr>
        <w:spacing w:line="480" w:lineRule="auto"/>
        <w:jc w:val="both"/>
        <w:rPr>
          <w:rFonts w:ascii="Arial" w:hAnsi="Arial" w:cs="Arial"/>
        </w:rPr>
      </w:pPr>
      <w:r w:rsidRPr="00F04D62">
        <w:rPr>
          <w:rFonts w:ascii="Arial" w:hAnsi="Arial" w:cs="Arial"/>
          <w:i/>
          <w:iCs/>
          <w:u w:val="single"/>
        </w:rPr>
        <w:t>Density dependent growth:</w:t>
      </w:r>
      <w:r w:rsidRPr="00F04D62">
        <w:rPr>
          <w:rFonts w:ascii="Arial" w:hAnsi="Arial" w:cs="Arial"/>
          <w:i/>
          <w:iCs/>
        </w:rPr>
        <w:t xml:space="preserve"> </w:t>
      </w:r>
      <w:r w:rsidRPr="00F04D62">
        <w:rPr>
          <w:rFonts w:ascii="Arial" w:hAnsi="Arial" w:cs="Arial"/>
        </w:rPr>
        <w:t xml:space="preserve">6 week-old </w:t>
      </w:r>
      <w:proofErr w:type="spellStart"/>
      <w:r w:rsidRPr="00F04D62">
        <w:rPr>
          <w:rFonts w:ascii="Arial" w:hAnsi="Arial" w:cs="Arial"/>
        </w:rPr>
        <w:t>NOD.Cg-</w:t>
      </w:r>
      <w:r w:rsidRPr="00F04D62">
        <w:rPr>
          <w:rFonts w:ascii="Arial" w:hAnsi="Arial" w:cs="Arial"/>
          <w:i/>
          <w:iCs/>
        </w:rPr>
        <w:t>Prkdc</w:t>
      </w:r>
      <w:r w:rsidRPr="00F04D62">
        <w:rPr>
          <w:rFonts w:ascii="Arial" w:hAnsi="Arial" w:cs="Arial"/>
          <w:i/>
          <w:iCs/>
          <w:vertAlign w:val="superscript"/>
        </w:rPr>
        <w:t>scid</w:t>
      </w:r>
      <w:proofErr w:type="spellEnd"/>
      <w:r w:rsidRPr="00F04D62">
        <w:rPr>
          <w:rFonts w:ascii="Arial" w:hAnsi="Arial" w:cs="Arial"/>
        </w:rPr>
        <w:t xml:space="preserve">, </w:t>
      </w:r>
      <w:r w:rsidRPr="00F04D62">
        <w:rPr>
          <w:rFonts w:ascii="Arial" w:hAnsi="Arial" w:cs="Arial"/>
          <w:i/>
          <w:iCs/>
        </w:rPr>
        <w:t>Il2rd</w:t>
      </w:r>
      <w:r w:rsidRPr="00F04D62">
        <w:rPr>
          <w:rFonts w:ascii="Arial" w:hAnsi="Arial" w:cs="Arial"/>
          <w:i/>
          <w:iCs/>
          <w:vertAlign w:val="superscript"/>
        </w:rPr>
        <w:t>tm1Wjl</w:t>
      </w:r>
      <w:r w:rsidRPr="00F04D62">
        <w:rPr>
          <w:rFonts w:ascii="Arial" w:hAnsi="Arial" w:cs="Arial"/>
        </w:rPr>
        <w:t>/</w:t>
      </w:r>
      <w:proofErr w:type="spellStart"/>
      <w:r w:rsidRPr="00F04D62">
        <w:rPr>
          <w:rFonts w:ascii="Arial" w:hAnsi="Arial" w:cs="Arial"/>
        </w:rPr>
        <w:t>SzJ</w:t>
      </w:r>
      <w:proofErr w:type="spellEnd"/>
      <w:r w:rsidRPr="00F04D62">
        <w:rPr>
          <w:rFonts w:ascii="Arial" w:hAnsi="Arial" w:cs="Arial"/>
        </w:rPr>
        <w:t xml:space="preserve"> mice </w:t>
      </w:r>
      <w:r w:rsidRPr="00F04D62">
        <w:rPr>
          <w:rFonts w:ascii="Arial" w:hAnsi="Arial" w:cs="Arial"/>
          <w:color w:val="000000"/>
        </w:rPr>
        <w:t>were inoculated with either low (1x10</w:t>
      </w:r>
      <w:r w:rsidRPr="00F04D62">
        <w:rPr>
          <w:rFonts w:ascii="Arial" w:hAnsi="Arial" w:cs="Arial"/>
          <w:color w:val="000000"/>
          <w:vertAlign w:val="superscript"/>
        </w:rPr>
        <w:t>5</w:t>
      </w:r>
      <w:r w:rsidRPr="00F04D62">
        <w:rPr>
          <w:rFonts w:ascii="Arial" w:hAnsi="Arial" w:cs="Arial"/>
          <w:color w:val="000000"/>
        </w:rPr>
        <w:t>) or ten-fold higher (1x10</w:t>
      </w:r>
      <w:r w:rsidRPr="00F04D62">
        <w:rPr>
          <w:rFonts w:ascii="Arial" w:hAnsi="Arial" w:cs="Arial"/>
          <w:color w:val="000000"/>
          <w:vertAlign w:val="superscript"/>
        </w:rPr>
        <w:t>6</w:t>
      </w:r>
      <w:r w:rsidRPr="00F04D62">
        <w:rPr>
          <w:rFonts w:ascii="Arial" w:hAnsi="Arial" w:cs="Arial"/>
          <w:color w:val="000000"/>
        </w:rPr>
        <w:t xml:space="preserve">) densities of </w:t>
      </w:r>
      <w:r w:rsidRPr="00F04D62">
        <w:rPr>
          <w:rFonts w:ascii="Arial" w:hAnsi="Arial" w:cs="Arial"/>
        </w:rPr>
        <w:t xml:space="preserve">cells derived from </w:t>
      </w:r>
      <w:proofErr w:type="spellStart"/>
      <w:r w:rsidRPr="00F04D62">
        <w:rPr>
          <w:rFonts w:ascii="Arial" w:hAnsi="Arial" w:cs="Arial"/>
          <w:i/>
          <w:iCs/>
        </w:rPr>
        <w:t>fl</w:t>
      </w:r>
      <w:proofErr w:type="spellEnd"/>
      <w:r w:rsidRPr="00F04D62">
        <w:rPr>
          <w:rFonts w:ascii="Arial" w:hAnsi="Arial" w:cs="Arial"/>
          <w:i/>
          <w:iCs/>
        </w:rPr>
        <w:t>/</w:t>
      </w:r>
      <w:proofErr w:type="spellStart"/>
      <w:r w:rsidRPr="00F04D62">
        <w:rPr>
          <w:rFonts w:ascii="Arial" w:hAnsi="Arial" w:cs="Arial"/>
          <w:i/>
          <w:iCs/>
        </w:rPr>
        <w:t>fl</w:t>
      </w:r>
      <w:proofErr w:type="spellEnd"/>
      <w:r w:rsidRPr="00F04D62">
        <w:rPr>
          <w:rFonts w:ascii="Arial" w:hAnsi="Arial" w:cs="Arial"/>
          <w:i/>
          <w:iCs/>
        </w:rPr>
        <w:t xml:space="preserve"> </w:t>
      </w:r>
      <w:proofErr w:type="spellStart"/>
      <w:r w:rsidRPr="00F04D62">
        <w:rPr>
          <w:rFonts w:ascii="Arial" w:hAnsi="Arial" w:cs="Arial"/>
          <w:i/>
          <w:iCs/>
        </w:rPr>
        <w:t>Pdgfrb</w:t>
      </w:r>
      <w:proofErr w:type="spellEnd"/>
      <w:r w:rsidRPr="00F04D62">
        <w:rPr>
          <w:rFonts w:ascii="Arial" w:hAnsi="Arial" w:cs="Arial"/>
          <w:i/>
          <w:iCs/>
        </w:rPr>
        <w:t xml:space="preserve"> </w:t>
      </w:r>
      <w:r w:rsidRPr="00F04D62">
        <w:rPr>
          <w:rFonts w:ascii="Arial" w:hAnsi="Arial" w:cs="Arial"/>
        </w:rPr>
        <w:t xml:space="preserve">or </w:t>
      </w:r>
      <w:r w:rsidRPr="00F04D62">
        <w:rPr>
          <w:rFonts w:ascii="Arial" w:hAnsi="Arial" w:cs="Arial"/>
          <w:i/>
          <w:iCs/>
        </w:rPr>
        <w:sym w:font="Symbol" w:char="F044"/>
      </w:r>
      <w:r w:rsidRPr="00F04D62">
        <w:rPr>
          <w:rFonts w:ascii="Arial" w:hAnsi="Arial" w:cs="Arial"/>
          <w:i/>
          <w:iCs/>
        </w:rPr>
        <w:t>/</w:t>
      </w:r>
      <w:r w:rsidRPr="00F04D62">
        <w:rPr>
          <w:rFonts w:ascii="Arial" w:hAnsi="Arial" w:cs="Arial"/>
          <w:i/>
          <w:iCs/>
        </w:rPr>
        <w:sym w:font="Symbol" w:char="F044"/>
      </w:r>
      <w:r w:rsidRPr="00F04D62">
        <w:rPr>
          <w:rFonts w:ascii="Arial" w:hAnsi="Arial" w:cs="Arial"/>
          <w:i/>
          <w:iCs/>
        </w:rPr>
        <w:t xml:space="preserve"> </w:t>
      </w:r>
      <w:proofErr w:type="spellStart"/>
      <w:r w:rsidRPr="00F04D62">
        <w:rPr>
          <w:rFonts w:ascii="Arial" w:hAnsi="Arial" w:cs="Arial"/>
          <w:i/>
          <w:iCs/>
        </w:rPr>
        <w:t>Pdgfrb</w:t>
      </w:r>
      <w:proofErr w:type="spellEnd"/>
      <w:r w:rsidRPr="00F04D62">
        <w:rPr>
          <w:rFonts w:ascii="Arial" w:hAnsi="Arial" w:cs="Arial"/>
        </w:rPr>
        <w:t xml:space="preserve"> animals. </w:t>
      </w:r>
      <w:r w:rsidRPr="00F04D62">
        <w:rPr>
          <w:rFonts w:ascii="Arial" w:hAnsi="Arial" w:cs="Arial"/>
          <w:color w:val="000000"/>
        </w:rPr>
        <w:t xml:space="preserve">Primary </w:t>
      </w:r>
      <w:r w:rsidRPr="00F04D62">
        <w:rPr>
          <w:rFonts w:ascii="Arial" w:hAnsi="Arial" w:cs="Arial"/>
        </w:rPr>
        <w:t xml:space="preserve">murine tumor cells were implanted subcutaneously in both flanks in 100µl of PBS using a 27G needle. Tumor growth was monitored daily using Vernier calipers for the duration of the treatment. Tumor volumes were calculated as the product of length x width x height. Animals were sacrificed when the tumor volume reached </w:t>
      </w:r>
      <w:r w:rsidRPr="00F04D62">
        <w:rPr>
          <w:rFonts w:ascii="Arial" w:hAnsi="Arial" w:cs="Arial"/>
          <w:color w:val="000000"/>
        </w:rPr>
        <w:t>2000 mm</w:t>
      </w:r>
      <w:r w:rsidRPr="00F04D62">
        <w:rPr>
          <w:rFonts w:ascii="Arial" w:hAnsi="Arial" w:cs="Arial"/>
          <w:color w:val="000000"/>
          <w:vertAlign w:val="superscript"/>
        </w:rPr>
        <w:t>3</w:t>
      </w:r>
      <w:r w:rsidRPr="00F04D62">
        <w:rPr>
          <w:rFonts w:ascii="Arial" w:hAnsi="Arial" w:cs="Arial"/>
        </w:rPr>
        <w:t xml:space="preserve"> in size. Upon experimental termination, tumors were resected and used for analysis of tumor weight, IHC and WB as described. </w:t>
      </w:r>
    </w:p>
    <w:p w14:paraId="6A1A5914" w14:textId="77777777" w:rsidR="004A16E6" w:rsidRPr="00F04D62" w:rsidRDefault="004A16E6" w:rsidP="004A16E6">
      <w:pPr>
        <w:spacing w:line="480" w:lineRule="auto"/>
        <w:jc w:val="both"/>
        <w:rPr>
          <w:rFonts w:ascii="Arial" w:hAnsi="Arial" w:cs="Arial"/>
        </w:rPr>
      </w:pPr>
      <w:r w:rsidRPr="00F04D62">
        <w:rPr>
          <w:rFonts w:ascii="Arial" w:hAnsi="Arial" w:cs="Arial"/>
          <w:i/>
          <w:iCs/>
          <w:u w:val="single"/>
        </w:rPr>
        <w:t>AC-4-130 in vivo treatment:</w:t>
      </w:r>
      <w:r w:rsidRPr="00F04D62">
        <w:rPr>
          <w:rFonts w:ascii="Arial" w:hAnsi="Arial" w:cs="Arial"/>
          <w:i/>
          <w:iCs/>
        </w:rPr>
        <w:t xml:space="preserve"> </w:t>
      </w:r>
      <w:r w:rsidRPr="00F04D62">
        <w:rPr>
          <w:rFonts w:ascii="Arial" w:hAnsi="Arial" w:cs="Arial"/>
        </w:rPr>
        <w:t xml:space="preserve">6 week-old </w:t>
      </w:r>
      <w:proofErr w:type="spellStart"/>
      <w:r w:rsidRPr="00F04D62">
        <w:rPr>
          <w:rFonts w:ascii="Arial" w:hAnsi="Arial" w:cs="Arial"/>
        </w:rPr>
        <w:t>NOD.Cg-</w:t>
      </w:r>
      <w:r w:rsidRPr="00F04D62">
        <w:rPr>
          <w:rFonts w:ascii="Arial" w:hAnsi="Arial" w:cs="Arial"/>
          <w:i/>
          <w:iCs/>
        </w:rPr>
        <w:t>Prkdc</w:t>
      </w:r>
      <w:r w:rsidRPr="00F04D62">
        <w:rPr>
          <w:rFonts w:ascii="Arial" w:hAnsi="Arial" w:cs="Arial"/>
          <w:i/>
          <w:iCs/>
          <w:vertAlign w:val="superscript"/>
        </w:rPr>
        <w:t>scid</w:t>
      </w:r>
      <w:proofErr w:type="spellEnd"/>
      <w:r w:rsidRPr="00F04D62">
        <w:rPr>
          <w:rFonts w:ascii="Arial" w:hAnsi="Arial" w:cs="Arial"/>
        </w:rPr>
        <w:t xml:space="preserve">, </w:t>
      </w:r>
      <w:r w:rsidRPr="00F04D62">
        <w:rPr>
          <w:rFonts w:ascii="Arial" w:hAnsi="Arial" w:cs="Arial"/>
          <w:i/>
          <w:iCs/>
        </w:rPr>
        <w:t>Il2rd</w:t>
      </w:r>
      <w:r w:rsidRPr="00F04D62">
        <w:rPr>
          <w:rFonts w:ascii="Arial" w:hAnsi="Arial" w:cs="Arial"/>
          <w:i/>
          <w:iCs/>
          <w:vertAlign w:val="superscript"/>
        </w:rPr>
        <w:t>tm1Wjl</w:t>
      </w:r>
      <w:r w:rsidRPr="00F04D62">
        <w:rPr>
          <w:rFonts w:ascii="Arial" w:hAnsi="Arial" w:cs="Arial"/>
        </w:rPr>
        <w:t>/</w:t>
      </w:r>
      <w:proofErr w:type="spellStart"/>
      <w:r w:rsidRPr="00F04D62">
        <w:rPr>
          <w:rFonts w:ascii="Arial" w:hAnsi="Arial" w:cs="Arial"/>
        </w:rPr>
        <w:t>SzJ</w:t>
      </w:r>
      <w:proofErr w:type="spellEnd"/>
      <w:r w:rsidRPr="00F04D62">
        <w:rPr>
          <w:rFonts w:ascii="Arial" w:hAnsi="Arial" w:cs="Arial"/>
        </w:rPr>
        <w:t xml:space="preserve"> mice were inoculated with </w:t>
      </w:r>
      <w:r w:rsidRPr="00F04D62">
        <w:rPr>
          <w:rFonts w:ascii="Arial" w:hAnsi="Arial" w:cs="Arial"/>
          <w:color w:val="000000"/>
        </w:rPr>
        <w:t>1x10</w:t>
      </w:r>
      <w:r w:rsidRPr="00F04D62">
        <w:rPr>
          <w:rFonts w:ascii="Arial" w:hAnsi="Arial" w:cs="Arial"/>
          <w:color w:val="000000"/>
          <w:vertAlign w:val="superscript"/>
        </w:rPr>
        <w:t xml:space="preserve">5 </w:t>
      </w:r>
      <w:r w:rsidRPr="00F04D62">
        <w:rPr>
          <w:rFonts w:ascii="Arial" w:hAnsi="Arial" w:cs="Arial"/>
        </w:rPr>
        <w:t xml:space="preserve">cells derived from </w:t>
      </w:r>
      <w:proofErr w:type="spellStart"/>
      <w:r w:rsidRPr="00F04D62">
        <w:rPr>
          <w:rFonts w:ascii="Arial" w:hAnsi="Arial" w:cs="Arial"/>
          <w:i/>
          <w:iCs/>
        </w:rPr>
        <w:t>fl</w:t>
      </w:r>
      <w:proofErr w:type="spellEnd"/>
      <w:r w:rsidRPr="00F04D62">
        <w:rPr>
          <w:rFonts w:ascii="Arial" w:hAnsi="Arial" w:cs="Arial"/>
          <w:i/>
          <w:iCs/>
        </w:rPr>
        <w:t>/</w:t>
      </w:r>
      <w:proofErr w:type="spellStart"/>
      <w:r w:rsidRPr="00F04D62">
        <w:rPr>
          <w:rFonts w:ascii="Arial" w:hAnsi="Arial" w:cs="Arial"/>
          <w:i/>
          <w:iCs/>
        </w:rPr>
        <w:t>fl</w:t>
      </w:r>
      <w:proofErr w:type="spellEnd"/>
      <w:r w:rsidRPr="00F04D62">
        <w:rPr>
          <w:rFonts w:ascii="Arial" w:hAnsi="Arial" w:cs="Arial"/>
          <w:i/>
          <w:iCs/>
        </w:rPr>
        <w:t xml:space="preserve"> </w:t>
      </w:r>
      <w:proofErr w:type="spellStart"/>
      <w:r w:rsidRPr="00F04D62">
        <w:rPr>
          <w:rFonts w:ascii="Arial" w:hAnsi="Arial" w:cs="Arial"/>
          <w:i/>
          <w:iCs/>
        </w:rPr>
        <w:t>Pdgfrb</w:t>
      </w:r>
      <w:proofErr w:type="spellEnd"/>
      <w:r w:rsidRPr="00F04D62">
        <w:rPr>
          <w:rFonts w:ascii="Arial" w:hAnsi="Arial" w:cs="Arial"/>
          <w:i/>
          <w:iCs/>
        </w:rPr>
        <w:t xml:space="preserve"> </w:t>
      </w:r>
      <w:r w:rsidRPr="00F04D62">
        <w:rPr>
          <w:rFonts w:ascii="Arial" w:hAnsi="Arial" w:cs="Arial"/>
        </w:rPr>
        <w:t xml:space="preserve">or </w:t>
      </w:r>
      <w:r w:rsidRPr="00F04D62">
        <w:rPr>
          <w:rFonts w:ascii="Arial" w:hAnsi="Arial" w:cs="Arial"/>
          <w:i/>
          <w:iCs/>
        </w:rPr>
        <w:sym w:font="Symbol" w:char="F044"/>
      </w:r>
      <w:r w:rsidRPr="00F04D62">
        <w:rPr>
          <w:rFonts w:ascii="Arial" w:hAnsi="Arial" w:cs="Arial"/>
          <w:i/>
          <w:iCs/>
        </w:rPr>
        <w:t>/</w:t>
      </w:r>
      <w:r w:rsidRPr="00F04D62">
        <w:rPr>
          <w:rFonts w:ascii="Arial" w:hAnsi="Arial" w:cs="Arial"/>
          <w:i/>
          <w:iCs/>
        </w:rPr>
        <w:sym w:font="Symbol" w:char="F044"/>
      </w:r>
      <w:r w:rsidRPr="00F04D62">
        <w:rPr>
          <w:rFonts w:ascii="Arial" w:hAnsi="Arial" w:cs="Arial"/>
          <w:i/>
          <w:iCs/>
        </w:rPr>
        <w:t xml:space="preserve"> </w:t>
      </w:r>
      <w:proofErr w:type="spellStart"/>
      <w:r w:rsidRPr="00F04D62">
        <w:rPr>
          <w:rFonts w:ascii="Arial" w:hAnsi="Arial" w:cs="Arial"/>
          <w:i/>
          <w:iCs/>
        </w:rPr>
        <w:t>Pdgfrb</w:t>
      </w:r>
      <w:proofErr w:type="spellEnd"/>
      <w:r w:rsidRPr="00F04D62">
        <w:rPr>
          <w:rFonts w:ascii="Arial" w:hAnsi="Arial" w:cs="Arial"/>
        </w:rPr>
        <w:t xml:space="preserve"> animals</w:t>
      </w:r>
      <w:r w:rsidRPr="00F04D62">
        <w:rPr>
          <w:rFonts w:ascii="Arial" w:hAnsi="Arial" w:cs="Arial"/>
          <w:color w:val="000000"/>
        </w:rPr>
        <w:t xml:space="preserve">. The animals were randomly </w:t>
      </w:r>
      <w:r w:rsidRPr="00F04D62">
        <w:rPr>
          <w:rFonts w:ascii="Arial" w:hAnsi="Arial" w:cs="Arial"/>
          <w:color w:val="000000"/>
        </w:rPr>
        <w:lastRenderedPageBreak/>
        <w:t xml:space="preserve">divided into two groups and treated daily </w:t>
      </w:r>
      <w:r w:rsidRPr="00F04D62">
        <w:rPr>
          <w:rFonts w:ascii="Arial" w:hAnsi="Arial" w:cs="Arial"/>
        </w:rPr>
        <w:t xml:space="preserve">with either AC-4-130 (25 mg/kg) or vehicle (10% DMSO, 5% </w:t>
      </w:r>
      <w:proofErr w:type="spellStart"/>
      <w:r w:rsidRPr="00F04D62">
        <w:rPr>
          <w:rFonts w:ascii="Arial" w:hAnsi="Arial" w:cs="Arial"/>
        </w:rPr>
        <w:t>Cremophore</w:t>
      </w:r>
      <w:proofErr w:type="spellEnd"/>
      <w:r w:rsidRPr="00F04D62">
        <w:rPr>
          <w:rFonts w:ascii="Arial" w:hAnsi="Arial" w:cs="Arial"/>
        </w:rPr>
        <w:t xml:space="preserve"> in saline buffer) by intraperitoneal injection, as previously described</w:t>
      </w:r>
      <w:r w:rsidRPr="00F04D62">
        <w:rPr>
          <w:rFonts w:ascii="Arial" w:hAnsi="Arial" w:cs="Arial"/>
          <w:b/>
          <w:bCs/>
        </w:rPr>
        <w:fldChar w:fldCharType="begin" w:fldLock="1"/>
      </w:r>
      <w:r w:rsidRPr="00F04D62">
        <w:rPr>
          <w:rFonts w:ascii="Arial" w:hAnsi="Arial" w:cs="Arial"/>
        </w:rPr>
        <w:instrText>ADDIN CSL_CITATION {"citationItems":[{"id":"ITEM-1","itemData":{"DOI":"10.1038/s41375-017-0005-9","ISBN":"1344-6304; 1884-2836","ISSN":"14765551","PMID":"26044548","abstract":"The Ras/Raf/MAPK and PI3K/Akt/mTOR pathways are key signaling cascades involved in the regulation of cell proliferation and survival, and have been implicated in the pathogenesis of several types of cancers, including acute myeloid leukemia (AML). The oncogenic activity of eIF4E driven by the Mnk kinases is a convergent determinant of the two cascades, suggesting that targeting the Mnk/eIF4E axis may provide therapeutic opportunity for the treatment of cancer. Herein, a potent and selective Mnk2 inhibitor (MNKI-85) and a dual-specific Mnk1 and Mnk2 inhibitor (MNKI-19), both derived from a thienopyrimidinyl chemotype, were selected to explore their antileukemic properties. MNKI-19 and MNKI-85 are effective in inhibiting the growth of AML cells that possess an M5 subtype with FLT3-internal tandem duplication mutation. Further mechanistic studies show that the downstream effects with respect to the selective Mnk1/2 kinase inhibition in AML cells causes G1 cell cycle arrest followed by induction of apoptosis. MNKI-19 and MNKI-85 demonstrate similar Mnk2 kinase activity and cellular antiproliferative activity but exhibit different time-dependent effects on cell cycle progression and apoptosis. Collectively, this study shows that pharmacologic inhibition of both Mnk1 and Mnk2 can result in a more pronounced cellular response than targeting Mnk2 alone. However, MNKI-85, a first-in-class inhibitor of Mnk2, can be used as a powerful pharmacologic tool in studying the Mnk2/eIF4E-mediated tumorigenic mechanism. In conclusion, this study provides a better understanding of the mechanism underlying the inhibition of AML cell growth by Mnk inhibitors and suggests their potential utility as a therapeutic agent for AML.","author":[{"dropping-particle":"","family":"Wingelhofer","given":"Bettina","non-dropping-particle":"","parse-names":false,"suffix":""},{"dropping-particle":"","family":"Maurer","given":"Barbara","non-dropping-particle":"","parse-names":false,"suffix":""},{"dropping-particle":"","family":"Heyes","given":"Elizabeth C.","non-dropping-particle":"","parse-names":false,"suffix":""},{"dropping-particle":"","family":"Cumaraswamy","given":"Abbarna A.","non-dropping-particle":"","parse-names":false,"suffix":""},{"dropping-particle":"","family":"Berger-Becvar","given":"Angelika","non-dropping-particle":"","parse-names":false,"suffix":""},{"dropping-particle":"","family":"Araujo","given":"Elvin D.","non-dropping-particle":"De","parse-names":false,"suffix":""},{"dropping-particle":"","family":"Orlova","given":"Anna","non-dropping-particle":"","parse-names":false,"suffix":""},{"dropping-particle":"","family":"Freund","given":"Patricia","non-dropping-particle":"","parse-names":false,"suffix":""},{"dropping-particle":"","family":"Ruge","given":"Frank","non-dropping-particle":"","parse-names":false,"suffix":""},{"dropping-particle":"","family":"Park","given":"Jisung","non-dropping-particle":"","parse-names":false,"suffix":""},{"dropping-particle":"","family":"Tin","given":"Gary","non-dropping-particle":"","parse-names":false,"suffix":""},{"dropping-particle":"","family":"Ahmar","given":"Siawash","non-dropping-particle":"","parse-names":false,"suffix":""},{"dropping-particle":"","family":"Lardeau","given":"Charles Hugues","non-dropping-particle":"","parse-names":false,"suffix":""},{"dropping-particle":"","family":"Sadovnik","given":"Irina","non-dropping-particle":"","parse-names":false,"suffix":""},{"dropping-particle":"","family":"Bajusz","given":"Dávid","non-dropping-particle":"","parse-names":false,"suffix":""},{"dropping-particle":"","family":"Keseru","given":"György Miklós","non-dropping-particle":"","parse-names":false,"suffix":""},{"dropping-particle":"","family":"Grebien","given":"Florian","non-dropping-particle":"","parse-names":false,"suffix":""},{"dropping-particle":"","family":"Kubicek","given":"Stefan","non-dropping-particle":"","parse-names":false,"suffix":""},{"dropping-particle":"","family":"Valent","given":"Peter","non-dropping-particle":"","parse-names":false,"suffix":""},{"dropping-particle":"","family":"Gunning","given":"Patrick T.","non-dropping-particle":"","parse-names":false,"suffix":""},{"dropping-particle":"","family":"Moriggl","given":"Richard","non-dropping-particle":"","parse-names":false,"suffix":""}],"container-title":"Leukemia","id":"ITEM-1","issued":{"date-parts":[["2018"]]},"title":"Pharmacologic inhibition of STAT5 in acute myeloid leukemia","type":"article-journal"},"uris":["http://www.mendeley.com/documents/?uuid=ea1ff076-f3b7-44ae-ba2b-efc726ec8e12"]}],"mendeley":{"formattedCitation":"&lt;sup&gt;39&lt;/sup&gt;","plainTextFormattedCitation":"39","previouslyFormattedCitation":"&lt;sup&gt;39&lt;/sup&gt;"},"properties":{"noteIndex":0},"schema":"https://github.com/citation-style-language/schema/raw/master/csl-citation.json"}</w:instrText>
      </w:r>
      <w:r w:rsidRPr="00F04D62">
        <w:rPr>
          <w:rFonts w:ascii="Arial" w:hAnsi="Arial" w:cs="Arial"/>
          <w:b/>
          <w:bCs/>
        </w:rPr>
        <w:fldChar w:fldCharType="separate"/>
      </w:r>
      <w:r w:rsidRPr="00F04D62">
        <w:rPr>
          <w:rFonts w:ascii="Arial" w:hAnsi="Arial" w:cs="Arial"/>
          <w:noProof/>
          <w:vertAlign w:val="superscript"/>
        </w:rPr>
        <w:t>39</w:t>
      </w:r>
      <w:r w:rsidRPr="00F04D62">
        <w:rPr>
          <w:rFonts w:ascii="Arial" w:hAnsi="Arial" w:cs="Arial"/>
          <w:b/>
          <w:bCs/>
        </w:rPr>
        <w:fldChar w:fldCharType="end"/>
      </w:r>
      <w:bookmarkStart w:id="0" w:name="_GoBack"/>
      <w:bookmarkEnd w:id="0"/>
      <w:r w:rsidRPr="00F04D62">
        <w:rPr>
          <w:rFonts w:ascii="Arial" w:hAnsi="Arial" w:cs="Arial"/>
        </w:rPr>
        <w:t xml:space="preserve">. </w:t>
      </w:r>
    </w:p>
    <w:p w14:paraId="0FD8451C" w14:textId="77777777" w:rsidR="004A16E6" w:rsidRPr="00F04D62" w:rsidRDefault="004A16E6" w:rsidP="004A16E6">
      <w:pPr>
        <w:spacing w:line="480" w:lineRule="auto"/>
        <w:jc w:val="both"/>
        <w:rPr>
          <w:rFonts w:ascii="Arial" w:hAnsi="Arial" w:cs="Arial"/>
          <w:b/>
          <w:bCs/>
          <w:u w:val="single"/>
        </w:rPr>
      </w:pPr>
      <w:r w:rsidRPr="00F04D62">
        <w:rPr>
          <w:rFonts w:ascii="Arial" w:hAnsi="Arial" w:cs="Arial"/>
          <w:i/>
          <w:iCs/>
          <w:u w:val="single"/>
        </w:rPr>
        <w:t>Statistical analysis:</w:t>
      </w:r>
      <w:r w:rsidRPr="00F04D62">
        <w:rPr>
          <w:rFonts w:ascii="Arial" w:hAnsi="Arial" w:cs="Arial"/>
          <w:i/>
          <w:iCs/>
        </w:rPr>
        <w:t xml:space="preserve"> </w:t>
      </w:r>
      <w:r w:rsidRPr="00F04D62">
        <w:rPr>
          <w:rFonts w:ascii="Arial" w:hAnsi="Arial" w:cs="Arial"/>
        </w:rPr>
        <w:t xml:space="preserve">Longitudinal analyzes of tumor growth curves over the duration of the experiment was performed using the open-access R package </w:t>
      </w:r>
      <w:proofErr w:type="spellStart"/>
      <w:r w:rsidRPr="00F04D62">
        <w:rPr>
          <w:rFonts w:ascii="Arial" w:hAnsi="Arial" w:cs="Arial"/>
          <w:i/>
          <w:iCs/>
        </w:rPr>
        <w:t>TumGrowth</w:t>
      </w:r>
      <w:proofErr w:type="spellEnd"/>
      <w:r w:rsidRPr="00F04D62">
        <w:rPr>
          <w:rFonts w:ascii="Arial" w:hAnsi="Arial" w:cs="Arial"/>
        </w:rPr>
        <w:t>. Bonferroni analysis did not reveal any outliers and thus all animals were used for a type II ANOVA and pairwise comparisons across the groups.</w:t>
      </w:r>
    </w:p>
    <w:p w14:paraId="76E00BC6" w14:textId="77777777" w:rsidR="004A16E6" w:rsidRPr="00F04D62" w:rsidRDefault="004A16E6" w:rsidP="004A16E6">
      <w:pPr>
        <w:spacing w:before="240" w:line="480" w:lineRule="auto"/>
        <w:contextualSpacing/>
        <w:jc w:val="both"/>
        <w:rPr>
          <w:rFonts w:ascii="Arial" w:hAnsi="Arial" w:cs="Arial"/>
          <w:b/>
          <w:bCs/>
        </w:rPr>
      </w:pPr>
    </w:p>
    <w:p w14:paraId="0C30AB83" w14:textId="77777777" w:rsidR="004A16E6" w:rsidRPr="00F04D62" w:rsidRDefault="004A16E6" w:rsidP="004A16E6">
      <w:pPr>
        <w:spacing w:before="240" w:line="480" w:lineRule="auto"/>
        <w:contextualSpacing/>
        <w:jc w:val="both"/>
        <w:rPr>
          <w:rFonts w:ascii="Arial" w:hAnsi="Arial" w:cs="Arial"/>
          <w:bCs/>
        </w:rPr>
      </w:pPr>
      <w:proofErr w:type="spellStart"/>
      <w:r w:rsidRPr="00F04D62">
        <w:rPr>
          <w:rFonts w:ascii="Arial" w:hAnsi="Arial" w:cs="Arial"/>
          <w:b/>
          <w:bCs/>
        </w:rPr>
        <w:t>Oncomine</w:t>
      </w:r>
      <w:proofErr w:type="spellEnd"/>
      <w:r w:rsidRPr="00F04D62">
        <w:rPr>
          <w:rFonts w:ascii="Arial" w:hAnsi="Arial" w:cs="Arial"/>
          <w:b/>
          <w:bCs/>
        </w:rPr>
        <w:t xml:space="preserve"> database </w:t>
      </w:r>
      <w:r w:rsidRPr="00F04D62">
        <w:rPr>
          <w:rFonts w:ascii="Arial" w:hAnsi="Arial" w:cs="Arial"/>
          <w:b/>
        </w:rPr>
        <w:t>analysis</w:t>
      </w:r>
    </w:p>
    <w:p w14:paraId="42306861" w14:textId="77777777" w:rsidR="004A16E6" w:rsidRPr="00F04D62" w:rsidRDefault="004A16E6" w:rsidP="004A16E6">
      <w:pPr>
        <w:spacing w:before="240" w:line="480" w:lineRule="auto"/>
        <w:contextualSpacing/>
        <w:jc w:val="both"/>
        <w:rPr>
          <w:rFonts w:ascii="Arial" w:hAnsi="Arial" w:cs="Arial"/>
          <w:bCs/>
        </w:rPr>
      </w:pPr>
      <w:r w:rsidRPr="00F04D62">
        <w:rPr>
          <w:rFonts w:ascii="Arial" w:hAnsi="Arial" w:cs="Arial"/>
          <w:bCs/>
        </w:rPr>
        <w:t xml:space="preserve">Gene expression data for </w:t>
      </w:r>
      <w:r w:rsidRPr="00F04D62">
        <w:rPr>
          <w:rFonts w:ascii="Arial" w:hAnsi="Arial" w:cs="Arial"/>
          <w:bCs/>
          <w:i/>
          <w:iCs/>
        </w:rPr>
        <w:t xml:space="preserve">PDGFRB </w:t>
      </w:r>
      <w:r w:rsidRPr="00F04D62">
        <w:rPr>
          <w:rFonts w:ascii="Arial" w:hAnsi="Arial" w:cs="Arial"/>
          <w:bCs/>
        </w:rPr>
        <w:t>(reporter: 202273_at)</w:t>
      </w:r>
      <w:r w:rsidRPr="00F04D62">
        <w:rPr>
          <w:rFonts w:ascii="Arial" w:hAnsi="Arial" w:cs="Arial"/>
          <w:bCs/>
          <w:i/>
          <w:iCs/>
        </w:rPr>
        <w:t xml:space="preserve">, PDGFRA </w:t>
      </w:r>
      <w:r w:rsidRPr="00F04D62">
        <w:rPr>
          <w:rFonts w:ascii="Arial" w:hAnsi="Arial" w:cs="Arial"/>
          <w:bCs/>
        </w:rPr>
        <w:t>(reporter: 1554828_at)</w:t>
      </w:r>
      <w:r w:rsidRPr="00F04D62">
        <w:rPr>
          <w:rFonts w:ascii="Arial" w:hAnsi="Arial" w:cs="Arial"/>
          <w:bCs/>
          <w:i/>
          <w:iCs/>
        </w:rPr>
        <w:t xml:space="preserve">, BCL2L1 </w:t>
      </w:r>
      <w:r w:rsidRPr="00F04D62">
        <w:rPr>
          <w:rFonts w:ascii="Arial" w:hAnsi="Arial" w:cs="Arial"/>
          <w:bCs/>
        </w:rPr>
        <w:t>(reporter: 206665_s_at)</w:t>
      </w:r>
      <w:r w:rsidRPr="00F04D62">
        <w:rPr>
          <w:rFonts w:ascii="Arial" w:hAnsi="Arial" w:cs="Arial"/>
          <w:bCs/>
          <w:i/>
          <w:iCs/>
        </w:rPr>
        <w:t xml:space="preserve">, IL-10 </w:t>
      </w:r>
      <w:r w:rsidRPr="00F04D62">
        <w:rPr>
          <w:rFonts w:ascii="Arial" w:hAnsi="Arial" w:cs="Arial"/>
          <w:bCs/>
        </w:rPr>
        <w:t>(reporter: 207433_at)</w:t>
      </w:r>
      <w:r w:rsidRPr="00F04D62">
        <w:rPr>
          <w:rFonts w:ascii="Arial" w:hAnsi="Arial" w:cs="Arial"/>
          <w:bCs/>
          <w:i/>
          <w:iCs/>
        </w:rPr>
        <w:t xml:space="preserve">, BCL2 </w:t>
      </w:r>
      <w:r w:rsidRPr="00F04D62">
        <w:rPr>
          <w:rFonts w:ascii="Arial" w:hAnsi="Arial" w:cs="Arial"/>
          <w:bCs/>
        </w:rPr>
        <w:t>(reporter: 203685_at)</w:t>
      </w:r>
      <w:r w:rsidRPr="00F04D62">
        <w:rPr>
          <w:rFonts w:ascii="Arial" w:hAnsi="Arial" w:cs="Arial"/>
          <w:bCs/>
          <w:i/>
          <w:iCs/>
        </w:rPr>
        <w:t xml:space="preserve">, MCL1 </w:t>
      </w:r>
      <w:r w:rsidRPr="00F04D62">
        <w:rPr>
          <w:rFonts w:ascii="Arial" w:hAnsi="Arial" w:cs="Arial"/>
          <w:bCs/>
        </w:rPr>
        <w:t>(reporter: 200796_s_at)</w:t>
      </w:r>
      <w:r w:rsidRPr="00F04D62">
        <w:rPr>
          <w:rFonts w:ascii="Arial" w:hAnsi="Arial" w:cs="Arial"/>
          <w:bCs/>
          <w:i/>
          <w:iCs/>
        </w:rPr>
        <w:t xml:space="preserve"> </w:t>
      </w:r>
      <w:r w:rsidRPr="00F04D62">
        <w:rPr>
          <w:rFonts w:ascii="Arial" w:hAnsi="Arial" w:cs="Arial"/>
          <w:bCs/>
          <w:iCs/>
        </w:rPr>
        <w:t>and</w:t>
      </w:r>
      <w:r w:rsidRPr="00F04D62">
        <w:rPr>
          <w:rFonts w:ascii="Arial" w:hAnsi="Arial" w:cs="Arial"/>
          <w:bCs/>
          <w:i/>
          <w:iCs/>
        </w:rPr>
        <w:t xml:space="preserve"> IL19 </w:t>
      </w:r>
      <w:r w:rsidRPr="00F04D62">
        <w:rPr>
          <w:rFonts w:ascii="Arial" w:hAnsi="Arial" w:cs="Arial"/>
          <w:bCs/>
        </w:rPr>
        <w:t xml:space="preserve">(reporter: 220745_at) were extracted from the </w:t>
      </w:r>
      <w:proofErr w:type="spellStart"/>
      <w:r w:rsidRPr="00F04D62">
        <w:rPr>
          <w:rFonts w:ascii="Arial" w:hAnsi="Arial" w:cs="Arial"/>
          <w:bCs/>
        </w:rPr>
        <w:t>Piccaluga</w:t>
      </w:r>
      <w:proofErr w:type="spellEnd"/>
      <w:r w:rsidRPr="00F04D62">
        <w:rPr>
          <w:rFonts w:ascii="Arial" w:hAnsi="Arial" w:cs="Arial"/>
          <w:bCs/>
        </w:rPr>
        <w:t xml:space="preserve"> Lymphoma dataset</w:t>
      </w:r>
      <w:r w:rsidRPr="00F04D62">
        <w:rPr>
          <w:rFonts w:ascii="Arial" w:hAnsi="Arial" w:cs="Arial"/>
          <w:bCs/>
        </w:rPr>
        <w:fldChar w:fldCharType="begin" w:fldLock="1"/>
      </w:r>
      <w:r w:rsidRPr="00F04D62">
        <w:rPr>
          <w:rFonts w:ascii="Arial" w:hAnsi="Arial" w:cs="Arial"/>
          <w:bCs/>
        </w:rPr>
        <w:instrText>ADDIN CSL_CITATION {"citationItems":[{"id":"ITEM-1","itemData":{"DOI":"10.1172/JCI26833","ISSN":"0021-9738","author":[{"dropping-particle":"","family":"Piccaluga","given":"Pier Paolo","non-dropping-particle":"","parse-names":false,"suffix":""},{"dropping-particle":"","family":"Agostinelli","given":"Claudio","non-dropping-particle":"","parse-names":false,"suffix":""},{"dropping-particle":"","family":"Califano","given":"Andrea","non-dropping-particle":"","parse-names":false,"suffix":""},{"dropping-particle":"","family":"Rossi","given":"Maura","non-dropping-particle":"","parse-names":false,"suffix":""},{"dropping-particle":"","family":"Basso","given":"Katia","non-dropping-particle":"","parse-names":false,"suffix":""},{"dropping-particle":"","family":"Zupo","given":"Simonetta","non-dropping-particle":"","parse-names":false,"suffix":""},{"dropping-particle":"","family":"Went","given":"Philip","non-dropping-particle":"","parse-names":false,"suffix":""},{"dropping-particle":"","family":"Klein","given":"Ulf","non-dropping-particle":"","parse-names":false,"suffix":""},{"dropping-particle":"","family":"Zinzani","given":"Pier Luigi","non-dropping-particle":"","parse-names":false,"suffix":""},{"dropping-particle":"","family":"Baccarani","given":"Michele","non-dropping-particle":"","parse-names":false,"suffix":""},{"dropping-particle":"","family":"Dalla Favera","given":"Riccardo","non-dropping-particle":"","parse-names":false,"suffix":""},{"dropping-particle":"","family":"Pileri","given":"Stefano A.","non-dropping-particle":"","parse-names":false,"suffix":""}],"container-title":"Journal of Clinical Investigation","id":"ITEM-1","issue":"3","issued":{"date-parts":[["2007","3","1"]]},"page":"823-834","title":"Gene expression analysis of peripheral T cell lymphoma, unspecified, reveals distinct profiles and new potential therapeutic targets","type":"article-journal","volume":"117"},"uris":["http://www.mendeley.com/documents/?uuid=ec92f7c1-a024-4736-a40a-bf69c73f9d36"]}],"mendeley":{"formattedCitation":"&lt;sup&gt;32&lt;/sup&gt;","plainTextFormattedCitation":"32","previouslyFormattedCitation":"&lt;sup&gt;32&lt;/sup&gt;"},"properties":{"noteIndex":0},"schema":"https://github.com/citation-style-language/schema/raw/master/csl-citation.json"}</w:instrText>
      </w:r>
      <w:r w:rsidRPr="00F04D62">
        <w:rPr>
          <w:rFonts w:ascii="Arial" w:hAnsi="Arial" w:cs="Arial"/>
          <w:bCs/>
        </w:rPr>
        <w:fldChar w:fldCharType="separate"/>
      </w:r>
      <w:r w:rsidRPr="00F04D62">
        <w:rPr>
          <w:rFonts w:ascii="Arial" w:hAnsi="Arial" w:cs="Arial"/>
          <w:bCs/>
          <w:noProof/>
          <w:vertAlign w:val="superscript"/>
        </w:rPr>
        <w:t>32</w:t>
      </w:r>
      <w:r w:rsidRPr="00F04D62">
        <w:rPr>
          <w:rFonts w:ascii="Arial" w:hAnsi="Arial" w:cs="Arial"/>
          <w:bCs/>
        </w:rPr>
        <w:fldChar w:fldCharType="end"/>
      </w:r>
      <w:r w:rsidRPr="00F04D62">
        <w:rPr>
          <w:rFonts w:ascii="Arial" w:hAnsi="Arial" w:cs="Arial"/>
          <w:bCs/>
        </w:rPr>
        <w:t xml:space="preserve"> using the </w:t>
      </w:r>
      <w:proofErr w:type="spellStart"/>
      <w:r w:rsidRPr="00F04D62">
        <w:rPr>
          <w:rFonts w:ascii="Arial" w:hAnsi="Arial" w:cs="Arial"/>
          <w:bCs/>
        </w:rPr>
        <w:t>Oncomine</w:t>
      </w:r>
      <w:proofErr w:type="spellEnd"/>
      <w:r w:rsidRPr="00F04D62">
        <w:rPr>
          <w:rFonts w:ascii="Arial" w:hAnsi="Arial" w:cs="Arial"/>
          <w:bCs/>
        </w:rPr>
        <w:t>™ Research Premium Edition database (Thermo Fisher, Ann Arbor, MI)</w:t>
      </w:r>
      <w:r w:rsidRPr="00F04D62">
        <w:rPr>
          <w:rFonts w:ascii="Arial" w:hAnsi="Arial" w:cs="Arial"/>
          <w:bCs/>
        </w:rPr>
        <w:fldChar w:fldCharType="begin" w:fldLock="1"/>
      </w:r>
      <w:r w:rsidRPr="00F04D62">
        <w:rPr>
          <w:rFonts w:ascii="Arial" w:hAnsi="Arial" w:cs="Arial"/>
          <w:bCs/>
        </w:rPr>
        <w:instrText>ADDIN CSL_CITATION {"citationItems":[{"id":"ITEM-1","itemData":{"DOI":"10.1016/S1476-5586(04)80047-2","ISSN":"14765586","author":[{"dropping-particle":"","family":"Rhodes","given":"Daniel R.","non-dropping-particle":"","parse-names":false,"suffix":""},{"dropping-particle":"","family":"Yu","given":"Jianjun","non-dropping-particle":"","parse-names":false,"suffix":""},{"dropping-particle":"","family":"Shanker","given":"K.","non-dropping-particle":"","parse-names":false,"suffix":""},{"dropping-particle":"","family":"Deshpande","given":"Nandan","non-dropping-particle":"","parse-names":false,"suffix":""},{"dropping-particle":"","family":"Varambally","given":"Radhika","non-dropping-particle":"","parse-names":false,"suffix":""},{"dropping-particle":"","family":"Ghosh","given":"Debashis","non-dropping-particle":"","parse-names":false,"suffix":""},{"dropping-particle":"","family":"Barrette","given":"Terrence","non-dropping-particle":"","parse-names":false,"suffix":""},{"dropping-particle":"","family":"Pander","given":"Akhilesh","non-dropping-particle":"","parse-names":false,"suffix":""},{"dropping-particle":"","family":"Chinnaiyan","given":"Arul M.","non-dropping-particle":"","parse-names":false,"suffix":""}],"container-title":"Neoplasia","id":"ITEM-1","issue":"1","issued":{"date-parts":[["2004","1"]]},"page":"1-6","title":"ONCOMINE: A Cancer Microarray Database and Integrated Data-Mining Platform","type":"article-journal","volume":"6"},"uris":["http://www.mendeley.com/documents/?uuid=8e027e9b-34e7-408c-9163-bf987c242fdb"]}],"mendeley":{"formattedCitation":"&lt;sup&gt;59&lt;/sup&gt;","plainTextFormattedCitation":"59","previouslyFormattedCitation":"&lt;sup&gt;59&lt;/sup&gt;"},"properties":{"noteIndex":0},"schema":"https://github.com/citation-style-language/schema/raw/master/csl-citation.json"}</w:instrText>
      </w:r>
      <w:r w:rsidRPr="00F04D62">
        <w:rPr>
          <w:rFonts w:ascii="Arial" w:hAnsi="Arial" w:cs="Arial"/>
          <w:bCs/>
        </w:rPr>
        <w:fldChar w:fldCharType="separate"/>
      </w:r>
      <w:r w:rsidRPr="00F04D62">
        <w:rPr>
          <w:rFonts w:ascii="Arial" w:hAnsi="Arial" w:cs="Arial"/>
          <w:bCs/>
          <w:noProof/>
          <w:vertAlign w:val="superscript"/>
        </w:rPr>
        <w:t>59</w:t>
      </w:r>
      <w:r w:rsidRPr="00F04D62">
        <w:rPr>
          <w:rFonts w:ascii="Arial" w:hAnsi="Arial" w:cs="Arial"/>
          <w:bCs/>
        </w:rPr>
        <w:fldChar w:fldCharType="end"/>
      </w:r>
      <w:r w:rsidRPr="00F04D62">
        <w:rPr>
          <w:rFonts w:ascii="Arial" w:hAnsi="Arial" w:cs="Arial"/>
          <w:bCs/>
        </w:rPr>
        <w:t>.</w:t>
      </w:r>
    </w:p>
    <w:p w14:paraId="56211605" w14:textId="77777777" w:rsidR="004A16E6" w:rsidRPr="00F04D62" w:rsidRDefault="004A16E6" w:rsidP="004A16E6">
      <w:pPr>
        <w:spacing w:line="480" w:lineRule="auto"/>
        <w:jc w:val="both"/>
        <w:rPr>
          <w:rFonts w:ascii="Arial" w:hAnsi="Arial" w:cs="Arial"/>
          <w:b/>
        </w:rPr>
      </w:pPr>
    </w:p>
    <w:p w14:paraId="4E56B447" w14:textId="77777777" w:rsidR="004A16E6" w:rsidRPr="00F04D62" w:rsidRDefault="004A16E6" w:rsidP="004A16E6">
      <w:pPr>
        <w:spacing w:line="480" w:lineRule="auto"/>
        <w:jc w:val="both"/>
        <w:rPr>
          <w:rFonts w:ascii="Arial" w:hAnsi="Arial" w:cs="Arial"/>
          <w:b/>
        </w:rPr>
      </w:pPr>
      <w:r w:rsidRPr="00F04D62">
        <w:rPr>
          <w:rFonts w:ascii="Arial" w:hAnsi="Arial" w:cs="Arial"/>
          <w:b/>
        </w:rPr>
        <w:t xml:space="preserve">Cell culture and viability assays </w:t>
      </w:r>
    </w:p>
    <w:p w14:paraId="6F4EE84C" w14:textId="77777777" w:rsidR="004A16E6" w:rsidRPr="00F04D62" w:rsidRDefault="004A16E6" w:rsidP="004A16E6">
      <w:pPr>
        <w:spacing w:line="480" w:lineRule="auto"/>
        <w:jc w:val="both"/>
        <w:rPr>
          <w:rFonts w:ascii="Arial" w:hAnsi="Arial" w:cs="Arial"/>
          <w:bCs/>
        </w:rPr>
      </w:pPr>
      <w:r w:rsidRPr="00F04D62">
        <w:rPr>
          <w:rFonts w:ascii="Arial" w:hAnsi="Arial" w:cs="Arial"/>
          <w:bCs/>
        </w:rPr>
        <w:t xml:space="preserve">Primary tumor cells isolated from </w:t>
      </w:r>
      <w:proofErr w:type="spellStart"/>
      <w:r w:rsidRPr="00F04D62">
        <w:rPr>
          <w:rFonts w:ascii="Arial" w:hAnsi="Arial" w:cs="Arial"/>
          <w:i/>
          <w:iCs/>
        </w:rPr>
        <w:t>fl</w:t>
      </w:r>
      <w:proofErr w:type="spellEnd"/>
      <w:r w:rsidRPr="00F04D62">
        <w:rPr>
          <w:rFonts w:ascii="Arial" w:hAnsi="Arial" w:cs="Arial"/>
          <w:i/>
          <w:iCs/>
        </w:rPr>
        <w:t>/</w:t>
      </w:r>
      <w:proofErr w:type="spellStart"/>
      <w:r w:rsidRPr="00F04D62">
        <w:rPr>
          <w:rFonts w:ascii="Arial" w:hAnsi="Arial" w:cs="Arial"/>
          <w:i/>
          <w:iCs/>
        </w:rPr>
        <w:t>fl</w:t>
      </w:r>
      <w:proofErr w:type="spellEnd"/>
      <w:r w:rsidRPr="00F04D62">
        <w:rPr>
          <w:rFonts w:ascii="Arial" w:hAnsi="Arial" w:cs="Arial"/>
          <w:i/>
          <w:iCs/>
        </w:rPr>
        <w:t xml:space="preserve"> </w:t>
      </w:r>
      <w:proofErr w:type="spellStart"/>
      <w:r w:rsidRPr="00F04D62">
        <w:rPr>
          <w:rFonts w:ascii="Arial" w:hAnsi="Arial" w:cs="Arial"/>
          <w:i/>
          <w:iCs/>
        </w:rPr>
        <w:t>Pdgfr</w:t>
      </w:r>
      <w:r w:rsidRPr="00F04D62">
        <w:rPr>
          <w:rFonts w:ascii="Arial" w:hAnsi="Arial" w:cs="Arial"/>
          <w:bCs/>
          <w:i/>
          <w:iCs/>
        </w:rPr>
        <w:t>b</w:t>
      </w:r>
      <w:proofErr w:type="spellEnd"/>
      <w:r w:rsidRPr="00F04D62">
        <w:rPr>
          <w:rFonts w:ascii="Arial" w:hAnsi="Arial" w:cs="Arial"/>
          <w:color w:val="000000"/>
        </w:rPr>
        <w:t xml:space="preserve"> and </w:t>
      </w:r>
      <w:r w:rsidRPr="00F04D62">
        <w:rPr>
          <w:rFonts w:ascii="Arial" w:hAnsi="Arial" w:cs="Arial"/>
          <w:i/>
          <w:iCs/>
        </w:rPr>
        <w:sym w:font="Symbol" w:char="F044"/>
      </w:r>
      <w:r w:rsidRPr="00F04D62">
        <w:rPr>
          <w:rFonts w:ascii="Arial" w:hAnsi="Arial" w:cs="Arial"/>
          <w:i/>
          <w:iCs/>
        </w:rPr>
        <w:t>/</w:t>
      </w:r>
      <w:r w:rsidRPr="00F04D62">
        <w:rPr>
          <w:rFonts w:ascii="Arial" w:hAnsi="Arial" w:cs="Arial"/>
          <w:i/>
          <w:iCs/>
        </w:rPr>
        <w:sym w:font="Symbol" w:char="F044"/>
      </w:r>
      <w:r w:rsidRPr="00F04D62">
        <w:rPr>
          <w:rFonts w:ascii="Arial" w:hAnsi="Arial" w:cs="Arial"/>
          <w:i/>
          <w:iCs/>
        </w:rPr>
        <w:t xml:space="preserve"> </w:t>
      </w:r>
      <w:proofErr w:type="spellStart"/>
      <w:r w:rsidRPr="00F04D62">
        <w:rPr>
          <w:rFonts w:ascii="Arial" w:hAnsi="Arial" w:cs="Arial"/>
          <w:i/>
          <w:iCs/>
        </w:rPr>
        <w:t>Pdgfr</w:t>
      </w:r>
      <w:r w:rsidRPr="00F04D62">
        <w:rPr>
          <w:rFonts w:ascii="Arial" w:hAnsi="Arial" w:cs="Arial"/>
          <w:bCs/>
          <w:i/>
          <w:iCs/>
        </w:rPr>
        <w:t>b</w:t>
      </w:r>
      <w:proofErr w:type="spellEnd"/>
      <w:r w:rsidRPr="00F04D62">
        <w:rPr>
          <w:rFonts w:ascii="Arial" w:hAnsi="Arial" w:cs="Arial"/>
          <w:color w:val="000000"/>
        </w:rPr>
        <w:t xml:space="preserve"> </w:t>
      </w:r>
      <w:r w:rsidRPr="00F04D62">
        <w:rPr>
          <w:rFonts w:ascii="Arial" w:hAnsi="Arial" w:cs="Arial"/>
          <w:bCs/>
        </w:rPr>
        <w:t xml:space="preserve">were grown in RPMI 1640 Medium (Sigma-Aldrich) supplemented with 10% Fetal Bovine Serum (FBS), 100 U/mL penicillin, and 100 </w:t>
      </w:r>
      <w:r w:rsidRPr="00F04D62">
        <w:rPr>
          <w:rFonts w:ascii="Arial" w:hAnsi="Arial" w:cs="Arial"/>
          <w:bCs/>
        </w:rPr>
        <w:sym w:font="Symbol" w:char="F06D"/>
      </w:r>
      <w:r w:rsidRPr="00F04D62">
        <w:rPr>
          <w:rFonts w:ascii="Arial" w:hAnsi="Arial" w:cs="Arial"/>
          <w:bCs/>
        </w:rPr>
        <w:t xml:space="preserve">g/mL penicillin/streptomycin (Gibco). HEK293FT cells were maintained in Dulbecco’s modified Eagle medium supplemented with 10% FBS and 100 </w:t>
      </w:r>
      <w:r w:rsidRPr="00F04D62">
        <w:rPr>
          <w:rFonts w:ascii="Arial" w:hAnsi="Arial" w:cs="Arial"/>
          <w:bCs/>
        </w:rPr>
        <w:sym w:font="Symbol" w:char="F06D"/>
      </w:r>
      <w:r w:rsidRPr="00F04D62">
        <w:rPr>
          <w:rFonts w:ascii="Arial" w:hAnsi="Arial" w:cs="Arial"/>
          <w:bCs/>
        </w:rPr>
        <w:t xml:space="preserve">g/mL penicillin/ streptomycin. Cell lines were tested for mycoplasma contamination using the </w:t>
      </w:r>
      <w:proofErr w:type="spellStart"/>
      <w:r w:rsidRPr="00F04D62">
        <w:rPr>
          <w:rFonts w:ascii="Arial" w:hAnsi="Arial" w:cs="Arial"/>
          <w:bCs/>
        </w:rPr>
        <w:t>MycoAlert</w:t>
      </w:r>
      <w:proofErr w:type="spellEnd"/>
      <w:r w:rsidRPr="00F04D62">
        <w:rPr>
          <w:rFonts w:ascii="Arial" w:hAnsi="Arial" w:cs="Arial"/>
          <w:bCs/>
        </w:rPr>
        <w:t xml:space="preserve"> Detection Kit (</w:t>
      </w:r>
      <w:proofErr w:type="spellStart"/>
      <w:r w:rsidRPr="00F04D62">
        <w:rPr>
          <w:rFonts w:ascii="Arial" w:hAnsi="Arial" w:cs="Arial"/>
          <w:bCs/>
        </w:rPr>
        <w:t>Lonza</w:t>
      </w:r>
      <w:proofErr w:type="spellEnd"/>
      <w:r w:rsidRPr="00F04D62">
        <w:rPr>
          <w:rFonts w:ascii="Arial" w:hAnsi="Arial" w:cs="Arial"/>
          <w:bCs/>
        </w:rPr>
        <w:t xml:space="preserve">) according to manufacturer’s instructions. </w:t>
      </w:r>
    </w:p>
    <w:p w14:paraId="4132AA03" w14:textId="77777777" w:rsidR="004A16E6" w:rsidRPr="00F04D62" w:rsidRDefault="004A16E6" w:rsidP="004A16E6">
      <w:pPr>
        <w:spacing w:line="480" w:lineRule="auto"/>
        <w:jc w:val="both"/>
        <w:rPr>
          <w:rFonts w:ascii="Arial" w:hAnsi="Arial" w:cs="Arial"/>
          <w:bCs/>
        </w:rPr>
      </w:pPr>
      <w:proofErr w:type="gramStart"/>
      <w:r w:rsidRPr="00F04D62">
        <w:rPr>
          <w:rFonts w:ascii="Arial" w:hAnsi="Arial" w:cs="Arial"/>
          <w:bCs/>
        </w:rPr>
        <w:t>1x10</w:t>
      </w:r>
      <w:r w:rsidRPr="00F04D62">
        <w:rPr>
          <w:rFonts w:ascii="Arial" w:hAnsi="Arial" w:cs="Arial"/>
          <w:bCs/>
          <w:vertAlign w:val="superscript"/>
        </w:rPr>
        <w:t xml:space="preserve">5  </w:t>
      </w:r>
      <w:r w:rsidRPr="00F04D62">
        <w:rPr>
          <w:rFonts w:ascii="Arial" w:hAnsi="Arial" w:cs="Arial"/>
          <w:bCs/>
        </w:rPr>
        <w:t>cells</w:t>
      </w:r>
      <w:proofErr w:type="gramEnd"/>
      <w:r w:rsidRPr="00F04D62">
        <w:rPr>
          <w:rFonts w:ascii="Arial" w:hAnsi="Arial" w:cs="Arial"/>
          <w:bCs/>
        </w:rPr>
        <w:t xml:space="preserve"> were seeded in 6-well plates for proliferation assay and 1x10</w:t>
      </w:r>
      <w:r w:rsidRPr="00F04D62">
        <w:rPr>
          <w:rFonts w:ascii="Arial" w:hAnsi="Arial" w:cs="Arial"/>
          <w:bCs/>
          <w:vertAlign w:val="superscript"/>
        </w:rPr>
        <w:t xml:space="preserve">4 </w:t>
      </w:r>
      <w:r w:rsidRPr="00F04D62">
        <w:rPr>
          <w:rFonts w:ascii="Arial" w:hAnsi="Arial" w:cs="Arial"/>
          <w:bCs/>
        </w:rPr>
        <w:t xml:space="preserve">cells were seeded into 96-well plates for limiting dilution growth assays. Cell concentrations and viabilities were </w:t>
      </w:r>
      <w:r w:rsidRPr="00F04D62">
        <w:rPr>
          <w:rFonts w:ascii="Arial" w:hAnsi="Arial" w:cs="Arial"/>
          <w:bCs/>
        </w:rPr>
        <w:lastRenderedPageBreak/>
        <w:t xml:space="preserve">determined </w:t>
      </w:r>
      <w:r w:rsidRPr="00F04D62">
        <w:rPr>
          <w:rFonts w:ascii="Arial" w:hAnsi="Arial" w:cs="Arial"/>
          <w:bCs/>
          <w:i/>
          <w:iCs/>
        </w:rPr>
        <w:t>via</w:t>
      </w:r>
      <w:r w:rsidRPr="00F04D62">
        <w:rPr>
          <w:rFonts w:ascii="Arial" w:hAnsi="Arial" w:cs="Arial"/>
          <w:bCs/>
        </w:rPr>
        <w:t xml:space="preserve"> Trypan Blue (</w:t>
      </w:r>
      <w:proofErr w:type="spellStart"/>
      <w:r w:rsidRPr="00F04D62">
        <w:rPr>
          <w:rFonts w:ascii="Arial" w:hAnsi="Arial" w:cs="Arial"/>
          <w:bCs/>
        </w:rPr>
        <w:t>Biozym</w:t>
      </w:r>
      <w:proofErr w:type="spellEnd"/>
      <w:r w:rsidRPr="00F04D62">
        <w:rPr>
          <w:rFonts w:ascii="Arial" w:hAnsi="Arial" w:cs="Arial"/>
          <w:bCs/>
        </w:rPr>
        <w:t xml:space="preserve">) incorporation or </w:t>
      </w:r>
      <w:proofErr w:type="spellStart"/>
      <w:r w:rsidRPr="00F04D62">
        <w:rPr>
          <w:rFonts w:ascii="Arial" w:hAnsi="Arial" w:cs="Arial"/>
          <w:bCs/>
        </w:rPr>
        <w:t>Resazurin</w:t>
      </w:r>
      <w:proofErr w:type="spellEnd"/>
      <w:r w:rsidRPr="00F04D62">
        <w:rPr>
          <w:rFonts w:ascii="Arial" w:hAnsi="Arial" w:cs="Arial"/>
          <w:bCs/>
        </w:rPr>
        <w:t xml:space="preserve"> (Sigma) and counted with a Luna-II™ Automated Cell Counter (Logos Biosystems). </w:t>
      </w:r>
    </w:p>
    <w:p w14:paraId="4FB11F6A" w14:textId="77777777" w:rsidR="004A16E6" w:rsidRPr="00F04D62" w:rsidRDefault="004A16E6" w:rsidP="004A16E6">
      <w:pPr>
        <w:spacing w:line="480" w:lineRule="auto"/>
        <w:jc w:val="both"/>
        <w:rPr>
          <w:rFonts w:ascii="Arial" w:hAnsi="Arial" w:cs="Arial"/>
          <w:bCs/>
        </w:rPr>
      </w:pPr>
    </w:p>
    <w:p w14:paraId="590EF5AE" w14:textId="77777777" w:rsidR="004A16E6" w:rsidRPr="00F04D62" w:rsidRDefault="004A16E6" w:rsidP="004A16E6">
      <w:pPr>
        <w:spacing w:line="480" w:lineRule="auto"/>
        <w:contextualSpacing/>
        <w:jc w:val="both"/>
        <w:rPr>
          <w:rFonts w:ascii="Arial" w:hAnsi="Arial" w:cs="Arial"/>
          <w:b/>
          <w:bCs/>
        </w:rPr>
      </w:pPr>
      <w:r w:rsidRPr="00F04D62">
        <w:rPr>
          <w:rFonts w:ascii="Arial" w:hAnsi="Arial" w:cs="Arial"/>
          <w:b/>
          <w:bCs/>
        </w:rPr>
        <w:t xml:space="preserve">Constructs, viral particle production and cell transduction </w:t>
      </w:r>
    </w:p>
    <w:p w14:paraId="2DF3FBB0" w14:textId="60A20DE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i/>
          <w:iCs/>
          <w:sz w:val="22"/>
          <w:szCs w:val="22"/>
          <w:u w:val="single"/>
        </w:rPr>
        <w:t>CRISPR/Cas9 Genome Editing:</w:t>
      </w:r>
      <w:r w:rsidRPr="00F04D62">
        <w:rPr>
          <w:rFonts w:ascii="Arial" w:hAnsi="Arial" w:cs="Arial"/>
          <w:b w:val="0"/>
          <w:bCs w:val="0"/>
          <w:sz w:val="22"/>
          <w:szCs w:val="22"/>
        </w:rPr>
        <w:t xml:space="preserve"> CRISPR guide RNAs targeting the genomic DNA of mouse </w:t>
      </w:r>
      <w:proofErr w:type="spellStart"/>
      <w:r w:rsidRPr="00F04D62">
        <w:rPr>
          <w:rFonts w:ascii="Arial" w:hAnsi="Arial" w:cs="Arial"/>
          <w:b w:val="0"/>
          <w:bCs w:val="0"/>
          <w:i/>
          <w:iCs/>
          <w:sz w:val="22"/>
          <w:szCs w:val="22"/>
        </w:rPr>
        <w:t>Pdgfrb</w:t>
      </w:r>
      <w:proofErr w:type="spellEnd"/>
      <w:r w:rsidRPr="00F04D62">
        <w:rPr>
          <w:rFonts w:ascii="Arial" w:hAnsi="Arial" w:cs="Arial"/>
          <w:b w:val="0"/>
          <w:bCs w:val="0"/>
          <w:sz w:val="22"/>
          <w:szCs w:val="22"/>
        </w:rPr>
        <w:t xml:space="preserve"> (ENSMUSG00000024620), </w:t>
      </w:r>
      <w:r w:rsidRPr="00F04D62">
        <w:rPr>
          <w:rFonts w:ascii="Arial" w:hAnsi="Arial" w:cs="Arial"/>
          <w:b w:val="0"/>
          <w:bCs w:val="0"/>
          <w:i/>
          <w:iCs/>
          <w:sz w:val="22"/>
          <w:szCs w:val="22"/>
        </w:rPr>
        <w:t>Stat5a</w:t>
      </w:r>
      <w:r w:rsidRPr="00F04D62">
        <w:rPr>
          <w:rFonts w:ascii="Arial" w:hAnsi="Arial" w:cs="Arial"/>
          <w:b w:val="0"/>
          <w:bCs w:val="0"/>
          <w:sz w:val="22"/>
          <w:szCs w:val="22"/>
        </w:rPr>
        <w:t xml:space="preserve"> (ENSMUST00000004145.14), </w:t>
      </w:r>
      <w:r w:rsidRPr="00F04D62">
        <w:rPr>
          <w:rFonts w:ascii="Arial" w:hAnsi="Arial" w:cs="Arial"/>
          <w:b w:val="0"/>
          <w:bCs w:val="0"/>
          <w:i/>
          <w:iCs/>
          <w:sz w:val="22"/>
          <w:szCs w:val="22"/>
        </w:rPr>
        <w:t>Stat5b</w:t>
      </w:r>
      <w:r w:rsidRPr="00F04D62">
        <w:rPr>
          <w:rFonts w:ascii="Arial" w:hAnsi="Arial" w:cs="Arial"/>
          <w:b w:val="0"/>
          <w:bCs w:val="0"/>
          <w:sz w:val="22"/>
          <w:szCs w:val="22"/>
        </w:rPr>
        <w:t xml:space="preserve"> (ENSMUST00000107358.9),</w:t>
      </w:r>
      <w:r w:rsidRPr="00F04D62">
        <w:rPr>
          <w:rFonts w:ascii="Arial" w:hAnsi="Arial" w:cs="Arial"/>
          <w:b w:val="0"/>
          <w:bCs w:val="0"/>
          <w:i/>
          <w:iCs/>
          <w:sz w:val="22"/>
          <w:szCs w:val="22"/>
        </w:rPr>
        <w:t xml:space="preserve"> Stat5a/b (</w:t>
      </w:r>
      <w:r w:rsidRPr="00F04D62">
        <w:rPr>
          <w:rFonts w:ascii="Arial" w:hAnsi="Arial" w:cs="Arial"/>
          <w:b w:val="0"/>
          <w:bCs w:val="0"/>
          <w:sz w:val="22"/>
          <w:szCs w:val="22"/>
        </w:rPr>
        <w:t xml:space="preserve">ENSMUST00000004145.14 and ENSMUST00000107358.9), </w:t>
      </w:r>
      <w:r w:rsidRPr="00F04D62">
        <w:rPr>
          <w:rFonts w:ascii="Arial" w:hAnsi="Arial" w:cs="Arial"/>
          <w:b w:val="0"/>
          <w:bCs w:val="0"/>
          <w:i/>
          <w:iCs/>
          <w:sz w:val="22"/>
          <w:szCs w:val="22"/>
        </w:rPr>
        <w:t>Stat3</w:t>
      </w:r>
      <w:r w:rsidRPr="00F04D62">
        <w:rPr>
          <w:rFonts w:ascii="Arial" w:hAnsi="Arial" w:cs="Arial"/>
          <w:b w:val="0"/>
          <w:bCs w:val="0"/>
          <w:sz w:val="22"/>
          <w:szCs w:val="22"/>
        </w:rPr>
        <w:t xml:space="preserve"> (ENSMUST00000127638.8), </w:t>
      </w:r>
      <w:r w:rsidRPr="00F04D62">
        <w:rPr>
          <w:rFonts w:ascii="Arial" w:hAnsi="Arial" w:cs="Arial"/>
          <w:b w:val="0"/>
          <w:bCs w:val="0"/>
          <w:i/>
          <w:iCs/>
          <w:sz w:val="22"/>
          <w:szCs w:val="22"/>
        </w:rPr>
        <w:t>Rosa</w:t>
      </w:r>
      <w:r w:rsidRPr="00F04D62">
        <w:rPr>
          <w:rFonts w:ascii="Arial" w:hAnsi="Arial" w:cs="Arial"/>
          <w:b w:val="0"/>
          <w:bCs w:val="0"/>
          <w:sz w:val="22"/>
          <w:szCs w:val="22"/>
        </w:rPr>
        <w:t xml:space="preserve"> and </w:t>
      </w:r>
      <w:proofErr w:type="spellStart"/>
      <w:r w:rsidRPr="00F04D62">
        <w:rPr>
          <w:rFonts w:ascii="Arial" w:hAnsi="Arial" w:cs="Arial"/>
          <w:b w:val="0"/>
          <w:bCs w:val="0"/>
          <w:i/>
          <w:iCs/>
          <w:sz w:val="22"/>
          <w:szCs w:val="22"/>
        </w:rPr>
        <w:t>Myb</w:t>
      </w:r>
      <w:proofErr w:type="spellEnd"/>
      <w:r w:rsidRPr="00F04D62">
        <w:rPr>
          <w:rFonts w:ascii="Arial" w:hAnsi="Arial" w:cs="Arial"/>
          <w:b w:val="0"/>
          <w:bCs w:val="0"/>
          <w:sz w:val="22"/>
          <w:szCs w:val="22"/>
        </w:rPr>
        <w:t xml:space="preserve"> (kindly gifted by the </w:t>
      </w:r>
      <w:proofErr w:type="spellStart"/>
      <w:r w:rsidRPr="00F04D62">
        <w:rPr>
          <w:rFonts w:ascii="Arial" w:hAnsi="Arial" w:cs="Arial"/>
          <w:b w:val="0"/>
          <w:bCs w:val="0"/>
          <w:sz w:val="22"/>
          <w:szCs w:val="22"/>
        </w:rPr>
        <w:t>Grebien</w:t>
      </w:r>
      <w:proofErr w:type="spellEnd"/>
      <w:r w:rsidRPr="00F04D62">
        <w:rPr>
          <w:rFonts w:ascii="Arial" w:hAnsi="Arial" w:cs="Arial"/>
          <w:b w:val="0"/>
          <w:bCs w:val="0"/>
          <w:sz w:val="22"/>
          <w:szCs w:val="22"/>
        </w:rPr>
        <w:t xml:space="preserve"> Lab) (Suppl. Table 4), were designed using the Zhang lab online design tool (www.crispr.mit.edu), and were cloned into </w:t>
      </w:r>
      <w:proofErr w:type="spellStart"/>
      <w:r w:rsidRPr="00F04D62">
        <w:rPr>
          <w:rFonts w:ascii="Arial" w:hAnsi="Arial" w:cs="Arial"/>
          <w:b w:val="0"/>
          <w:bCs w:val="0"/>
          <w:sz w:val="22"/>
          <w:szCs w:val="22"/>
        </w:rPr>
        <w:t>LentiCRISPR</w:t>
      </w:r>
      <w:proofErr w:type="spellEnd"/>
      <w:r w:rsidRPr="00F04D62">
        <w:rPr>
          <w:rFonts w:ascii="Arial" w:hAnsi="Arial" w:cs="Arial"/>
          <w:b w:val="0"/>
          <w:bCs w:val="0"/>
          <w:sz w:val="22"/>
          <w:szCs w:val="22"/>
        </w:rPr>
        <w:t xml:space="preserve"> v2 and pRRL-U6-sgRNA-IT-PGK-Cherry according to the protocol available from Addgene</w:t>
      </w:r>
      <w:r w:rsidRPr="00F04D62">
        <w:rPr>
          <w:rFonts w:ascii="Arial" w:hAnsi="Arial" w:cs="Arial"/>
          <w:b w:val="0"/>
          <w:bCs w:val="0"/>
          <w:sz w:val="22"/>
          <w:szCs w:val="22"/>
        </w:rPr>
        <w:fldChar w:fldCharType="begin" w:fldLock="1"/>
      </w:r>
      <w:r w:rsidRPr="00F04D62">
        <w:rPr>
          <w:rFonts w:ascii="Arial" w:hAnsi="Arial" w:cs="Arial"/>
          <w:b w:val="0"/>
          <w:bCs w:val="0"/>
          <w:sz w:val="22"/>
          <w:szCs w:val="22"/>
        </w:rPr>
        <w:instrText>ADDIN CSL_CITATION {"citationItems":[{"id":"ITEM-1","itemData":{"DOI":"10.1038/nmeth.3047","ISBN":"1000000052","abstract":"correspondence several modifications, including removal of one of the nuclear localization signals, human-codon optimization of the remaining nuclear localization signal and P2A bicistronic linker sequences, and repositioning of the U6-driven sgRNA cassette (Fig. 1a). These changes resulted in an approximately tenfold increase in functional viral titer over that of lentiCRISPRv1 (ref. 1; Fig. 1b). Improved vectors and genome-wide libraries for CRISPR screening To the Editor: Genome-wide, targeted loss-of-function pooled screens using the clustered, regularly interspaced, short palindrom-ic repeats (CRISPR)-associated nuclease Cas9 in human and mouse cells provide an alternative screening system to RNA interference (RNAi) 1-4. Previously, we used a genome-scale CRISPR knockout (GeCKO) library to identify loss-of-function mutations conferring vemurafenib resistance in a melanoma model 1. However, initial len-tiviral delivery systems for CRISPR screening had low viral titer or required a cell line already expressing Cas9, thereby limiting the range of biological systems amenable to screening. We sought to improve both the lentiviral packaging and choice of guide sequences in our original GeCKO library 1 , where a pooled library of synthesized oligonucleotides was cloned into a lentiviral backbone containing both the Streptococcus pyogenes Cas9 nuclease and the single guide RNA (sgRNA) scaffold. To create a new vector capable of producing higher-titer virus (lentiCRISPRv2), we made the appropriate EvoD version can be applied. Whether the method was properly trained and tested within each conservation stratum is a separate question. Vihinen 1 correctly notes that some of the procedural details surrounding EvoD were lacking, prompting Kumar et al. 2 to provide a more thorough description in their response. The additional information supports that EvoD was sensibly calibrated and evaluated. table 1 | Comparison of GeCKOv2 sgRNA libraries with existing CRISPR libraries wang et al. 2 library shalem et al.","author":[{"dropping-particle":"","family":"Sanjana","given":"Neville E","non-dropping-particle":"","parse-names":false,"suffix":""},{"dropping-particle":"","family":"Shalem","given":"Ophir","non-dropping-particle":"","parse-names":false,"suffix":""},{"dropping-particle":"","family":"Zhang","given":"Feng","non-dropping-particle":"","parse-names":false,"suffix":""}],"container-title":"Nature Publishing Group","id":"ITEM-1","issued":{"date-parts":[["2014"]]},"title":"Improved vectors and genome-wide libraries for CRISPR screening","type":"article-journal","volume":"11"},"uris":["http://www.mendeley.com/documents/?uuid=eb92787d-d051-3b6c-ba07-957793ebdad1","http://www.mendeley.com/documents/?uuid=078440a5-0844-41d4-a159-924949af7f2b"]}],"mendeley":{"formattedCitation":"&lt;sup&gt;61&lt;/sup&gt;","plainTextFormattedCitation":"61","previouslyFormattedCitation":"&lt;sup&gt;60&lt;/sup&gt;"},"properties":{"noteIndex":0},"schema":"https://github.com/citation-style-language/schema/raw/master/csl-citation.json"}</w:instrText>
      </w:r>
      <w:r w:rsidRPr="00F04D62">
        <w:rPr>
          <w:rFonts w:ascii="Arial" w:hAnsi="Arial" w:cs="Arial"/>
          <w:b w:val="0"/>
          <w:bCs w:val="0"/>
          <w:sz w:val="22"/>
          <w:szCs w:val="22"/>
        </w:rPr>
        <w:fldChar w:fldCharType="separate"/>
      </w:r>
      <w:r w:rsidRPr="00F04D62">
        <w:rPr>
          <w:rFonts w:ascii="Arial" w:hAnsi="Arial" w:cs="Arial"/>
          <w:b w:val="0"/>
          <w:bCs w:val="0"/>
          <w:noProof/>
          <w:sz w:val="22"/>
          <w:szCs w:val="22"/>
          <w:vertAlign w:val="superscript"/>
        </w:rPr>
        <w:t>61</w:t>
      </w:r>
      <w:r w:rsidRPr="00F04D62">
        <w:rPr>
          <w:rFonts w:ascii="Arial" w:hAnsi="Arial" w:cs="Arial"/>
          <w:b w:val="0"/>
          <w:bCs w:val="0"/>
          <w:sz w:val="22"/>
          <w:szCs w:val="22"/>
        </w:rPr>
        <w:fldChar w:fldCharType="end"/>
      </w:r>
      <w:r w:rsidRPr="00F04D62">
        <w:rPr>
          <w:rFonts w:ascii="Arial" w:hAnsi="Arial" w:cs="Arial"/>
          <w:b w:val="0"/>
          <w:bCs w:val="0"/>
          <w:sz w:val="22"/>
          <w:szCs w:val="22"/>
        </w:rPr>
        <w:t xml:space="preserve">. The guide RNAs were tested for cutting efficiency with a T7 Endonuclease I assay (NEB) as previously described (Shah et al., 2016). </w:t>
      </w:r>
    </w:p>
    <w:p w14:paraId="040B62DC"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i/>
          <w:iCs/>
          <w:sz w:val="22"/>
          <w:szCs w:val="22"/>
          <w:u w:val="single"/>
        </w:rPr>
        <w:t>One vector approach:</w:t>
      </w:r>
      <w:r w:rsidRPr="00F04D62">
        <w:rPr>
          <w:rFonts w:ascii="Arial" w:hAnsi="Arial" w:cs="Arial"/>
          <w:b w:val="0"/>
          <w:bCs w:val="0"/>
          <w:sz w:val="22"/>
          <w:szCs w:val="22"/>
          <w:u w:val="single"/>
        </w:rPr>
        <w:t xml:space="preserve"> </w:t>
      </w:r>
      <w:proofErr w:type="spellStart"/>
      <w:r w:rsidRPr="00F04D62">
        <w:rPr>
          <w:rFonts w:ascii="Arial" w:hAnsi="Arial" w:cs="Arial"/>
          <w:b w:val="0"/>
          <w:bCs w:val="0"/>
          <w:sz w:val="22"/>
          <w:szCs w:val="22"/>
        </w:rPr>
        <w:t>LentiCRISPR</w:t>
      </w:r>
      <w:proofErr w:type="spellEnd"/>
      <w:r w:rsidRPr="00F04D62">
        <w:rPr>
          <w:rFonts w:ascii="Arial" w:hAnsi="Arial" w:cs="Arial"/>
          <w:b w:val="0"/>
          <w:bCs w:val="0"/>
          <w:sz w:val="22"/>
          <w:szCs w:val="22"/>
        </w:rPr>
        <w:t xml:space="preserve"> v2 was a gift from Feng Zhang (</w:t>
      </w:r>
      <w:proofErr w:type="spellStart"/>
      <w:r w:rsidRPr="00F04D62">
        <w:rPr>
          <w:rFonts w:ascii="Arial" w:hAnsi="Arial" w:cs="Arial"/>
          <w:b w:val="0"/>
          <w:bCs w:val="0"/>
          <w:sz w:val="22"/>
          <w:szCs w:val="22"/>
        </w:rPr>
        <w:t>Addgene</w:t>
      </w:r>
      <w:proofErr w:type="spellEnd"/>
      <w:r w:rsidRPr="00F04D62">
        <w:rPr>
          <w:rFonts w:ascii="Arial" w:hAnsi="Arial" w:cs="Arial"/>
          <w:b w:val="0"/>
          <w:bCs w:val="0"/>
          <w:sz w:val="22"/>
          <w:szCs w:val="22"/>
        </w:rPr>
        <w:t xml:space="preserve"> plasmid #52961; </w:t>
      </w:r>
      <w:hyperlink r:id="rId6" w:history="1">
        <w:r w:rsidRPr="00F04D62">
          <w:rPr>
            <w:rFonts w:ascii="Arial" w:hAnsi="Arial" w:cs="Arial"/>
            <w:b w:val="0"/>
            <w:bCs w:val="0"/>
            <w:sz w:val="22"/>
            <w:szCs w:val="22"/>
          </w:rPr>
          <w:t>http://n2t.net/addgene:52961</w:t>
        </w:r>
      </w:hyperlink>
      <w:r w:rsidRPr="00F04D62">
        <w:rPr>
          <w:rFonts w:ascii="Arial" w:hAnsi="Arial" w:cs="Arial"/>
          <w:b w:val="0"/>
          <w:bCs w:val="0"/>
          <w:sz w:val="22"/>
          <w:szCs w:val="22"/>
        </w:rPr>
        <w:t xml:space="preserve">; RRID: Addgene_52961). </w:t>
      </w:r>
    </w:p>
    <w:p w14:paraId="43DC562F"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i/>
          <w:iCs/>
          <w:sz w:val="22"/>
          <w:szCs w:val="22"/>
          <w:u w:val="single"/>
        </w:rPr>
        <w:t>Two vector approach:</w:t>
      </w:r>
      <w:r w:rsidRPr="00F04D62">
        <w:rPr>
          <w:rFonts w:ascii="Arial" w:hAnsi="Arial" w:cs="Arial"/>
          <w:b w:val="0"/>
          <w:bCs w:val="0"/>
          <w:sz w:val="22"/>
          <w:szCs w:val="22"/>
        </w:rPr>
        <w:t xml:space="preserve"> pRRL-U6-sgRNA-IT-PGK-Cherry</w:t>
      </w:r>
      <w:r w:rsidRPr="00F04D62" w:rsidDel="00C26E19">
        <w:rPr>
          <w:rFonts w:ascii="Arial" w:hAnsi="Arial" w:cs="Arial"/>
          <w:b w:val="0"/>
          <w:bCs w:val="0"/>
          <w:sz w:val="22"/>
          <w:szCs w:val="22"/>
        </w:rPr>
        <w:t xml:space="preserve"> </w:t>
      </w:r>
      <w:r w:rsidRPr="00F04D62">
        <w:rPr>
          <w:rFonts w:ascii="Arial" w:hAnsi="Arial" w:cs="Arial"/>
          <w:b w:val="0"/>
          <w:bCs w:val="0"/>
          <w:sz w:val="22"/>
          <w:szCs w:val="22"/>
        </w:rPr>
        <w:t xml:space="preserve">plasmid (kindly gifted by </w:t>
      </w:r>
      <w:r w:rsidRPr="00F04D62">
        <w:rPr>
          <w:rFonts w:ascii="Arial" w:hAnsi="Arial"/>
          <w:b w:val="0"/>
          <w:sz w:val="22"/>
        </w:rPr>
        <w:t>the Zuber Lab</w:t>
      </w:r>
      <w:r w:rsidRPr="00F04D62">
        <w:rPr>
          <w:rFonts w:ascii="Arial" w:hAnsi="Arial" w:cs="Arial"/>
          <w:b w:val="0"/>
          <w:bCs w:val="0"/>
          <w:sz w:val="22"/>
          <w:szCs w:val="22"/>
        </w:rPr>
        <w:t>, IMP Vienna) and the LentiCRISPRv2GFP (</w:t>
      </w:r>
      <w:proofErr w:type="spellStart"/>
      <w:r w:rsidRPr="00F04D62">
        <w:rPr>
          <w:rFonts w:ascii="Arial" w:hAnsi="Arial" w:cs="Arial"/>
          <w:b w:val="0"/>
          <w:bCs w:val="0"/>
          <w:sz w:val="22"/>
          <w:szCs w:val="22"/>
        </w:rPr>
        <w:t>Addgene</w:t>
      </w:r>
      <w:proofErr w:type="spellEnd"/>
      <w:r w:rsidRPr="00F04D62">
        <w:rPr>
          <w:rFonts w:ascii="Arial" w:hAnsi="Arial" w:cs="Arial"/>
          <w:b w:val="0"/>
          <w:bCs w:val="0"/>
          <w:sz w:val="22"/>
          <w:szCs w:val="22"/>
        </w:rPr>
        <w:t xml:space="preserve"> plasmid #82416; </w:t>
      </w:r>
      <w:hyperlink r:id="rId7" w:history="1">
        <w:r w:rsidRPr="00F04D62">
          <w:rPr>
            <w:rStyle w:val="Hyperlink"/>
            <w:rFonts w:ascii="Arial" w:hAnsi="Arial" w:cs="Arial"/>
            <w:b w:val="0"/>
            <w:bCs w:val="0"/>
            <w:sz w:val="22"/>
            <w:szCs w:val="22"/>
          </w:rPr>
          <w:t>https://www.addgene.org/82416/</w:t>
        </w:r>
      </w:hyperlink>
      <w:r w:rsidRPr="00F04D62">
        <w:rPr>
          <w:rFonts w:ascii="Arial" w:hAnsi="Arial" w:cs="Arial"/>
          <w:b w:val="0"/>
          <w:bCs w:val="0"/>
          <w:sz w:val="22"/>
          <w:szCs w:val="22"/>
        </w:rPr>
        <w:t>; RRID: Addgene_82416).</w:t>
      </w:r>
    </w:p>
    <w:p w14:paraId="76E30EC1"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i/>
          <w:iCs/>
          <w:sz w:val="22"/>
          <w:szCs w:val="22"/>
          <w:u w:val="single"/>
        </w:rPr>
        <w:t>Virus production:</w:t>
      </w:r>
      <w:r w:rsidRPr="00F04D62">
        <w:rPr>
          <w:rFonts w:ascii="Arial" w:hAnsi="Arial" w:cs="Arial"/>
          <w:b w:val="0"/>
          <w:bCs w:val="0"/>
          <w:sz w:val="22"/>
          <w:szCs w:val="22"/>
        </w:rPr>
        <w:t xml:space="preserve"> Generation of viral supernatants was done as described previously</w:t>
      </w:r>
      <w:r w:rsidRPr="00F04D62">
        <w:rPr>
          <w:rFonts w:ascii="Arial" w:hAnsi="Arial" w:cs="Arial"/>
          <w:b w:val="0"/>
          <w:bCs w:val="0"/>
          <w:sz w:val="22"/>
          <w:szCs w:val="22"/>
        </w:rPr>
        <w:fldChar w:fldCharType="begin" w:fldLock="1"/>
      </w:r>
      <w:r w:rsidRPr="00F04D62">
        <w:rPr>
          <w:rFonts w:ascii="Arial" w:hAnsi="Arial" w:cs="Arial"/>
          <w:b w:val="0"/>
          <w:bCs w:val="0"/>
          <w:sz w:val="22"/>
          <w:szCs w:val="22"/>
        </w:rPr>
        <w:instrText>ADDIN CSL_CITATION {"citationItems":[{"id":"ITEM-1","itemData":{"abstract":"Histone deacetylase (HDAC) inhibitors induce cell cycle arrest, differentiation or apoptosis in tumour cells and are, therefore, promising anti-cancer reagents. However, the specific HDAC isoforms that mediate these effects are not yet identified. To explore the role of HDAC1 in tumourigenesis and tumour proliferation, we established an experimental teratoma model using wild-type and HDAC1-deficient embryonic stem cells. HDAC1-deficient teratomas showed no significant difference in size compared with wild-type teratomas. Surprisingly, loss of HDAC1 was not only linked to increased apoptosis, but also to significantly enhanced proliferation. Epithelial structures showed reduced differentiation as monitored by Oct3/4 expression and changed E-cadherin localization and displayed up-regulated expression of SNAIL1, a regulator of epithelial cell plasticity. Increased levels of the transcriptional regulator SNAIL1 are crucial for enhanced proliferation and reduced differentiation of HDAC1-deficient teratoma. Importantly, the analysis of human teratomas revealed a similar link between loss of HDAC1 and enhanced tumour malignancy. These findings reveal a novel role for HDAC1 in the control of tumour proliferation and identify HDAC1 as potential marker for benign teratomas.","author":[{"dropping-particle":"","family":"Lagger","given":"Sabine","non-dropping-particle":"","parse-names":false,"suffix":""},{"dropping-particle":"","family":"Meunier","given":"Dominique","non-dropping-particle":"","parse-names":false,"suffix":""},{"dropping-particle":"","family":"Mikula","given":"Mario","non-dropping-particle":"","parse-names":false,"suffix":""},{"dropping-particle":"","family":"Brunmeir","given":"Reinhard","non-dropping-particle":"","parse-names":false,"suffix":""},{"dropping-particle":"","family":"Schlederer","given":"Michaela","non-dropping-particle":"","parse-names":false,"suffix":""},{"dropping-particle":"","family":"Artaker","given":"Matthias","non-dropping-particle":"","parse-names":false,"suffix":""},{"dropping-particle":"","family":"Pusch","given":"Oliver","non-dropping-particle":"","parse-names":false,"suffix":""},{"dropping-particle":"","family":"Egger","given":"Gerda","non-dropping-particle":"","parse-names":false,"suffix":""},{"dropping-particle":"","family":"Hagelkruys","given":"Astrid","non-dropping-particle":"","parse-names":false,"suffix":""},{"dropping-particle":"","family":"Mikulits","given":"Wolfgang","non-dropping-particle":"","parse-names":false,"suffix":""},{"dropping-particle":"","family":"Weitzer","given":"Georg","non-dropping-particle":"","parse-names":false,"suffix":""},{"dropping-particle":"","family":"Muellner","given":"Ernst W","non-dropping-particle":"","parse-names":false,"suffix":""},{"dropping-particle":"","family":"Susani","given":"Martin","non-dropping-particle":"","parse-names":false,"suffix":""},{"dropping-particle":"","family":"Kenner","given":"Lukas","non-dropping-particle":"","parse-names":false,"suffix":""},{"dropping-particle":"","family":"Seiser","given":"Christian","non-dropping-particle":"","parse-names":false,"suffix":""}],"container-title":"The EMBO journal","id":"ITEM-1","issue":"23","issued":{"date-parts":[["2010"]]},"page":"3992-4007","publisher":"Nature Publishing Group","title":"Crucial function of histone deacetylase 1 for differentiation of teratomas in mice and humans.","type":"article-journal","volume":"29"},"uris":["http://www.mendeley.com/documents/?uuid=b73d458a-32f3-42ff-ad8f-62cc15a78ce7","http://www.mendeley.com/documents/?uuid=0dc62f1b-b542-4f2d-af1b-0ecfa84fae0c"]}],"mendeley":{"formattedCitation":"&lt;sup&gt;62&lt;/sup&gt;","plainTextFormattedCitation":"62","previouslyFormattedCitation":"&lt;sup&gt;61&lt;/sup&gt;"},"properties":{"noteIndex":0},"schema":"https://github.com/citation-style-language/schema/raw/master/csl-citation.json"}</w:instrText>
      </w:r>
      <w:r w:rsidRPr="00F04D62">
        <w:rPr>
          <w:rFonts w:ascii="Arial" w:hAnsi="Arial" w:cs="Arial"/>
          <w:b w:val="0"/>
          <w:bCs w:val="0"/>
          <w:sz w:val="22"/>
          <w:szCs w:val="22"/>
        </w:rPr>
        <w:fldChar w:fldCharType="separate"/>
      </w:r>
      <w:r w:rsidRPr="00F04D62">
        <w:rPr>
          <w:rFonts w:ascii="Arial" w:hAnsi="Arial" w:cs="Arial"/>
          <w:b w:val="0"/>
          <w:bCs w:val="0"/>
          <w:noProof/>
          <w:sz w:val="22"/>
          <w:szCs w:val="22"/>
          <w:vertAlign w:val="superscript"/>
        </w:rPr>
        <w:t>62</w:t>
      </w:r>
      <w:r w:rsidRPr="00F04D62">
        <w:rPr>
          <w:rFonts w:ascii="Arial" w:hAnsi="Arial" w:cs="Arial"/>
          <w:b w:val="0"/>
          <w:bCs w:val="0"/>
          <w:sz w:val="22"/>
          <w:szCs w:val="22"/>
        </w:rPr>
        <w:fldChar w:fldCharType="end"/>
      </w:r>
      <w:r w:rsidRPr="00F04D62">
        <w:rPr>
          <w:rFonts w:ascii="Arial" w:hAnsi="Arial" w:cs="Arial"/>
          <w:b w:val="0"/>
          <w:bCs w:val="0"/>
          <w:sz w:val="22"/>
          <w:szCs w:val="22"/>
        </w:rPr>
        <w:t xml:space="preserve">. Briefly, lentiviral particles were produced by co-transfecting constructs with packaging and envelope plasmids psPAX2 and pMD2.G in human embryonic kidney cells (HEK293FT) seeded in 10 cm tissue culture dishes using Lipofectamine 2000 (Life Technologies). </w:t>
      </w:r>
      <w:proofErr w:type="gramStart"/>
      <w:r w:rsidRPr="00F04D62">
        <w:rPr>
          <w:rFonts w:ascii="Arial" w:hAnsi="Arial" w:cs="Arial"/>
          <w:b w:val="0"/>
          <w:bCs w:val="0"/>
          <w:sz w:val="22"/>
          <w:szCs w:val="22"/>
        </w:rPr>
        <w:t>psPAX2</w:t>
      </w:r>
      <w:proofErr w:type="gramEnd"/>
      <w:r w:rsidRPr="00F04D62">
        <w:rPr>
          <w:rFonts w:ascii="Arial" w:hAnsi="Arial" w:cs="Arial"/>
          <w:b w:val="0"/>
          <w:bCs w:val="0"/>
          <w:sz w:val="22"/>
          <w:szCs w:val="22"/>
        </w:rPr>
        <w:t xml:space="preserve"> was a gift from Didier </w:t>
      </w:r>
      <w:proofErr w:type="spellStart"/>
      <w:r w:rsidRPr="00F04D62">
        <w:rPr>
          <w:rFonts w:ascii="Arial" w:hAnsi="Arial" w:cs="Arial"/>
          <w:b w:val="0"/>
          <w:bCs w:val="0"/>
          <w:sz w:val="22"/>
          <w:szCs w:val="22"/>
        </w:rPr>
        <w:t>Trono</w:t>
      </w:r>
      <w:proofErr w:type="spellEnd"/>
      <w:r w:rsidRPr="00F04D62">
        <w:rPr>
          <w:rFonts w:ascii="Arial" w:hAnsi="Arial" w:cs="Arial"/>
          <w:b w:val="0"/>
          <w:bCs w:val="0"/>
          <w:sz w:val="22"/>
          <w:szCs w:val="22"/>
        </w:rPr>
        <w:t xml:space="preserve"> (</w:t>
      </w:r>
      <w:proofErr w:type="spellStart"/>
      <w:r w:rsidRPr="00F04D62">
        <w:rPr>
          <w:rFonts w:ascii="Arial" w:hAnsi="Arial" w:cs="Arial"/>
          <w:b w:val="0"/>
          <w:bCs w:val="0"/>
          <w:sz w:val="22"/>
          <w:szCs w:val="22"/>
        </w:rPr>
        <w:t>Addgene</w:t>
      </w:r>
      <w:proofErr w:type="spellEnd"/>
      <w:r w:rsidRPr="00F04D62">
        <w:rPr>
          <w:rFonts w:ascii="Arial" w:hAnsi="Arial" w:cs="Arial"/>
          <w:b w:val="0"/>
          <w:bCs w:val="0"/>
          <w:sz w:val="22"/>
          <w:szCs w:val="22"/>
        </w:rPr>
        <w:t xml:space="preserve"> plasmid #12260; </w:t>
      </w:r>
      <w:hyperlink r:id="rId8" w:history="1">
        <w:r w:rsidRPr="00F04D62">
          <w:rPr>
            <w:rFonts w:ascii="Arial" w:hAnsi="Arial" w:cs="Arial"/>
            <w:b w:val="0"/>
            <w:bCs w:val="0"/>
            <w:sz w:val="22"/>
            <w:szCs w:val="22"/>
          </w:rPr>
          <w:t>http://n2t.net/addgene:12260</w:t>
        </w:r>
      </w:hyperlink>
      <w:r w:rsidRPr="00F04D62">
        <w:rPr>
          <w:rFonts w:ascii="Arial" w:hAnsi="Arial" w:cs="Arial"/>
          <w:b w:val="0"/>
          <w:bCs w:val="0"/>
          <w:sz w:val="22"/>
          <w:szCs w:val="22"/>
        </w:rPr>
        <w:t xml:space="preserve">; RRID: Addgene_11260). </w:t>
      </w:r>
      <w:proofErr w:type="gramStart"/>
      <w:r w:rsidRPr="00F04D62">
        <w:rPr>
          <w:rFonts w:ascii="Arial" w:hAnsi="Arial" w:cs="Arial"/>
          <w:b w:val="0"/>
          <w:bCs w:val="0"/>
          <w:sz w:val="22"/>
          <w:szCs w:val="22"/>
        </w:rPr>
        <w:t>pMD2.G</w:t>
      </w:r>
      <w:proofErr w:type="gramEnd"/>
      <w:r w:rsidRPr="00F04D62">
        <w:rPr>
          <w:rFonts w:ascii="Arial" w:hAnsi="Arial" w:cs="Arial"/>
          <w:b w:val="0"/>
          <w:bCs w:val="0"/>
          <w:sz w:val="22"/>
          <w:szCs w:val="22"/>
        </w:rPr>
        <w:t xml:space="preserve"> was a gift from Didier </w:t>
      </w:r>
      <w:proofErr w:type="spellStart"/>
      <w:r w:rsidRPr="00F04D62">
        <w:rPr>
          <w:rFonts w:ascii="Arial" w:hAnsi="Arial" w:cs="Arial"/>
          <w:b w:val="0"/>
          <w:bCs w:val="0"/>
          <w:sz w:val="22"/>
          <w:szCs w:val="22"/>
        </w:rPr>
        <w:t>Trono</w:t>
      </w:r>
      <w:proofErr w:type="spellEnd"/>
      <w:r w:rsidRPr="00F04D62">
        <w:rPr>
          <w:rFonts w:ascii="Arial" w:hAnsi="Arial" w:cs="Arial"/>
          <w:b w:val="0"/>
          <w:bCs w:val="0"/>
          <w:sz w:val="22"/>
          <w:szCs w:val="22"/>
        </w:rPr>
        <w:t xml:space="preserve"> (</w:t>
      </w:r>
      <w:proofErr w:type="spellStart"/>
      <w:r w:rsidRPr="00F04D62">
        <w:rPr>
          <w:rFonts w:ascii="Arial" w:hAnsi="Arial" w:cs="Arial"/>
          <w:b w:val="0"/>
          <w:bCs w:val="0"/>
          <w:sz w:val="22"/>
          <w:szCs w:val="22"/>
        </w:rPr>
        <w:t>Addgene</w:t>
      </w:r>
      <w:proofErr w:type="spellEnd"/>
      <w:r w:rsidRPr="00F04D62">
        <w:rPr>
          <w:rFonts w:ascii="Arial" w:hAnsi="Arial" w:cs="Arial"/>
          <w:b w:val="0"/>
          <w:bCs w:val="0"/>
          <w:sz w:val="22"/>
          <w:szCs w:val="22"/>
        </w:rPr>
        <w:t xml:space="preserve"> plasmid #12259; </w:t>
      </w:r>
      <w:hyperlink r:id="rId9" w:history="1">
        <w:r w:rsidRPr="00F04D62">
          <w:rPr>
            <w:rFonts w:ascii="Arial" w:hAnsi="Arial" w:cs="Arial"/>
            <w:b w:val="0"/>
            <w:bCs w:val="0"/>
            <w:sz w:val="22"/>
            <w:szCs w:val="22"/>
          </w:rPr>
          <w:t>http://n2t.net/addgene:12259</w:t>
        </w:r>
      </w:hyperlink>
      <w:r w:rsidRPr="00F04D62">
        <w:rPr>
          <w:rFonts w:ascii="Arial" w:hAnsi="Arial" w:cs="Arial"/>
          <w:b w:val="0"/>
          <w:bCs w:val="0"/>
          <w:sz w:val="22"/>
          <w:szCs w:val="22"/>
        </w:rPr>
        <w:t xml:space="preserve">; </w:t>
      </w:r>
      <w:r w:rsidRPr="00F04D62">
        <w:rPr>
          <w:rFonts w:ascii="Arial" w:hAnsi="Arial" w:cs="Arial"/>
          <w:b w:val="0"/>
          <w:bCs w:val="0"/>
          <w:sz w:val="22"/>
          <w:szCs w:val="22"/>
        </w:rPr>
        <w:lastRenderedPageBreak/>
        <w:t>RRID: Addgene_11259). 72 hours post-transfection, viral supernatants were harvested, and virus concentrated using the PEG virus precipitation kit (</w:t>
      </w:r>
      <w:proofErr w:type="spellStart"/>
      <w:r w:rsidRPr="00F04D62">
        <w:rPr>
          <w:rFonts w:ascii="Arial" w:hAnsi="Arial" w:cs="Arial"/>
          <w:b w:val="0"/>
          <w:bCs w:val="0"/>
          <w:sz w:val="22"/>
          <w:szCs w:val="22"/>
        </w:rPr>
        <w:t>BioVision</w:t>
      </w:r>
      <w:proofErr w:type="spellEnd"/>
      <w:r w:rsidRPr="00F04D62">
        <w:rPr>
          <w:rFonts w:ascii="Arial" w:hAnsi="Arial" w:cs="Arial"/>
          <w:b w:val="0"/>
          <w:bCs w:val="0"/>
          <w:sz w:val="22"/>
          <w:szCs w:val="22"/>
        </w:rPr>
        <w:t xml:space="preserve">, </w:t>
      </w:r>
      <w:proofErr w:type="spellStart"/>
      <w:r w:rsidRPr="00F04D62">
        <w:rPr>
          <w:rFonts w:ascii="Arial" w:hAnsi="Arial" w:cs="Arial"/>
          <w:b w:val="0"/>
          <w:bCs w:val="0"/>
          <w:sz w:val="22"/>
          <w:szCs w:val="22"/>
        </w:rPr>
        <w:t>Inc</w:t>
      </w:r>
      <w:proofErr w:type="spellEnd"/>
      <w:r w:rsidRPr="00F04D62">
        <w:rPr>
          <w:rFonts w:ascii="Arial" w:hAnsi="Arial" w:cs="Arial"/>
          <w:b w:val="0"/>
          <w:bCs w:val="0"/>
          <w:sz w:val="22"/>
          <w:szCs w:val="22"/>
        </w:rPr>
        <w:t>), divided into aliquots, snap-frozen in liquid nitrogen and stored at -80</w:t>
      </w:r>
      <w:r w:rsidRPr="00F04D62">
        <w:rPr>
          <w:rFonts w:ascii="Arial" w:hAnsi="Arial" w:cs="Arial"/>
          <w:b w:val="0"/>
          <w:bCs w:val="0"/>
          <w:sz w:val="22"/>
          <w:szCs w:val="22"/>
        </w:rPr>
        <w:sym w:font="Symbol" w:char="F0B0"/>
      </w:r>
      <w:r w:rsidRPr="00F04D62">
        <w:rPr>
          <w:rFonts w:ascii="Arial" w:hAnsi="Arial" w:cs="Arial"/>
          <w:b w:val="0"/>
          <w:bCs w:val="0"/>
          <w:sz w:val="22"/>
          <w:szCs w:val="22"/>
        </w:rPr>
        <w:t xml:space="preserve">C. </w:t>
      </w:r>
    </w:p>
    <w:p w14:paraId="7FB9FF77"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i/>
          <w:iCs/>
          <w:sz w:val="22"/>
          <w:szCs w:val="22"/>
          <w:u w:val="single"/>
        </w:rPr>
        <w:t>Transduction and selection:</w:t>
      </w:r>
      <w:r w:rsidRPr="00F04D62">
        <w:rPr>
          <w:rFonts w:ascii="Arial" w:hAnsi="Arial" w:cs="Arial"/>
          <w:b w:val="0"/>
          <w:bCs w:val="0"/>
          <w:sz w:val="22"/>
          <w:szCs w:val="22"/>
        </w:rPr>
        <w:t xml:space="preserve"> 5x10</w:t>
      </w:r>
      <w:r w:rsidRPr="00F04D62">
        <w:rPr>
          <w:rFonts w:ascii="Arial" w:hAnsi="Arial" w:cs="Arial"/>
          <w:b w:val="0"/>
          <w:bCs w:val="0"/>
          <w:sz w:val="22"/>
          <w:szCs w:val="22"/>
          <w:vertAlign w:val="superscript"/>
        </w:rPr>
        <w:t xml:space="preserve">5 </w:t>
      </w:r>
      <w:r w:rsidRPr="00F04D62">
        <w:rPr>
          <w:rFonts w:ascii="Arial" w:hAnsi="Arial" w:cs="Arial"/>
          <w:b w:val="0"/>
          <w:bCs w:val="0"/>
          <w:sz w:val="22"/>
          <w:szCs w:val="22"/>
        </w:rPr>
        <w:t xml:space="preserve">cells were transduced with 30 </w:t>
      </w:r>
      <w:r w:rsidRPr="00F04D62">
        <w:rPr>
          <w:rFonts w:ascii="Arial" w:hAnsi="Arial" w:cs="Arial"/>
          <w:b w:val="0"/>
          <w:bCs w:val="0"/>
          <w:sz w:val="22"/>
          <w:szCs w:val="22"/>
        </w:rPr>
        <w:sym w:font="Symbol" w:char="F06D"/>
      </w:r>
      <w:r w:rsidRPr="00F04D62">
        <w:rPr>
          <w:rFonts w:ascii="Arial" w:hAnsi="Arial" w:cs="Arial"/>
          <w:b w:val="0"/>
          <w:bCs w:val="0"/>
          <w:sz w:val="22"/>
          <w:szCs w:val="22"/>
        </w:rPr>
        <w:t xml:space="preserve">L of viral supernatant in the presence of 10 </w:t>
      </w:r>
      <w:proofErr w:type="spellStart"/>
      <w:r w:rsidRPr="00F04D62">
        <w:rPr>
          <w:rFonts w:ascii="Arial" w:hAnsi="Arial" w:cs="Arial"/>
          <w:b w:val="0"/>
          <w:bCs w:val="0"/>
          <w:sz w:val="22"/>
          <w:szCs w:val="22"/>
        </w:rPr>
        <w:t>μg</w:t>
      </w:r>
      <w:proofErr w:type="spellEnd"/>
      <w:r w:rsidRPr="00F04D62">
        <w:rPr>
          <w:rFonts w:ascii="Arial" w:hAnsi="Arial" w:cs="Arial"/>
          <w:b w:val="0"/>
          <w:bCs w:val="0"/>
          <w:sz w:val="22"/>
          <w:szCs w:val="22"/>
        </w:rPr>
        <w:t xml:space="preserve">/mL </w:t>
      </w:r>
      <w:proofErr w:type="spellStart"/>
      <w:r w:rsidRPr="00F04D62">
        <w:rPr>
          <w:rFonts w:ascii="Arial" w:hAnsi="Arial" w:cs="Arial"/>
          <w:b w:val="0"/>
          <w:bCs w:val="0"/>
          <w:sz w:val="22"/>
          <w:szCs w:val="22"/>
        </w:rPr>
        <w:t>hexadimethrine</w:t>
      </w:r>
      <w:proofErr w:type="spellEnd"/>
      <w:r w:rsidRPr="00F04D62">
        <w:rPr>
          <w:rFonts w:ascii="Arial" w:hAnsi="Arial" w:cs="Arial"/>
          <w:b w:val="0"/>
          <w:bCs w:val="0"/>
          <w:sz w:val="22"/>
          <w:szCs w:val="22"/>
        </w:rPr>
        <w:t xml:space="preserve"> bromide (Sigma) in 6-well plates for 72 hours. Cells were selected with 2 </w:t>
      </w:r>
      <w:r w:rsidRPr="00F04D62">
        <w:rPr>
          <w:rFonts w:ascii="Arial" w:hAnsi="Arial" w:cs="Arial"/>
          <w:b w:val="0"/>
          <w:bCs w:val="0"/>
          <w:sz w:val="22"/>
          <w:szCs w:val="22"/>
        </w:rPr>
        <w:sym w:font="Symbol" w:char="F06D"/>
      </w:r>
      <w:r w:rsidRPr="00F04D62">
        <w:rPr>
          <w:rFonts w:ascii="Arial" w:hAnsi="Arial" w:cs="Arial"/>
          <w:b w:val="0"/>
          <w:bCs w:val="0"/>
          <w:sz w:val="22"/>
          <w:szCs w:val="22"/>
        </w:rPr>
        <w:t>g/mL puromycin for 48 hours.</w:t>
      </w:r>
    </w:p>
    <w:p w14:paraId="1D8A7417"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p>
    <w:p w14:paraId="63945392" w14:textId="77777777" w:rsidR="004A16E6" w:rsidRPr="00F04D62" w:rsidRDefault="004A16E6" w:rsidP="004A16E6">
      <w:pPr>
        <w:pStyle w:val="Heading1"/>
        <w:spacing w:before="0" w:beforeAutospacing="0" w:after="240" w:afterAutospacing="0"/>
        <w:contextualSpacing/>
        <w:rPr>
          <w:rFonts w:ascii="Arial" w:hAnsi="Arial" w:cs="Arial"/>
          <w:sz w:val="22"/>
          <w:szCs w:val="22"/>
        </w:rPr>
      </w:pPr>
      <w:r w:rsidRPr="00F04D62">
        <w:rPr>
          <w:rFonts w:ascii="Arial" w:hAnsi="Arial" w:cs="Arial"/>
          <w:sz w:val="22"/>
          <w:szCs w:val="22"/>
        </w:rPr>
        <w:t>CRISPR/Cas9-based Competition Assay</w:t>
      </w:r>
    </w:p>
    <w:p w14:paraId="4C56F13D"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sz w:val="22"/>
          <w:szCs w:val="22"/>
        </w:rPr>
        <w:t xml:space="preserve">Murine </w:t>
      </w:r>
      <w:proofErr w:type="spellStart"/>
      <w:r w:rsidRPr="00F04D62">
        <w:rPr>
          <w:rFonts w:ascii="Arial" w:hAnsi="Arial" w:cs="Arial"/>
          <w:b w:val="0"/>
          <w:bCs w:val="0"/>
          <w:i/>
          <w:iCs/>
          <w:sz w:val="22"/>
          <w:szCs w:val="22"/>
        </w:rPr>
        <w:t>fl</w:t>
      </w:r>
      <w:proofErr w:type="spellEnd"/>
      <w:r w:rsidRPr="00F04D62">
        <w:rPr>
          <w:rFonts w:ascii="Arial" w:hAnsi="Arial" w:cs="Arial"/>
          <w:b w:val="0"/>
          <w:bCs w:val="0"/>
          <w:i/>
          <w:iCs/>
          <w:sz w:val="22"/>
          <w:szCs w:val="22"/>
        </w:rPr>
        <w:t>/</w:t>
      </w:r>
      <w:proofErr w:type="spellStart"/>
      <w:r w:rsidRPr="00F04D62">
        <w:rPr>
          <w:rFonts w:ascii="Arial" w:hAnsi="Arial" w:cs="Arial"/>
          <w:b w:val="0"/>
          <w:bCs w:val="0"/>
          <w:i/>
          <w:iCs/>
          <w:sz w:val="22"/>
          <w:szCs w:val="22"/>
        </w:rPr>
        <w:t>fl</w:t>
      </w:r>
      <w:proofErr w:type="spellEnd"/>
      <w:r w:rsidRPr="00F04D62">
        <w:rPr>
          <w:rFonts w:ascii="Arial" w:hAnsi="Arial" w:cs="Arial"/>
          <w:b w:val="0"/>
          <w:bCs w:val="0"/>
          <w:i/>
          <w:iCs/>
          <w:sz w:val="22"/>
          <w:szCs w:val="22"/>
        </w:rPr>
        <w:t xml:space="preserve"> </w:t>
      </w:r>
      <w:proofErr w:type="spellStart"/>
      <w:r w:rsidRPr="00F04D62">
        <w:rPr>
          <w:rFonts w:ascii="Arial" w:hAnsi="Arial" w:cs="Arial"/>
          <w:b w:val="0"/>
          <w:bCs w:val="0"/>
          <w:i/>
          <w:iCs/>
          <w:sz w:val="22"/>
          <w:szCs w:val="22"/>
        </w:rPr>
        <w:t>Pdgfrb</w:t>
      </w:r>
      <w:proofErr w:type="spellEnd"/>
      <w:r w:rsidRPr="00F04D62">
        <w:rPr>
          <w:rFonts w:ascii="Arial" w:hAnsi="Arial" w:cs="Arial"/>
          <w:b w:val="0"/>
          <w:bCs w:val="0"/>
          <w:sz w:val="22"/>
          <w:szCs w:val="22"/>
        </w:rPr>
        <w:t xml:space="preserve"> and </w:t>
      </w:r>
      <w:r w:rsidRPr="00F04D62">
        <w:rPr>
          <w:rFonts w:ascii="Arial" w:hAnsi="Arial" w:cs="Arial"/>
          <w:b w:val="0"/>
          <w:bCs w:val="0"/>
          <w:i/>
          <w:iCs/>
          <w:sz w:val="22"/>
          <w:szCs w:val="22"/>
        </w:rPr>
        <w:sym w:font="Symbol" w:char="F044"/>
      </w:r>
      <w:r w:rsidRPr="00F04D62">
        <w:rPr>
          <w:rFonts w:ascii="Arial" w:hAnsi="Arial" w:cs="Arial"/>
          <w:b w:val="0"/>
          <w:bCs w:val="0"/>
          <w:i/>
          <w:iCs/>
          <w:sz w:val="22"/>
          <w:szCs w:val="22"/>
        </w:rPr>
        <w:t>/</w:t>
      </w:r>
      <w:r w:rsidRPr="00F04D62">
        <w:rPr>
          <w:rFonts w:ascii="Arial" w:hAnsi="Arial" w:cs="Arial"/>
          <w:b w:val="0"/>
          <w:bCs w:val="0"/>
          <w:i/>
          <w:iCs/>
          <w:sz w:val="22"/>
          <w:szCs w:val="22"/>
        </w:rPr>
        <w:sym w:font="Symbol" w:char="F044"/>
      </w:r>
      <w:r w:rsidRPr="00F04D62">
        <w:rPr>
          <w:rFonts w:ascii="Arial" w:hAnsi="Arial" w:cs="Arial"/>
          <w:b w:val="0"/>
          <w:bCs w:val="0"/>
          <w:i/>
          <w:iCs/>
          <w:sz w:val="22"/>
          <w:szCs w:val="22"/>
        </w:rPr>
        <w:t xml:space="preserve"> </w:t>
      </w:r>
      <w:proofErr w:type="spellStart"/>
      <w:r w:rsidRPr="00F04D62">
        <w:rPr>
          <w:rFonts w:ascii="Arial" w:hAnsi="Arial" w:cs="Arial"/>
          <w:b w:val="0"/>
          <w:bCs w:val="0"/>
          <w:i/>
          <w:iCs/>
          <w:sz w:val="22"/>
          <w:szCs w:val="22"/>
        </w:rPr>
        <w:t>Pdgfrb</w:t>
      </w:r>
      <w:proofErr w:type="spellEnd"/>
      <w:r w:rsidRPr="00F04D62">
        <w:rPr>
          <w:rFonts w:ascii="Arial" w:hAnsi="Arial" w:cs="Arial"/>
          <w:b w:val="0"/>
          <w:bCs w:val="0"/>
          <w:sz w:val="22"/>
          <w:szCs w:val="22"/>
        </w:rPr>
        <w:t xml:space="preserve"> cells were </w:t>
      </w:r>
      <w:proofErr w:type="spellStart"/>
      <w:r w:rsidRPr="00F04D62">
        <w:rPr>
          <w:rFonts w:ascii="Arial" w:hAnsi="Arial" w:cs="Arial"/>
          <w:b w:val="0"/>
          <w:bCs w:val="0"/>
          <w:sz w:val="22"/>
          <w:szCs w:val="22"/>
        </w:rPr>
        <w:t>lentivirally</w:t>
      </w:r>
      <w:proofErr w:type="spellEnd"/>
      <w:r w:rsidRPr="00F04D62">
        <w:rPr>
          <w:rFonts w:ascii="Arial" w:hAnsi="Arial" w:cs="Arial"/>
          <w:b w:val="0"/>
          <w:bCs w:val="0"/>
          <w:sz w:val="22"/>
          <w:szCs w:val="22"/>
        </w:rPr>
        <w:t xml:space="preserve"> transduced with EF1a-Cas9-P2A-EGFP (kindly gifted by the Zuber Lab, IMP Vienna) and FACS sorted for GFP into 96-well plates. Following the recovery of the single clones, cells were screened for GFP and Cas9 expression. A clone with equal high expression of both GFP and Cas9 was selected for the second lentiviral transduction with the pRRL-U6-sgRNA-IT-PGK-Cherry</w:t>
      </w:r>
      <w:r w:rsidRPr="00F04D62" w:rsidDel="006F4886">
        <w:rPr>
          <w:rFonts w:ascii="Arial" w:hAnsi="Arial" w:cs="Arial"/>
          <w:b w:val="0"/>
          <w:bCs w:val="0"/>
          <w:sz w:val="22"/>
          <w:szCs w:val="22"/>
        </w:rPr>
        <w:t xml:space="preserve"> </w:t>
      </w:r>
      <w:r w:rsidRPr="00F04D62">
        <w:rPr>
          <w:rFonts w:ascii="Arial" w:hAnsi="Arial" w:cs="Arial"/>
          <w:b w:val="0"/>
          <w:bCs w:val="0"/>
          <w:sz w:val="22"/>
          <w:szCs w:val="22"/>
        </w:rPr>
        <w:t xml:space="preserve">vector carrying </w:t>
      </w:r>
      <w:proofErr w:type="gramStart"/>
      <w:r w:rsidRPr="00F04D62">
        <w:rPr>
          <w:rFonts w:ascii="Arial" w:hAnsi="Arial" w:cs="Arial"/>
          <w:b w:val="0"/>
          <w:bCs w:val="0"/>
          <w:sz w:val="22"/>
          <w:szCs w:val="22"/>
        </w:rPr>
        <w:t xml:space="preserve">either </w:t>
      </w:r>
      <w:r w:rsidRPr="00F04D62">
        <w:rPr>
          <w:rFonts w:ascii="Arial" w:hAnsi="Arial" w:cs="Arial"/>
          <w:b w:val="0"/>
          <w:bCs w:val="0"/>
          <w:i/>
          <w:iCs/>
          <w:sz w:val="22"/>
          <w:szCs w:val="22"/>
        </w:rPr>
        <w:t>Stat5a</w:t>
      </w:r>
      <w:proofErr w:type="gramEnd"/>
      <w:r w:rsidRPr="00F04D62">
        <w:rPr>
          <w:rFonts w:ascii="Arial" w:hAnsi="Arial" w:cs="Arial"/>
          <w:b w:val="0"/>
          <w:bCs w:val="0"/>
          <w:sz w:val="22"/>
          <w:szCs w:val="22"/>
        </w:rPr>
        <w:t xml:space="preserve">, </w:t>
      </w:r>
      <w:r w:rsidRPr="00F04D62">
        <w:rPr>
          <w:rFonts w:ascii="Arial" w:hAnsi="Arial" w:cs="Arial"/>
          <w:b w:val="0"/>
          <w:bCs w:val="0"/>
          <w:i/>
          <w:iCs/>
          <w:sz w:val="22"/>
          <w:szCs w:val="22"/>
        </w:rPr>
        <w:t>Stat5b</w:t>
      </w:r>
      <w:r w:rsidRPr="00F04D62">
        <w:rPr>
          <w:rFonts w:ascii="Arial" w:hAnsi="Arial" w:cs="Arial"/>
          <w:b w:val="0"/>
          <w:bCs w:val="0"/>
          <w:sz w:val="22"/>
          <w:szCs w:val="22"/>
        </w:rPr>
        <w:t xml:space="preserve">, </w:t>
      </w:r>
      <w:r w:rsidRPr="00F04D62">
        <w:rPr>
          <w:rFonts w:ascii="Arial" w:hAnsi="Arial" w:cs="Arial"/>
          <w:b w:val="0"/>
          <w:bCs w:val="0"/>
          <w:i/>
          <w:iCs/>
          <w:sz w:val="22"/>
          <w:szCs w:val="22"/>
        </w:rPr>
        <w:t>Stat3</w:t>
      </w:r>
      <w:r w:rsidRPr="00F04D62">
        <w:rPr>
          <w:rFonts w:ascii="Arial" w:hAnsi="Arial" w:cs="Arial"/>
          <w:b w:val="0"/>
          <w:bCs w:val="0"/>
          <w:sz w:val="22"/>
          <w:szCs w:val="22"/>
        </w:rPr>
        <w:t xml:space="preserve">, </w:t>
      </w:r>
      <w:proofErr w:type="spellStart"/>
      <w:r w:rsidRPr="00F04D62">
        <w:rPr>
          <w:rFonts w:ascii="Arial" w:hAnsi="Arial" w:cs="Arial"/>
          <w:b w:val="0"/>
          <w:bCs w:val="0"/>
          <w:i/>
          <w:iCs/>
          <w:sz w:val="22"/>
          <w:szCs w:val="22"/>
        </w:rPr>
        <w:t>Myb</w:t>
      </w:r>
      <w:proofErr w:type="spellEnd"/>
      <w:r w:rsidRPr="00F04D62">
        <w:rPr>
          <w:rFonts w:ascii="Arial" w:hAnsi="Arial" w:cs="Arial"/>
          <w:b w:val="0"/>
          <w:bCs w:val="0"/>
          <w:sz w:val="22"/>
          <w:szCs w:val="22"/>
        </w:rPr>
        <w:t xml:space="preserve"> or </w:t>
      </w:r>
      <w:r w:rsidRPr="00F04D62">
        <w:rPr>
          <w:rFonts w:ascii="Arial" w:hAnsi="Arial" w:cs="Arial"/>
          <w:b w:val="0"/>
          <w:bCs w:val="0"/>
          <w:i/>
          <w:iCs/>
          <w:sz w:val="22"/>
          <w:szCs w:val="22"/>
        </w:rPr>
        <w:t>Rosa</w:t>
      </w:r>
      <w:r w:rsidRPr="00F04D62">
        <w:rPr>
          <w:rFonts w:ascii="Arial" w:hAnsi="Arial" w:cs="Arial"/>
          <w:b w:val="0"/>
          <w:bCs w:val="0"/>
          <w:sz w:val="22"/>
          <w:szCs w:val="22"/>
        </w:rPr>
        <w:t xml:space="preserve"> </w:t>
      </w:r>
      <w:proofErr w:type="spellStart"/>
      <w:r w:rsidRPr="00F04D62">
        <w:rPr>
          <w:rFonts w:ascii="Arial" w:hAnsi="Arial" w:cs="Arial"/>
          <w:b w:val="0"/>
          <w:bCs w:val="0"/>
          <w:sz w:val="22"/>
          <w:szCs w:val="22"/>
        </w:rPr>
        <w:t>sgRNAs</w:t>
      </w:r>
      <w:proofErr w:type="spellEnd"/>
      <w:r w:rsidRPr="00F04D62">
        <w:rPr>
          <w:rFonts w:ascii="Arial" w:hAnsi="Arial" w:cs="Arial"/>
          <w:b w:val="0"/>
          <w:bCs w:val="0"/>
          <w:sz w:val="22"/>
          <w:szCs w:val="22"/>
        </w:rPr>
        <w:t xml:space="preserve">. The dynamics of GFP or </w:t>
      </w:r>
      <w:proofErr w:type="spellStart"/>
      <w:r w:rsidRPr="00F04D62">
        <w:rPr>
          <w:rFonts w:ascii="Arial" w:hAnsi="Arial" w:cs="Arial"/>
          <w:b w:val="0"/>
          <w:bCs w:val="0"/>
          <w:sz w:val="22"/>
          <w:szCs w:val="22"/>
        </w:rPr>
        <w:t>mCherry</w:t>
      </w:r>
      <w:proofErr w:type="spellEnd"/>
      <w:r w:rsidRPr="00F04D62">
        <w:rPr>
          <w:rFonts w:ascii="Arial" w:hAnsi="Arial" w:cs="Arial"/>
          <w:b w:val="0"/>
          <w:bCs w:val="0"/>
          <w:sz w:val="22"/>
          <w:szCs w:val="22"/>
        </w:rPr>
        <w:t xml:space="preserve"> levels were monitored until 39 days post transduction. Data was normalized to values on day 9 post transduction and the non-targeting control </w:t>
      </w:r>
      <w:r w:rsidRPr="00F04D62">
        <w:rPr>
          <w:rFonts w:ascii="Arial" w:hAnsi="Arial" w:cs="Arial"/>
          <w:b w:val="0"/>
          <w:bCs w:val="0"/>
          <w:i/>
          <w:iCs/>
          <w:sz w:val="22"/>
          <w:szCs w:val="22"/>
        </w:rPr>
        <w:t>Rosa</w:t>
      </w:r>
      <w:r w:rsidRPr="00F04D62">
        <w:rPr>
          <w:rFonts w:ascii="Arial" w:hAnsi="Arial" w:cs="Arial"/>
          <w:b w:val="0"/>
          <w:bCs w:val="0"/>
          <w:sz w:val="22"/>
          <w:szCs w:val="22"/>
        </w:rPr>
        <w:t xml:space="preserve"> sgRNA. Data was analyzed and plotted using the FACS Diva Software (Becton-Dickinson).</w:t>
      </w:r>
    </w:p>
    <w:p w14:paraId="3E718BE6"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p>
    <w:p w14:paraId="2510CF1F" w14:textId="77777777" w:rsidR="004A16E6" w:rsidRPr="00F04D62" w:rsidRDefault="004A16E6" w:rsidP="004A16E6">
      <w:pPr>
        <w:pStyle w:val="Heading1"/>
        <w:spacing w:before="0" w:beforeAutospacing="0" w:after="240" w:afterAutospacing="0"/>
        <w:contextualSpacing/>
        <w:rPr>
          <w:rFonts w:ascii="Arial" w:hAnsi="Arial" w:cs="Arial"/>
          <w:sz w:val="22"/>
          <w:szCs w:val="22"/>
        </w:rPr>
      </w:pPr>
      <w:r w:rsidRPr="00F04D62">
        <w:rPr>
          <w:rFonts w:ascii="Arial" w:hAnsi="Arial" w:cs="Arial"/>
          <w:sz w:val="22"/>
          <w:szCs w:val="22"/>
        </w:rPr>
        <w:t>Flow cytometry analysis</w:t>
      </w:r>
    </w:p>
    <w:p w14:paraId="10E6A691"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sz w:val="22"/>
          <w:szCs w:val="22"/>
        </w:rPr>
        <w:t xml:space="preserve">Single-cell suspensions were analyzed with a BD FACS Canto II flow cytometer equipped with 488, 633 and 405 nm lasers using FACS Diva Software (Becton-Dickinson). Analysis of apoptotic cells was conducted according to the manufacturer’s instructions (Annexin V Apoptosis Detection Kit </w:t>
      </w:r>
      <w:proofErr w:type="spellStart"/>
      <w:r w:rsidRPr="00F04D62">
        <w:rPr>
          <w:rFonts w:ascii="Arial" w:hAnsi="Arial" w:cs="Arial"/>
          <w:b w:val="0"/>
          <w:bCs w:val="0"/>
          <w:sz w:val="22"/>
          <w:szCs w:val="22"/>
        </w:rPr>
        <w:t>eFluor</w:t>
      </w:r>
      <w:proofErr w:type="spellEnd"/>
      <w:r w:rsidRPr="00F04D62">
        <w:rPr>
          <w:rFonts w:ascii="Arial" w:hAnsi="Arial" w:cs="Arial"/>
          <w:b w:val="0"/>
          <w:bCs w:val="0"/>
          <w:sz w:val="22"/>
          <w:szCs w:val="22"/>
          <w:vertAlign w:val="superscript"/>
        </w:rPr>
        <w:sym w:font="Symbol" w:char="F0D2"/>
      </w:r>
      <w:r w:rsidRPr="00F04D62">
        <w:rPr>
          <w:rFonts w:ascii="Arial" w:hAnsi="Arial" w:cs="Arial"/>
          <w:b w:val="0"/>
          <w:bCs w:val="0"/>
          <w:sz w:val="22"/>
          <w:szCs w:val="22"/>
        </w:rPr>
        <w:t xml:space="preserve"> 450, </w:t>
      </w:r>
      <w:proofErr w:type="spellStart"/>
      <w:r w:rsidRPr="00F04D62">
        <w:rPr>
          <w:rFonts w:ascii="Arial" w:hAnsi="Arial" w:cs="Arial"/>
          <w:b w:val="0"/>
          <w:bCs w:val="0"/>
          <w:sz w:val="22"/>
          <w:szCs w:val="22"/>
        </w:rPr>
        <w:t>eBioscience</w:t>
      </w:r>
      <w:proofErr w:type="spellEnd"/>
      <w:r w:rsidRPr="00F04D62">
        <w:rPr>
          <w:rFonts w:ascii="Arial" w:hAnsi="Arial" w:cs="Arial"/>
          <w:b w:val="0"/>
          <w:bCs w:val="0"/>
          <w:sz w:val="22"/>
          <w:szCs w:val="22"/>
        </w:rPr>
        <w:t>) using 1x10</w:t>
      </w:r>
      <w:r w:rsidRPr="00F04D62">
        <w:rPr>
          <w:rFonts w:ascii="Arial" w:hAnsi="Arial" w:cs="Arial"/>
          <w:b w:val="0"/>
          <w:bCs w:val="0"/>
          <w:sz w:val="22"/>
          <w:szCs w:val="22"/>
          <w:vertAlign w:val="superscript"/>
        </w:rPr>
        <w:t xml:space="preserve">5 </w:t>
      </w:r>
      <w:r w:rsidRPr="00F04D62">
        <w:rPr>
          <w:rFonts w:ascii="Arial" w:hAnsi="Arial" w:cs="Arial"/>
          <w:b w:val="0"/>
          <w:bCs w:val="0"/>
          <w:sz w:val="22"/>
          <w:szCs w:val="22"/>
        </w:rPr>
        <w:t>cells. Cell cycle analysis was performed by staining 1x10</w:t>
      </w:r>
      <w:r w:rsidRPr="00F04D62">
        <w:rPr>
          <w:rFonts w:ascii="Arial" w:hAnsi="Arial" w:cs="Arial"/>
          <w:b w:val="0"/>
          <w:bCs w:val="0"/>
          <w:sz w:val="22"/>
          <w:szCs w:val="22"/>
          <w:vertAlign w:val="superscript"/>
        </w:rPr>
        <w:t xml:space="preserve">5 </w:t>
      </w:r>
      <w:r w:rsidRPr="00F04D62">
        <w:rPr>
          <w:rFonts w:ascii="Arial" w:hAnsi="Arial" w:cs="Arial"/>
          <w:b w:val="0"/>
          <w:bCs w:val="0"/>
          <w:sz w:val="22"/>
          <w:szCs w:val="22"/>
        </w:rPr>
        <w:t xml:space="preserve">ethanol-fixed cells with PI (50 </w:t>
      </w:r>
      <w:r w:rsidRPr="00F04D62">
        <w:rPr>
          <w:rFonts w:ascii="Arial" w:hAnsi="Arial" w:cs="Arial"/>
          <w:b w:val="0"/>
          <w:bCs w:val="0"/>
          <w:sz w:val="22"/>
          <w:szCs w:val="22"/>
        </w:rPr>
        <w:sym w:font="Symbol" w:char="F06D"/>
      </w:r>
      <w:r w:rsidRPr="00F04D62">
        <w:rPr>
          <w:rFonts w:ascii="Arial" w:hAnsi="Arial" w:cs="Arial"/>
          <w:b w:val="0"/>
          <w:bCs w:val="0"/>
          <w:sz w:val="22"/>
          <w:szCs w:val="22"/>
        </w:rPr>
        <w:t xml:space="preserve">g/ml) in a hypotonic lysis solution </w:t>
      </w:r>
      <w:r w:rsidRPr="00F04D62">
        <w:rPr>
          <w:rFonts w:ascii="Arial" w:hAnsi="Arial" w:cs="Arial"/>
          <w:b w:val="0"/>
          <w:bCs w:val="0"/>
          <w:sz w:val="22"/>
          <w:szCs w:val="22"/>
        </w:rPr>
        <w:lastRenderedPageBreak/>
        <w:t xml:space="preserve">(0.1% sodium citrate, 0.1% Triton X-100 and 100 </w:t>
      </w:r>
      <w:r w:rsidRPr="00F04D62">
        <w:rPr>
          <w:rFonts w:ascii="Arial" w:hAnsi="Arial" w:cs="Arial"/>
          <w:b w:val="0"/>
          <w:bCs w:val="0"/>
          <w:sz w:val="22"/>
          <w:szCs w:val="22"/>
        </w:rPr>
        <w:sym w:font="Symbol" w:char="F06D"/>
      </w:r>
      <w:r w:rsidRPr="00F04D62">
        <w:rPr>
          <w:rFonts w:ascii="Arial" w:hAnsi="Arial" w:cs="Arial"/>
          <w:b w:val="0"/>
          <w:bCs w:val="0"/>
          <w:sz w:val="22"/>
          <w:szCs w:val="22"/>
        </w:rPr>
        <w:t xml:space="preserve">g/mL </w:t>
      </w:r>
      <w:proofErr w:type="spellStart"/>
      <w:r w:rsidRPr="00F04D62">
        <w:rPr>
          <w:rFonts w:ascii="Arial" w:hAnsi="Arial" w:cs="Arial"/>
          <w:b w:val="0"/>
          <w:bCs w:val="0"/>
          <w:sz w:val="22"/>
          <w:szCs w:val="22"/>
        </w:rPr>
        <w:t>RNAse</w:t>
      </w:r>
      <w:proofErr w:type="spellEnd"/>
      <w:r w:rsidRPr="00F04D62">
        <w:rPr>
          <w:rFonts w:ascii="Arial" w:hAnsi="Arial" w:cs="Arial"/>
          <w:b w:val="0"/>
          <w:bCs w:val="0"/>
          <w:sz w:val="22"/>
          <w:szCs w:val="22"/>
        </w:rPr>
        <w:t>) following incubation at 37</w:t>
      </w:r>
      <w:r w:rsidRPr="00F04D62">
        <w:rPr>
          <w:rFonts w:ascii="Arial" w:hAnsi="Arial" w:cs="Arial"/>
          <w:b w:val="0"/>
          <w:bCs w:val="0"/>
          <w:sz w:val="22"/>
          <w:szCs w:val="22"/>
        </w:rPr>
        <w:sym w:font="Symbol" w:char="F0B0"/>
      </w:r>
      <w:r w:rsidRPr="00F04D62">
        <w:rPr>
          <w:rFonts w:ascii="Arial" w:hAnsi="Arial" w:cs="Arial"/>
          <w:b w:val="0"/>
          <w:bCs w:val="0"/>
          <w:sz w:val="22"/>
          <w:szCs w:val="22"/>
        </w:rPr>
        <w:t>C for 30 minutes.</w:t>
      </w:r>
    </w:p>
    <w:p w14:paraId="7B90B508"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p>
    <w:p w14:paraId="797DE21F" w14:textId="77777777" w:rsidR="004A16E6" w:rsidRPr="00F04D62" w:rsidRDefault="004A16E6" w:rsidP="004A16E6">
      <w:pPr>
        <w:pStyle w:val="Heading1"/>
        <w:spacing w:before="0" w:beforeAutospacing="0" w:after="240" w:afterAutospacing="0"/>
        <w:contextualSpacing/>
        <w:rPr>
          <w:rFonts w:ascii="Arial" w:hAnsi="Arial" w:cs="Arial"/>
          <w:sz w:val="22"/>
          <w:szCs w:val="22"/>
        </w:rPr>
      </w:pPr>
      <w:r w:rsidRPr="00F04D62">
        <w:rPr>
          <w:rFonts w:ascii="Arial" w:hAnsi="Arial" w:cs="Arial"/>
          <w:sz w:val="22"/>
          <w:szCs w:val="22"/>
        </w:rPr>
        <w:t xml:space="preserve">Immunofluorescence staining </w:t>
      </w:r>
    </w:p>
    <w:p w14:paraId="6D58C6F4"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sz w:val="22"/>
          <w:szCs w:val="22"/>
        </w:rPr>
        <w:t>Cells were washed with PBS before seeding onto adhesion slides (</w:t>
      </w:r>
      <w:proofErr w:type="spellStart"/>
      <w:r w:rsidRPr="00F04D62">
        <w:rPr>
          <w:rFonts w:ascii="Arial" w:hAnsi="Arial" w:cs="Arial"/>
          <w:b w:val="0"/>
          <w:bCs w:val="0"/>
          <w:sz w:val="22"/>
          <w:szCs w:val="22"/>
        </w:rPr>
        <w:t>Marienfeld</w:t>
      </w:r>
      <w:proofErr w:type="spellEnd"/>
      <w:r w:rsidRPr="00F04D62">
        <w:rPr>
          <w:rFonts w:ascii="Arial" w:hAnsi="Arial" w:cs="Arial"/>
          <w:b w:val="0"/>
          <w:bCs w:val="0"/>
          <w:sz w:val="22"/>
          <w:szCs w:val="22"/>
        </w:rPr>
        <w:t>). Following a pre-extraction with 0.1% Tween in PBS (PBST), cells were fixed with 2% PFA in PBS and permeabilized using 0.5% Triton in PBS. Cells were blocked with 5% BSA in PBST prior to overnight primary antibody incubation at 4</w:t>
      </w:r>
      <w:r w:rsidRPr="00F04D62">
        <w:rPr>
          <w:rFonts w:ascii="Arial" w:hAnsi="Arial" w:cs="Arial"/>
          <w:b w:val="0"/>
          <w:bCs w:val="0"/>
          <w:sz w:val="22"/>
          <w:szCs w:val="22"/>
        </w:rPr>
        <w:sym w:font="Symbol" w:char="F0B0"/>
      </w:r>
      <w:r w:rsidRPr="00F04D62">
        <w:rPr>
          <w:rFonts w:ascii="Arial" w:hAnsi="Arial" w:cs="Arial"/>
          <w:b w:val="0"/>
          <w:bCs w:val="0"/>
          <w:sz w:val="22"/>
          <w:szCs w:val="22"/>
        </w:rPr>
        <w:t xml:space="preserve">C (Suppl. Table 2). Secondary antibody incubation was performed for 1h at room temperature. Secondary antibodies were diluted accordingly, 1:2000 Alexa Fluor 546 goat anti-mouse (Invitrogen #A11018) and 1:2000 Alexa Fluor 488 goat anti-rabbit (Invitrogen #A11070). 0.2 </w:t>
      </w:r>
      <w:r w:rsidRPr="00F04D62">
        <w:rPr>
          <w:rFonts w:ascii="Arial" w:hAnsi="Arial" w:cs="Arial"/>
          <w:b w:val="0"/>
          <w:bCs w:val="0"/>
          <w:sz w:val="22"/>
          <w:szCs w:val="22"/>
        </w:rPr>
        <w:sym w:font="Symbol" w:char="F06D"/>
      </w:r>
      <w:r w:rsidRPr="00F04D62">
        <w:rPr>
          <w:rFonts w:ascii="Arial" w:hAnsi="Arial" w:cs="Arial"/>
          <w:b w:val="0"/>
          <w:bCs w:val="0"/>
          <w:sz w:val="22"/>
          <w:szCs w:val="22"/>
        </w:rPr>
        <w:t xml:space="preserve">g/mL DAPI in PBS was used to counterstain the cells prior to mounting with DAKO (Agilent Technologies) medium. Slides were imaged using a LSM 700 laser scanning confocal microscope (Carl Zeiss). </w:t>
      </w:r>
    </w:p>
    <w:p w14:paraId="01D57D0C"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p>
    <w:p w14:paraId="762AF951" w14:textId="77777777" w:rsidR="004A16E6" w:rsidRPr="00F04D62" w:rsidRDefault="004A16E6" w:rsidP="004A16E6">
      <w:pPr>
        <w:pStyle w:val="Heading1"/>
        <w:spacing w:before="0" w:beforeAutospacing="0" w:after="240" w:afterAutospacing="0"/>
        <w:contextualSpacing/>
        <w:rPr>
          <w:rFonts w:ascii="Arial" w:hAnsi="Arial" w:cs="Arial"/>
          <w:sz w:val="22"/>
          <w:szCs w:val="22"/>
        </w:rPr>
      </w:pPr>
      <w:r w:rsidRPr="00F04D62">
        <w:rPr>
          <w:rFonts w:ascii="Arial" w:hAnsi="Arial" w:cs="Arial"/>
          <w:sz w:val="22"/>
          <w:szCs w:val="22"/>
        </w:rPr>
        <w:t>TIDE assay</w:t>
      </w:r>
    </w:p>
    <w:p w14:paraId="69AB8EF6"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color w:val="000000" w:themeColor="text1"/>
          <w:sz w:val="22"/>
          <w:szCs w:val="22"/>
        </w:rPr>
        <w:t xml:space="preserve">Tracking of </w:t>
      </w:r>
      <w:proofErr w:type="spellStart"/>
      <w:r w:rsidRPr="00F04D62">
        <w:rPr>
          <w:rFonts w:ascii="Arial" w:hAnsi="Arial" w:cs="Arial"/>
          <w:b w:val="0"/>
          <w:bCs w:val="0"/>
          <w:color w:val="000000" w:themeColor="text1"/>
          <w:sz w:val="22"/>
          <w:szCs w:val="22"/>
        </w:rPr>
        <w:t>Indels</w:t>
      </w:r>
      <w:proofErr w:type="spellEnd"/>
      <w:r w:rsidRPr="00F04D62">
        <w:rPr>
          <w:rFonts w:ascii="Arial" w:hAnsi="Arial" w:cs="Arial"/>
          <w:b w:val="0"/>
          <w:bCs w:val="0"/>
          <w:color w:val="000000" w:themeColor="text1"/>
          <w:sz w:val="22"/>
          <w:szCs w:val="22"/>
        </w:rPr>
        <w:t xml:space="preserve"> by </w:t>
      </w:r>
      <w:proofErr w:type="spellStart"/>
      <w:r w:rsidRPr="00F04D62">
        <w:rPr>
          <w:rFonts w:ascii="Arial" w:hAnsi="Arial" w:cs="Arial"/>
          <w:b w:val="0"/>
          <w:bCs w:val="0"/>
          <w:color w:val="000000" w:themeColor="text1"/>
          <w:sz w:val="22"/>
          <w:szCs w:val="22"/>
        </w:rPr>
        <w:t>DEcomposition</w:t>
      </w:r>
      <w:proofErr w:type="spellEnd"/>
      <w:r w:rsidRPr="00F04D62">
        <w:rPr>
          <w:rFonts w:ascii="Arial" w:hAnsi="Arial" w:cs="Arial"/>
          <w:b w:val="0"/>
          <w:bCs w:val="0"/>
          <w:color w:val="000000" w:themeColor="text1"/>
          <w:sz w:val="22"/>
          <w:szCs w:val="22"/>
        </w:rPr>
        <w:t xml:space="preserve"> (TIDE) assay was performed to validate the frequencies and spectrum of insertions or deletions following CRISPR/Cas9 genome editing. Genomic DNA was isolated from snap frozen cell pellets of </w:t>
      </w:r>
      <w:r w:rsidRPr="00F04D62">
        <w:rPr>
          <w:rFonts w:ascii="Arial" w:hAnsi="Arial" w:cs="Arial"/>
          <w:b w:val="0"/>
          <w:bCs w:val="0"/>
          <w:i/>
          <w:iCs/>
          <w:sz w:val="22"/>
          <w:szCs w:val="22"/>
        </w:rPr>
        <w:t>Stat5a/b</w:t>
      </w:r>
      <w:r w:rsidRPr="00F04D62">
        <w:rPr>
          <w:rFonts w:ascii="Arial" w:hAnsi="Arial" w:cs="Arial"/>
          <w:b w:val="0"/>
          <w:bCs w:val="0"/>
          <w:i/>
          <w:iCs/>
          <w:sz w:val="22"/>
          <w:szCs w:val="22"/>
          <w:vertAlign w:val="superscript"/>
        </w:rPr>
        <w:sym w:font="Symbol" w:char="F044"/>
      </w:r>
      <w:r w:rsidRPr="00F04D62">
        <w:rPr>
          <w:rFonts w:ascii="Arial" w:hAnsi="Arial" w:cs="Arial"/>
          <w:b w:val="0"/>
          <w:bCs w:val="0"/>
          <w:sz w:val="22"/>
          <w:szCs w:val="22"/>
          <w:vertAlign w:val="superscript"/>
        </w:rPr>
        <w:t>CRISPR</w:t>
      </w:r>
      <w:r w:rsidRPr="00F04D62">
        <w:rPr>
          <w:rFonts w:ascii="Arial" w:hAnsi="Arial" w:cs="Arial"/>
          <w:b w:val="0"/>
          <w:bCs w:val="0"/>
          <w:sz w:val="22"/>
          <w:szCs w:val="22"/>
        </w:rPr>
        <w:t xml:space="preserve"> </w:t>
      </w:r>
      <w:r w:rsidRPr="00F04D62">
        <w:rPr>
          <w:rFonts w:ascii="Arial" w:hAnsi="Arial" w:cs="Arial"/>
          <w:b w:val="0"/>
          <w:bCs w:val="0"/>
          <w:color w:val="000000" w:themeColor="text1"/>
          <w:sz w:val="22"/>
          <w:szCs w:val="22"/>
        </w:rPr>
        <w:t xml:space="preserve">and </w:t>
      </w:r>
      <w:r w:rsidRPr="00F04D62">
        <w:rPr>
          <w:rFonts w:ascii="Arial" w:hAnsi="Arial" w:cs="Arial"/>
          <w:b w:val="0"/>
          <w:bCs w:val="0"/>
          <w:i/>
          <w:iCs/>
          <w:sz w:val="22"/>
          <w:szCs w:val="22"/>
        </w:rPr>
        <w:t>Stat5a/</w:t>
      </w:r>
      <w:proofErr w:type="spellStart"/>
      <w:r w:rsidRPr="00F04D62">
        <w:rPr>
          <w:rFonts w:ascii="Arial" w:hAnsi="Arial" w:cs="Arial"/>
          <w:b w:val="0"/>
          <w:bCs w:val="0"/>
          <w:i/>
          <w:iCs/>
          <w:sz w:val="22"/>
          <w:szCs w:val="22"/>
        </w:rPr>
        <w:t>b</w:t>
      </w:r>
      <w:r w:rsidRPr="00F04D62">
        <w:rPr>
          <w:rFonts w:ascii="Arial" w:hAnsi="Arial" w:cs="Arial"/>
          <w:b w:val="0"/>
          <w:bCs w:val="0"/>
          <w:i/>
          <w:iCs/>
          <w:sz w:val="22"/>
          <w:szCs w:val="22"/>
          <w:vertAlign w:val="superscript"/>
        </w:rPr>
        <w:t>EV</w:t>
      </w:r>
      <w:proofErr w:type="spellEnd"/>
      <w:r w:rsidRPr="00F04D62">
        <w:rPr>
          <w:rFonts w:ascii="Arial" w:hAnsi="Arial" w:cs="Arial"/>
          <w:b w:val="0"/>
          <w:bCs w:val="0"/>
          <w:color w:val="000000" w:themeColor="text1"/>
          <w:sz w:val="22"/>
          <w:szCs w:val="22"/>
        </w:rPr>
        <w:t xml:space="preserve"> single clones, using Quick-DNA Miniprep </w:t>
      </w:r>
      <w:proofErr w:type="gramStart"/>
      <w:r w:rsidRPr="00F04D62">
        <w:rPr>
          <w:rFonts w:ascii="Arial" w:hAnsi="Arial" w:cs="Arial"/>
          <w:b w:val="0"/>
          <w:bCs w:val="0"/>
          <w:color w:val="000000" w:themeColor="text1"/>
          <w:sz w:val="22"/>
          <w:szCs w:val="22"/>
        </w:rPr>
        <w:t>Plus</w:t>
      </w:r>
      <w:proofErr w:type="gramEnd"/>
      <w:r w:rsidRPr="00F04D62">
        <w:rPr>
          <w:rFonts w:ascii="Arial" w:hAnsi="Arial" w:cs="Arial"/>
          <w:b w:val="0"/>
          <w:bCs w:val="0"/>
          <w:color w:val="000000" w:themeColor="text1"/>
          <w:sz w:val="22"/>
          <w:szCs w:val="22"/>
        </w:rPr>
        <w:t xml:space="preserve"> Kit (D4068; </w:t>
      </w:r>
      <w:proofErr w:type="spellStart"/>
      <w:r w:rsidRPr="00F04D62">
        <w:rPr>
          <w:rFonts w:ascii="Arial" w:hAnsi="Arial" w:cs="Arial"/>
          <w:b w:val="0"/>
          <w:bCs w:val="0"/>
          <w:color w:val="000000" w:themeColor="text1"/>
          <w:sz w:val="22"/>
          <w:szCs w:val="22"/>
        </w:rPr>
        <w:t>Zymo</w:t>
      </w:r>
      <w:proofErr w:type="spellEnd"/>
      <w:r w:rsidRPr="00F04D62">
        <w:rPr>
          <w:rFonts w:ascii="Arial" w:hAnsi="Arial" w:cs="Arial"/>
          <w:b w:val="0"/>
          <w:bCs w:val="0"/>
          <w:color w:val="000000" w:themeColor="text1"/>
          <w:sz w:val="22"/>
          <w:szCs w:val="22"/>
        </w:rPr>
        <w:t xml:space="preserve"> Research) according to the manufacturer’s protocol. Amplification primers were designed to isolate the individual CRISPR target sites using Q5</w:t>
      </w:r>
      <w:r w:rsidRPr="00F04D62">
        <w:rPr>
          <w:rFonts w:ascii="Arial" w:hAnsi="Arial" w:cs="Arial"/>
          <w:b w:val="0"/>
          <w:bCs w:val="0"/>
          <w:color w:val="000000" w:themeColor="text1"/>
          <w:sz w:val="22"/>
          <w:szCs w:val="22"/>
          <w:vertAlign w:val="superscript"/>
        </w:rPr>
        <w:t>®</w:t>
      </w:r>
      <w:r w:rsidRPr="00F04D62">
        <w:rPr>
          <w:rFonts w:ascii="Arial" w:hAnsi="Arial" w:cs="Arial"/>
          <w:b w:val="0"/>
          <w:bCs w:val="0"/>
          <w:color w:val="000000" w:themeColor="text1"/>
          <w:sz w:val="22"/>
          <w:szCs w:val="22"/>
        </w:rPr>
        <w:t xml:space="preserve"> High - Fidelity DNA Polymerase (M0491S; NEB). Following Spectrophotometer measurement of concentrations, purified amplicons were mixed with the TIDE Sequencing Primer, designed to bind 200 bp upstream of the sgRNA target site. </w:t>
      </w:r>
      <w:r w:rsidRPr="00F04D62">
        <w:rPr>
          <w:rFonts w:ascii="Arial" w:hAnsi="Arial" w:cs="Arial"/>
          <w:b w:val="0"/>
          <w:bCs w:val="0"/>
          <w:sz w:val="22"/>
          <w:szCs w:val="22"/>
        </w:rPr>
        <w:t>Empty vector single clones</w:t>
      </w:r>
      <w:r w:rsidRPr="00F04D62">
        <w:rPr>
          <w:rFonts w:ascii="Arial" w:hAnsi="Arial" w:cs="Arial"/>
          <w:b w:val="0"/>
          <w:bCs w:val="0"/>
          <w:color w:val="000000" w:themeColor="text1"/>
          <w:sz w:val="22"/>
          <w:szCs w:val="22"/>
        </w:rPr>
        <w:t xml:space="preserve"> were sequenced with both sequencing primers as control sequences. Sequences were further analyzed </w:t>
      </w:r>
      <w:r w:rsidRPr="00F04D62">
        <w:rPr>
          <w:rFonts w:ascii="Arial" w:hAnsi="Arial" w:cs="Arial"/>
          <w:b w:val="0"/>
          <w:bCs w:val="0"/>
          <w:i/>
          <w:iCs/>
          <w:color w:val="000000" w:themeColor="text1"/>
          <w:sz w:val="22"/>
          <w:szCs w:val="22"/>
        </w:rPr>
        <w:t>via</w:t>
      </w:r>
      <w:r w:rsidRPr="00F04D62">
        <w:rPr>
          <w:rFonts w:ascii="Arial" w:hAnsi="Arial" w:cs="Arial"/>
          <w:b w:val="0"/>
          <w:bCs w:val="0"/>
          <w:color w:val="000000" w:themeColor="text1"/>
          <w:sz w:val="22"/>
          <w:szCs w:val="22"/>
        </w:rPr>
        <w:t xml:space="preserve"> TIDE Software provided as a free web service </w:t>
      </w:r>
      <w:hyperlink r:id="rId10" w:history="1">
        <w:r w:rsidRPr="00F04D62">
          <w:rPr>
            <w:rStyle w:val="Hyperlink"/>
            <w:rFonts w:ascii="Arial" w:hAnsi="Arial" w:cs="Arial"/>
            <w:b w:val="0"/>
            <w:bCs w:val="0"/>
            <w:sz w:val="22"/>
            <w:szCs w:val="22"/>
          </w:rPr>
          <w:t>http://shinyapps.datacurators.nl/tide/</w:t>
        </w:r>
      </w:hyperlink>
      <w:r w:rsidRPr="00F04D62">
        <w:rPr>
          <w:rFonts w:ascii="Arial" w:hAnsi="Arial" w:cs="Arial"/>
          <w:b w:val="0"/>
          <w:bCs w:val="0"/>
          <w:color w:val="000000" w:themeColor="text1"/>
          <w:sz w:val="22"/>
          <w:szCs w:val="22"/>
        </w:rPr>
        <w:t xml:space="preserve"> </w:t>
      </w:r>
      <w:r w:rsidRPr="00F04D62">
        <w:rPr>
          <w:rFonts w:ascii="Arial" w:hAnsi="Arial" w:cs="Arial"/>
          <w:b w:val="0"/>
          <w:bCs w:val="0"/>
          <w:color w:val="000000" w:themeColor="text1"/>
          <w:sz w:val="22"/>
          <w:szCs w:val="22"/>
        </w:rPr>
        <w:lastRenderedPageBreak/>
        <w:t xml:space="preserve">(Brinkman et al., 2014). </w:t>
      </w:r>
      <w:proofErr w:type="gramStart"/>
      <w:r w:rsidRPr="00F04D62">
        <w:rPr>
          <w:rFonts w:ascii="Arial" w:hAnsi="Arial" w:cs="Arial"/>
          <w:b w:val="0"/>
          <w:bCs w:val="0"/>
          <w:color w:val="000000" w:themeColor="text1"/>
          <w:sz w:val="22"/>
          <w:szCs w:val="22"/>
        </w:rPr>
        <w:t xml:space="preserve">Amplification primers: </w:t>
      </w:r>
      <w:r w:rsidRPr="00F04D62">
        <w:rPr>
          <w:rFonts w:ascii="Arial" w:hAnsi="Arial" w:cs="Arial"/>
          <w:b w:val="0"/>
          <w:bCs w:val="0"/>
          <w:i/>
          <w:iCs/>
          <w:color w:val="000000" w:themeColor="text1"/>
          <w:sz w:val="22"/>
          <w:szCs w:val="22"/>
        </w:rPr>
        <w:t xml:space="preserve">Stat5a: </w:t>
      </w:r>
      <w:r w:rsidRPr="00F04D62">
        <w:rPr>
          <w:rFonts w:ascii="Arial" w:hAnsi="Arial" w:cs="Arial"/>
          <w:b w:val="0"/>
          <w:bCs w:val="0"/>
          <w:color w:val="000000" w:themeColor="text1"/>
          <w:sz w:val="22"/>
          <w:szCs w:val="22"/>
        </w:rPr>
        <w:t xml:space="preserve"> </w:t>
      </w:r>
      <w:r w:rsidRPr="00F04D62">
        <w:rPr>
          <w:rFonts w:ascii="Arial" w:hAnsi="Arial" w:cs="Arial"/>
          <w:b w:val="0"/>
          <w:bCs w:val="0"/>
          <w:i/>
          <w:iCs/>
          <w:color w:val="000000"/>
          <w:sz w:val="22"/>
          <w:szCs w:val="22"/>
        </w:rPr>
        <w:t>5'</w:t>
      </w:r>
      <w:r w:rsidRPr="00F04D62">
        <w:rPr>
          <w:rFonts w:ascii="Arial" w:hAnsi="Arial" w:cs="Arial"/>
          <w:b w:val="0"/>
          <w:bCs w:val="0"/>
          <w:color w:val="000000"/>
          <w:sz w:val="22"/>
          <w:szCs w:val="22"/>
        </w:rPr>
        <w:t>-</w:t>
      </w:r>
      <w:r w:rsidRPr="00F04D62">
        <w:rPr>
          <w:rFonts w:ascii="Arial" w:hAnsi="Arial" w:cs="Arial"/>
          <w:b w:val="0"/>
          <w:bCs w:val="0"/>
          <w:i/>
          <w:iCs/>
          <w:color w:val="000000" w:themeColor="text1"/>
          <w:sz w:val="22"/>
          <w:szCs w:val="22"/>
        </w:rPr>
        <w:t>CCCTGAGTCTTCACCTCCAG-3’</w:t>
      </w:r>
      <w:r w:rsidRPr="00F04D62">
        <w:rPr>
          <w:rFonts w:ascii="Arial" w:hAnsi="Arial" w:cs="Arial"/>
          <w:b w:val="0"/>
          <w:bCs w:val="0"/>
          <w:color w:val="000000" w:themeColor="text1"/>
          <w:sz w:val="22"/>
          <w:szCs w:val="22"/>
        </w:rPr>
        <w:t xml:space="preserve"> and </w:t>
      </w:r>
      <w:r w:rsidRPr="00F04D62">
        <w:rPr>
          <w:rFonts w:ascii="Arial" w:hAnsi="Arial" w:cs="Arial"/>
          <w:b w:val="0"/>
          <w:bCs w:val="0"/>
          <w:i/>
          <w:iCs/>
          <w:color w:val="000000" w:themeColor="text1"/>
          <w:sz w:val="22"/>
          <w:szCs w:val="22"/>
        </w:rPr>
        <w:t xml:space="preserve">Stat5b: </w:t>
      </w:r>
      <w:r w:rsidRPr="00F04D62">
        <w:rPr>
          <w:rFonts w:ascii="Arial" w:hAnsi="Arial" w:cs="Arial"/>
          <w:b w:val="0"/>
          <w:bCs w:val="0"/>
          <w:i/>
          <w:iCs/>
          <w:color w:val="000000"/>
          <w:sz w:val="22"/>
          <w:szCs w:val="22"/>
        </w:rPr>
        <w:t>5'</w:t>
      </w:r>
      <w:r w:rsidRPr="00F04D62">
        <w:rPr>
          <w:rFonts w:ascii="Arial" w:hAnsi="Arial" w:cs="Arial"/>
          <w:b w:val="0"/>
          <w:bCs w:val="0"/>
          <w:color w:val="000000"/>
          <w:sz w:val="22"/>
          <w:szCs w:val="22"/>
        </w:rPr>
        <w:t>-</w:t>
      </w:r>
      <w:r w:rsidRPr="00F04D62">
        <w:rPr>
          <w:rFonts w:ascii="Arial" w:hAnsi="Arial" w:cs="Arial"/>
          <w:b w:val="0"/>
          <w:bCs w:val="0"/>
          <w:i/>
          <w:iCs/>
          <w:color w:val="000000" w:themeColor="text1"/>
          <w:sz w:val="22"/>
          <w:szCs w:val="22"/>
        </w:rPr>
        <w:t>AGGGAAGGGAGGAAGGAGTA-3’.</w:t>
      </w:r>
      <w:proofErr w:type="gramEnd"/>
      <w:r w:rsidRPr="00F04D62">
        <w:rPr>
          <w:rFonts w:ascii="Arial" w:hAnsi="Arial" w:cs="Arial"/>
          <w:b w:val="0"/>
          <w:bCs w:val="0"/>
          <w:i/>
          <w:iCs/>
          <w:color w:val="000000" w:themeColor="text1"/>
          <w:sz w:val="22"/>
          <w:szCs w:val="22"/>
        </w:rPr>
        <w:t xml:space="preserve">  </w:t>
      </w:r>
      <w:proofErr w:type="gramStart"/>
      <w:r w:rsidRPr="00F04D62">
        <w:rPr>
          <w:rFonts w:ascii="Arial" w:hAnsi="Arial" w:cs="Arial"/>
          <w:b w:val="0"/>
          <w:bCs w:val="0"/>
          <w:color w:val="000000" w:themeColor="text1"/>
          <w:sz w:val="22"/>
          <w:szCs w:val="22"/>
        </w:rPr>
        <w:t xml:space="preserve">TIDE sequencing primers: </w:t>
      </w:r>
      <w:r w:rsidRPr="00F04D62">
        <w:rPr>
          <w:rFonts w:ascii="Arial" w:hAnsi="Arial" w:cs="Arial"/>
          <w:b w:val="0"/>
          <w:bCs w:val="0"/>
          <w:i/>
          <w:iCs/>
          <w:color w:val="000000" w:themeColor="text1"/>
          <w:sz w:val="22"/>
          <w:szCs w:val="22"/>
        </w:rPr>
        <w:t xml:space="preserve">Stat5a: </w:t>
      </w:r>
      <w:r w:rsidRPr="00F04D62">
        <w:rPr>
          <w:rFonts w:ascii="Arial" w:hAnsi="Arial" w:cs="Arial"/>
          <w:b w:val="0"/>
          <w:bCs w:val="0"/>
          <w:color w:val="000000" w:themeColor="text1"/>
          <w:sz w:val="22"/>
          <w:szCs w:val="22"/>
        </w:rPr>
        <w:t xml:space="preserve"> </w:t>
      </w:r>
      <w:r w:rsidRPr="00F04D62">
        <w:rPr>
          <w:rFonts w:ascii="Arial" w:hAnsi="Arial" w:cs="Arial"/>
          <w:b w:val="0"/>
          <w:bCs w:val="0"/>
          <w:i/>
          <w:iCs/>
          <w:color w:val="000000"/>
          <w:sz w:val="22"/>
          <w:szCs w:val="22"/>
        </w:rPr>
        <w:t>5'</w:t>
      </w:r>
      <w:r w:rsidRPr="00F04D62">
        <w:rPr>
          <w:rFonts w:ascii="Arial" w:hAnsi="Arial" w:cs="Arial"/>
          <w:b w:val="0"/>
          <w:bCs w:val="0"/>
          <w:color w:val="000000"/>
          <w:sz w:val="22"/>
          <w:szCs w:val="22"/>
        </w:rPr>
        <w:t>-</w:t>
      </w:r>
      <w:r w:rsidRPr="00F04D62">
        <w:rPr>
          <w:rFonts w:ascii="Arial" w:hAnsi="Arial" w:cs="Arial"/>
          <w:b w:val="0"/>
          <w:bCs w:val="0"/>
          <w:i/>
          <w:iCs/>
          <w:color w:val="000000" w:themeColor="text1"/>
          <w:sz w:val="22"/>
          <w:szCs w:val="22"/>
        </w:rPr>
        <w:t>AAGGGGAAGAGGGAAACTGG-3’</w:t>
      </w:r>
      <w:r w:rsidRPr="00F04D62">
        <w:rPr>
          <w:rFonts w:ascii="Arial" w:hAnsi="Arial" w:cs="Arial"/>
          <w:b w:val="0"/>
          <w:bCs w:val="0"/>
          <w:color w:val="000000" w:themeColor="text1"/>
          <w:sz w:val="22"/>
          <w:szCs w:val="22"/>
        </w:rPr>
        <w:t xml:space="preserve"> and </w:t>
      </w:r>
      <w:r w:rsidRPr="00F04D62">
        <w:rPr>
          <w:rFonts w:ascii="Arial" w:hAnsi="Arial" w:cs="Arial"/>
          <w:b w:val="0"/>
          <w:bCs w:val="0"/>
          <w:i/>
          <w:iCs/>
          <w:color w:val="000000" w:themeColor="text1"/>
          <w:sz w:val="22"/>
          <w:szCs w:val="22"/>
        </w:rPr>
        <w:t xml:space="preserve">Stat5b: </w:t>
      </w:r>
      <w:r w:rsidRPr="00F04D62">
        <w:rPr>
          <w:rFonts w:ascii="Arial" w:hAnsi="Arial" w:cs="Arial"/>
          <w:b w:val="0"/>
          <w:bCs w:val="0"/>
          <w:i/>
          <w:iCs/>
          <w:color w:val="000000"/>
          <w:sz w:val="22"/>
          <w:szCs w:val="22"/>
        </w:rPr>
        <w:t>5'</w:t>
      </w:r>
      <w:r w:rsidRPr="00F04D62">
        <w:rPr>
          <w:rFonts w:ascii="Arial" w:hAnsi="Arial" w:cs="Arial"/>
          <w:b w:val="0"/>
          <w:bCs w:val="0"/>
          <w:color w:val="000000"/>
          <w:sz w:val="22"/>
          <w:szCs w:val="22"/>
        </w:rPr>
        <w:t>-</w:t>
      </w:r>
      <w:r w:rsidRPr="00F04D62">
        <w:rPr>
          <w:rFonts w:ascii="Arial" w:hAnsi="Arial" w:cs="Arial"/>
          <w:b w:val="0"/>
          <w:bCs w:val="0"/>
          <w:i/>
          <w:iCs/>
          <w:color w:val="000000" w:themeColor="text1"/>
          <w:sz w:val="22"/>
          <w:szCs w:val="22"/>
        </w:rPr>
        <w:t>AATCCCAGCACCCACAAAAC -3’.</w:t>
      </w:r>
      <w:proofErr w:type="gramEnd"/>
      <w:r w:rsidRPr="00F04D62">
        <w:rPr>
          <w:rFonts w:ascii="Arial" w:hAnsi="Arial" w:cs="Arial"/>
          <w:b w:val="0"/>
          <w:bCs w:val="0"/>
          <w:i/>
          <w:iCs/>
          <w:color w:val="000000" w:themeColor="text1"/>
          <w:sz w:val="22"/>
          <w:szCs w:val="22"/>
        </w:rPr>
        <w:t xml:space="preserve"> </w:t>
      </w:r>
    </w:p>
    <w:p w14:paraId="759871EB" w14:textId="77777777" w:rsidR="004A16E6" w:rsidRPr="00F04D62" w:rsidRDefault="004A16E6" w:rsidP="004A16E6">
      <w:pPr>
        <w:pStyle w:val="Heading1"/>
        <w:spacing w:before="0" w:beforeAutospacing="0" w:after="240" w:afterAutospacing="0"/>
        <w:contextualSpacing/>
        <w:rPr>
          <w:rFonts w:ascii="Arial" w:hAnsi="Arial" w:cs="Arial"/>
          <w:sz w:val="22"/>
          <w:szCs w:val="22"/>
        </w:rPr>
      </w:pPr>
    </w:p>
    <w:p w14:paraId="74573C8E" w14:textId="77777777" w:rsidR="004A16E6" w:rsidRPr="00F04D62" w:rsidRDefault="004A16E6" w:rsidP="004A16E6">
      <w:pPr>
        <w:pStyle w:val="Heading1"/>
        <w:spacing w:before="0" w:beforeAutospacing="0" w:after="240" w:afterAutospacing="0"/>
        <w:contextualSpacing/>
        <w:rPr>
          <w:rFonts w:ascii="Arial" w:hAnsi="Arial" w:cs="Arial"/>
          <w:sz w:val="22"/>
          <w:szCs w:val="22"/>
        </w:rPr>
      </w:pPr>
      <w:r w:rsidRPr="00F04D62">
        <w:rPr>
          <w:rFonts w:ascii="Arial" w:hAnsi="Arial" w:cs="Arial"/>
          <w:sz w:val="22"/>
          <w:szCs w:val="22"/>
        </w:rPr>
        <w:t xml:space="preserve">Construction of expression plasmids and site-directed mutagenesis </w:t>
      </w:r>
    </w:p>
    <w:p w14:paraId="51BAFAE9"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sz w:val="22"/>
          <w:szCs w:val="22"/>
          <w:u w:val="single"/>
        </w:rPr>
        <w:t>Template generation</w:t>
      </w:r>
      <w:r w:rsidRPr="00F04D62">
        <w:rPr>
          <w:rFonts w:ascii="Arial" w:hAnsi="Arial" w:cs="Arial"/>
          <w:b w:val="0"/>
          <w:bCs w:val="0"/>
          <w:sz w:val="22"/>
          <w:szCs w:val="22"/>
        </w:rPr>
        <w:t>: Full-length human PDGFR</w:t>
      </w:r>
      <w:r w:rsidRPr="00F04D62">
        <w:rPr>
          <w:rFonts w:ascii="Arial" w:hAnsi="Arial" w:cs="Arial"/>
          <w:b w:val="0"/>
          <w:bCs w:val="0"/>
          <w:color w:val="000000"/>
          <w:sz w:val="22"/>
          <w:szCs w:val="22"/>
        </w:rPr>
        <w:t xml:space="preserve">β cDNA sequences (Sino Biological) was amplified using the Q5 High-Fidelity DNA Polymerase (NEB) and cloned into the pLKO.1 vector </w:t>
      </w:r>
      <w:r w:rsidRPr="00F04D62">
        <w:rPr>
          <w:rFonts w:ascii="Arial" w:hAnsi="Arial" w:cs="Arial"/>
          <w:b w:val="0"/>
          <w:bCs w:val="0"/>
          <w:sz w:val="22"/>
          <w:szCs w:val="22"/>
        </w:rPr>
        <w:t xml:space="preserve">harboring the Cytomegalovirus (CMV) promoter and a </w:t>
      </w:r>
      <w:proofErr w:type="spellStart"/>
      <w:r w:rsidRPr="00F04D62">
        <w:rPr>
          <w:rFonts w:ascii="Arial" w:hAnsi="Arial" w:cs="Arial"/>
          <w:b w:val="0"/>
          <w:bCs w:val="0"/>
          <w:sz w:val="22"/>
          <w:szCs w:val="22"/>
        </w:rPr>
        <w:t>puromycin</w:t>
      </w:r>
      <w:proofErr w:type="spellEnd"/>
      <w:r w:rsidRPr="00F04D62">
        <w:rPr>
          <w:rFonts w:ascii="Arial" w:hAnsi="Arial" w:cs="Arial"/>
          <w:b w:val="0"/>
          <w:bCs w:val="0"/>
          <w:sz w:val="22"/>
          <w:szCs w:val="22"/>
        </w:rPr>
        <w:t xml:space="preserve"> resistance, </w:t>
      </w:r>
      <w:r w:rsidRPr="00F04D62">
        <w:rPr>
          <w:rFonts w:ascii="Arial" w:hAnsi="Arial" w:cs="Arial"/>
          <w:b w:val="0"/>
          <w:bCs w:val="0"/>
          <w:i/>
          <w:iCs/>
          <w:sz w:val="22"/>
          <w:szCs w:val="22"/>
        </w:rPr>
        <w:t>via</w:t>
      </w:r>
      <w:r w:rsidRPr="00F04D62">
        <w:rPr>
          <w:rFonts w:ascii="Arial" w:hAnsi="Arial" w:cs="Arial"/>
          <w:b w:val="0"/>
          <w:bCs w:val="0"/>
          <w:sz w:val="22"/>
          <w:szCs w:val="22"/>
        </w:rPr>
        <w:t xml:space="preserve"> </w:t>
      </w:r>
      <w:proofErr w:type="spellStart"/>
      <w:r w:rsidRPr="00F04D62">
        <w:rPr>
          <w:rFonts w:ascii="Arial" w:hAnsi="Arial" w:cs="Arial"/>
          <w:b w:val="0"/>
          <w:bCs w:val="0"/>
          <w:i/>
          <w:iCs/>
          <w:sz w:val="22"/>
          <w:szCs w:val="22"/>
        </w:rPr>
        <w:t>EcoRI</w:t>
      </w:r>
      <w:proofErr w:type="spellEnd"/>
      <w:r w:rsidRPr="00F04D62">
        <w:rPr>
          <w:rFonts w:ascii="Arial" w:hAnsi="Arial" w:cs="Arial"/>
          <w:b w:val="0"/>
          <w:bCs w:val="0"/>
          <w:sz w:val="22"/>
          <w:szCs w:val="22"/>
        </w:rPr>
        <w:t xml:space="preserve"> and </w:t>
      </w:r>
      <w:proofErr w:type="spellStart"/>
      <w:r w:rsidRPr="00F04D62">
        <w:rPr>
          <w:rFonts w:ascii="Arial" w:hAnsi="Arial" w:cs="Arial"/>
          <w:b w:val="0"/>
          <w:bCs w:val="0"/>
          <w:i/>
          <w:iCs/>
          <w:sz w:val="22"/>
          <w:szCs w:val="22"/>
        </w:rPr>
        <w:t>SalI</w:t>
      </w:r>
      <w:proofErr w:type="spellEnd"/>
      <w:r w:rsidRPr="00F04D62">
        <w:rPr>
          <w:rFonts w:ascii="Arial" w:hAnsi="Arial" w:cs="Arial"/>
          <w:b w:val="0"/>
          <w:bCs w:val="0"/>
          <w:sz w:val="22"/>
          <w:szCs w:val="22"/>
        </w:rPr>
        <w:t xml:space="preserve"> restriction sites. Similarly, NPM-ALK cDNA was </w:t>
      </w:r>
      <w:r w:rsidRPr="00F04D62">
        <w:rPr>
          <w:rFonts w:ascii="Arial" w:hAnsi="Arial" w:cs="Arial"/>
          <w:b w:val="0"/>
          <w:bCs w:val="0"/>
          <w:color w:val="000000"/>
          <w:sz w:val="22"/>
          <w:szCs w:val="22"/>
        </w:rPr>
        <w:t xml:space="preserve">cloned into a modified pLKO.1 vector </w:t>
      </w:r>
      <w:r w:rsidRPr="00F04D62">
        <w:rPr>
          <w:rFonts w:ascii="Arial" w:hAnsi="Arial" w:cs="Arial"/>
          <w:b w:val="0"/>
          <w:bCs w:val="0"/>
          <w:sz w:val="22"/>
          <w:szCs w:val="22"/>
        </w:rPr>
        <w:t xml:space="preserve">harboring the CMV promoter and a neomycin resistance, </w:t>
      </w:r>
      <w:r w:rsidRPr="00F04D62">
        <w:rPr>
          <w:rFonts w:ascii="Arial" w:hAnsi="Arial" w:cs="Arial"/>
          <w:b w:val="0"/>
          <w:bCs w:val="0"/>
          <w:i/>
          <w:iCs/>
          <w:sz w:val="22"/>
          <w:szCs w:val="22"/>
        </w:rPr>
        <w:t>via</w:t>
      </w:r>
      <w:r w:rsidRPr="00F04D62">
        <w:rPr>
          <w:rFonts w:ascii="Arial" w:hAnsi="Arial" w:cs="Arial"/>
          <w:b w:val="0"/>
          <w:bCs w:val="0"/>
          <w:sz w:val="22"/>
          <w:szCs w:val="22"/>
        </w:rPr>
        <w:t xml:space="preserve"> </w:t>
      </w:r>
      <w:proofErr w:type="spellStart"/>
      <w:r w:rsidRPr="00F04D62">
        <w:rPr>
          <w:rFonts w:ascii="Arial" w:hAnsi="Arial" w:cs="Arial"/>
          <w:b w:val="0"/>
          <w:bCs w:val="0"/>
          <w:i/>
          <w:iCs/>
          <w:sz w:val="22"/>
          <w:szCs w:val="22"/>
        </w:rPr>
        <w:t>EcoRI</w:t>
      </w:r>
      <w:proofErr w:type="spellEnd"/>
      <w:r w:rsidRPr="00F04D62">
        <w:rPr>
          <w:rFonts w:ascii="Arial" w:hAnsi="Arial" w:cs="Arial"/>
          <w:b w:val="0"/>
          <w:bCs w:val="0"/>
          <w:sz w:val="22"/>
          <w:szCs w:val="22"/>
        </w:rPr>
        <w:t xml:space="preserve"> and </w:t>
      </w:r>
      <w:proofErr w:type="spellStart"/>
      <w:r w:rsidRPr="00F04D62">
        <w:rPr>
          <w:rFonts w:ascii="Arial" w:hAnsi="Arial" w:cs="Arial"/>
          <w:b w:val="0"/>
          <w:bCs w:val="0"/>
          <w:i/>
          <w:iCs/>
          <w:sz w:val="22"/>
          <w:szCs w:val="22"/>
        </w:rPr>
        <w:t>SalI</w:t>
      </w:r>
      <w:proofErr w:type="spellEnd"/>
      <w:r w:rsidRPr="00F04D62">
        <w:rPr>
          <w:rFonts w:ascii="Arial" w:hAnsi="Arial" w:cs="Arial"/>
          <w:b w:val="0"/>
          <w:bCs w:val="0"/>
          <w:sz w:val="22"/>
          <w:szCs w:val="22"/>
        </w:rPr>
        <w:t xml:space="preserve"> restriction sites. </w:t>
      </w:r>
      <w:proofErr w:type="gramStart"/>
      <w:r w:rsidRPr="00F04D62">
        <w:rPr>
          <w:rFonts w:ascii="Arial" w:hAnsi="Arial" w:cs="Arial"/>
          <w:b w:val="0"/>
          <w:bCs w:val="0"/>
          <w:sz w:val="22"/>
          <w:szCs w:val="22"/>
        </w:rPr>
        <w:t>pLKO.1</w:t>
      </w:r>
      <w:proofErr w:type="gramEnd"/>
      <w:r w:rsidRPr="00F04D62">
        <w:rPr>
          <w:rFonts w:ascii="Arial" w:hAnsi="Arial" w:cs="Arial"/>
          <w:b w:val="0"/>
          <w:bCs w:val="0"/>
          <w:sz w:val="22"/>
          <w:szCs w:val="22"/>
        </w:rPr>
        <w:t xml:space="preserve"> was a gift from Bob Weinberg (</w:t>
      </w:r>
      <w:proofErr w:type="spellStart"/>
      <w:r w:rsidRPr="00F04D62">
        <w:rPr>
          <w:rFonts w:ascii="Arial" w:hAnsi="Arial" w:cs="Arial"/>
          <w:b w:val="0"/>
          <w:bCs w:val="0"/>
          <w:sz w:val="22"/>
          <w:szCs w:val="22"/>
        </w:rPr>
        <w:t>Addgene</w:t>
      </w:r>
      <w:proofErr w:type="spellEnd"/>
      <w:r w:rsidRPr="00F04D62">
        <w:rPr>
          <w:rFonts w:ascii="Arial" w:hAnsi="Arial" w:cs="Arial"/>
          <w:b w:val="0"/>
          <w:bCs w:val="0"/>
          <w:sz w:val="22"/>
          <w:szCs w:val="22"/>
        </w:rPr>
        <w:t xml:space="preserve"> plasmid #8453;</w:t>
      </w:r>
      <w:r w:rsidRPr="00F04D62">
        <w:rPr>
          <w:rFonts w:ascii="Arial" w:hAnsi="Arial" w:cs="Arial"/>
        </w:rPr>
        <w:t xml:space="preserve"> </w:t>
      </w:r>
      <w:hyperlink r:id="rId11" w:history="1">
        <w:r w:rsidRPr="00F04D62">
          <w:rPr>
            <w:rFonts w:ascii="Arial" w:hAnsi="Arial" w:cs="Arial"/>
            <w:b w:val="0"/>
            <w:bCs w:val="0"/>
            <w:sz w:val="22"/>
            <w:szCs w:val="22"/>
          </w:rPr>
          <w:t>https://www.addgene.org/8453/</w:t>
        </w:r>
      </w:hyperlink>
      <w:r w:rsidRPr="00F04D62">
        <w:rPr>
          <w:rFonts w:ascii="Arial" w:hAnsi="Arial" w:cs="Arial"/>
          <w:b w:val="0"/>
          <w:bCs w:val="0"/>
          <w:sz w:val="22"/>
          <w:szCs w:val="22"/>
        </w:rPr>
        <w:t xml:space="preserve">; RRID: Addgene_8453) and the resistance-cassette was modified by Oliver </w:t>
      </w:r>
      <w:proofErr w:type="spellStart"/>
      <w:r w:rsidRPr="00F04D62">
        <w:rPr>
          <w:rFonts w:ascii="Arial" w:hAnsi="Arial" w:cs="Arial"/>
          <w:b w:val="0"/>
          <w:bCs w:val="0"/>
          <w:sz w:val="22"/>
          <w:szCs w:val="22"/>
        </w:rPr>
        <w:t>Pusch</w:t>
      </w:r>
      <w:proofErr w:type="spellEnd"/>
      <w:r w:rsidRPr="00F04D62">
        <w:rPr>
          <w:rFonts w:ascii="Arial" w:hAnsi="Arial" w:cs="Arial"/>
          <w:b w:val="0"/>
          <w:bCs w:val="0"/>
          <w:sz w:val="22"/>
          <w:szCs w:val="22"/>
        </w:rPr>
        <w:t xml:space="preserve">. </w:t>
      </w:r>
    </w:p>
    <w:p w14:paraId="0D38A912"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sz w:val="22"/>
          <w:szCs w:val="22"/>
          <w:u w:val="single"/>
        </w:rPr>
        <w:t>Site Directed Mutagenesis</w:t>
      </w:r>
      <w:r w:rsidRPr="00F04D62">
        <w:rPr>
          <w:rFonts w:ascii="Arial" w:hAnsi="Arial" w:cs="Arial"/>
          <w:b w:val="0"/>
          <w:bCs w:val="0"/>
          <w:sz w:val="22"/>
          <w:szCs w:val="22"/>
        </w:rPr>
        <w:t xml:space="preserve">: </w:t>
      </w:r>
      <w:r w:rsidRPr="00F04D62">
        <w:rPr>
          <w:rFonts w:ascii="Arial" w:hAnsi="Arial" w:cs="Arial"/>
          <w:b w:val="0"/>
          <w:bCs w:val="0"/>
          <w:color w:val="000000"/>
          <w:sz w:val="22"/>
          <w:szCs w:val="22"/>
        </w:rPr>
        <w:t>The kinase-dead constructs of NPM-ALK were generated by mutating the K</w:t>
      </w:r>
      <w:r w:rsidRPr="00F04D62">
        <w:rPr>
          <w:rFonts w:ascii="Arial" w:hAnsi="Arial" w:cs="Arial"/>
          <w:b w:val="0"/>
          <w:bCs w:val="0"/>
          <w:color w:val="000000"/>
          <w:sz w:val="24"/>
          <w:szCs w:val="24"/>
          <w:vertAlign w:val="subscript"/>
        </w:rPr>
        <w:t>210</w:t>
      </w:r>
      <w:r w:rsidRPr="00F04D62">
        <w:rPr>
          <w:rFonts w:ascii="Arial" w:hAnsi="Arial" w:cs="Arial"/>
          <w:b w:val="0"/>
          <w:bCs w:val="0"/>
          <w:color w:val="000000"/>
          <w:sz w:val="22"/>
          <w:szCs w:val="22"/>
          <w:vertAlign w:val="subscript"/>
        </w:rPr>
        <w:t xml:space="preserve"> </w:t>
      </w:r>
      <w:r w:rsidRPr="00F04D62">
        <w:rPr>
          <w:rFonts w:ascii="Arial" w:hAnsi="Arial" w:cs="Arial"/>
          <w:b w:val="0"/>
          <w:bCs w:val="0"/>
          <w:color w:val="000000"/>
          <w:sz w:val="22"/>
          <w:szCs w:val="22"/>
        </w:rPr>
        <w:t>residue to an arginine or the D</w:t>
      </w:r>
      <w:r w:rsidRPr="00F04D62">
        <w:rPr>
          <w:rFonts w:ascii="Arial" w:hAnsi="Arial" w:cs="Arial"/>
          <w:b w:val="0"/>
          <w:bCs w:val="0"/>
          <w:color w:val="000000"/>
          <w:sz w:val="24"/>
          <w:szCs w:val="24"/>
          <w:vertAlign w:val="subscript"/>
        </w:rPr>
        <w:t>309</w:t>
      </w:r>
      <w:r w:rsidRPr="00F04D62">
        <w:rPr>
          <w:rFonts w:ascii="Arial" w:hAnsi="Arial" w:cs="Arial"/>
          <w:b w:val="0"/>
          <w:bCs w:val="0"/>
          <w:color w:val="000000"/>
          <w:sz w:val="22"/>
          <w:szCs w:val="22"/>
          <w:vertAlign w:val="subscript"/>
        </w:rPr>
        <w:t xml:space="preserve"> </w:t>
      </w:r>
      <w:r w:rsidRPr="00F04D62">
        <w:rPr>
          <w:rFonts w:ascii="Arial" w:hAnsi="Arial" w:cs="Arial"/>
          <w:b w:val="0"/>
          <w:bCs w:val="0"/>
          <w:color w:val="000000"/>
          <w:sz w:val="22"/>
          <w:szCs w:val="22"/>
        </w:rPr>
        <w:t xml:space="preserve">residue to an alanine. For generation of </w:t>
      </w:r>
      <w:r w:rsidRPr="00F04D62">
        <w:rPr>
          <w:rFonts w:ascii="Arial" w:hAnsi="Arial" w:cs="Arial"/>
          <w:b w:val="0"/>
          <w:bCs w:val="0"/>
          <w:sz w:val="22"/>
          <w:szCs w:val="22"/>
        </w:rPr>
        <w:t>PDGFR</w:t>
      </w:r>
      <w:r w:rsidRPr="00F04D62">
        <w:rPr>
          <w:rFonts w:ascii="Arial" w:hAnsi="Arial" w:cs="Arial"/>
          <w:b w:val="0"/>
          <w:bCs w:val="0"/>
          <w:color w:val="000000"/>
          <w:sz w:val="22"/>
          <w:szCs w:val="22"/>
        </w:rPr>
        <w:t xml:space="preserve">β kinase-dead constructs, </w:t>
      </w:r>
      <w:r w:rsidRPr="00F04D62">
        <w:rPr>
          <w:rFonts w:ascii="Arial" w:hAnsi="Arial" w:cs="Arial"/>
          <w:b w:val="0"/>
          <w:bCs w:val="0"/>
          <w:sz w:val="22"/>
          <w:szCs w:val="22"/>
        </w:rPr>
        <w:t xml:space="preserve">the ATP site </w:t>
      </w:r>
      <w:r w:rsidRPr="00F04D62">
        <w:rPr>
          <w:rFonts w:ascii="Arial" w:hAnsi="Arial" w:cs="Arial"/>
          <w:b w:val="0"/>
          <w:bCs w:val="0"/>
          <w:color w:val="000000"/>
          <w:sz w:val="22"/>
          <w:szCs w:val="22"/>
        </w:rPr>
        <w:t>L</w:t>
      </w:r>
      <w:r w:rsidRPr="00F04D62">
        <w:rPr>
          <w:rFonts w:ascii="Arial" w:hAnsi="Arial" w:cs="Arial"/>
          <w:b w:val="0"/>
          <w:bCs w:val="0"/>
          <w:color w:val="000000"/>
          <w:sz w:val="24"/>
          <w:szCs w:val="24"/>
          <w:vertAlign w:val="subscript"/>
        </w:rPr>
        <w:t>634</w:t>
      </w:r>
      <w:r w:rsidRPr="00F04D62">
        <w:rPr>
          <w:rFonts w:ascii="Arial" w:hAnsi="Arial" w:cs="Arial"/>
          <w:b w:val="0"/>
          <w:bCs w:val="0"/>
          <w:color w:val="000000"/>
          <w:sz w:val="22"/>
          <w:szCs w:val="22"/>
          <w:vertAlign w:val="subscript"/>
        </w:rPr>
        <w:t xml:space="preserve"> </w:t>
      </w:r>
      <w:r w:rsidRPr="00F04D62">
        <w:rPr>
          <w:rFonts w:ascii="Arial" w:hAnsi="Arial" w:cs="Arial"/>
          <w:b w:val="0"/>
          <w:bCs w:val="0"/>
          <w:color w:val="000000"/>
          <w:sz w:val="22"/>
          <w:szCs w:val="22"/>
        </w:rPr>
        <w:t>reside and the active site D</w:t>
      </w:r>
      <w:r w:rsidRPr="00F04D62">
        <w:rPr>
          <w:rFonts w:ascii="Arial" w:hAnsi="Arial" w:cs="Arial"/>
          <w:b w:val="0"/>
          <w:bCs w:val="0"/>
          <w:color w:val="000000"/>
          <w:sz w:val="24"/>
          <w:szCs w:val="24"/>
          <w:vertAlign w:val="subscript"/>
        </w:rPr>
        <w:t xml:space="preserve">826 </w:t>
      </w:r>
      <w:r w:rsidRPr="00F04D62">
        <w:rPr>
          <w:rFonts w:ascii="Arial" w:hAnsi="Arial" w:cs="Arial"/>
          <w:b w:val="0"/>
          <w:bCs w:val="0"/>
          <w:sz w:val="22"/>
          <w:szCs w:val="22"/>
        </w:rPr>
        <w:t xml:space="preserve">residue were separately </w:t>
      </w:r>
      <w:r w:rsidRPr="00F04D62">
        <w:rPr>
          <w:rFonts w:ascii="Arial" w:hAnsi="Arial" w:cs="Arial"/>
          <w:b w:val="0"/>
          <w:bCs w:val="0"/>
          <w:color w:val="000000"/>
          <w:sz w:val="22"/>
          <w:szCs w:val="22"/>
        </w:rPr>
        <w:t>mutated to an alanine. The sense primers for NPM-ALK K</w:t>
      </w:r>
      <w:r w:rsidRPr="00F04D62">
        <w:rPr>
          <w:rFonts w:ascii="Arial" w:hAnsi="Arial" w:cs="Arial"/>
          <w:b w:val="0"/>
          <w:bCs w:val="0"/>
          <w:color w:val="000000"/>
          <w:sz w:val="24"/>
          <w:szCs w:val="24"/>
          <w:vertAlign w:val="subscript"/>
        </w:rPr>
        <w:t>210</w:t>
      </w:r>
      <w:r w:rsidRPr="00F04D62">
        <w:rPr>
          <w:rFonts w:ascii="Arial" w:hAnsi="Arial" w:cs="Arial"/>
          <w:b w:val="0"/>
          <w:bCs w:val="0"/>
          <w:color w:val="000000"/>
          <w:sz w:val="22"/>
          <w:szCs w:val="22"/>
        </w:rPr>
        <w:t xml:space="preserve">R: </w:t>
      </w:r>
      <w:r w:rsidRPr="00F04D62">
        <w:rPr>
          <w:rFonts w:ascii="Arial" w:hAnsi="Arial" w:cs="Arial"/>
          <w:b w:val="0"/>
          <w:bCs w:val="0"/>
          <w:sz w:val="22"/>
          <w:szCs w:val="22"/>
        </w:rPr>
        <w:t>5'-</w:t>
      </w:r>
      <w:r w:rsidRPr="00F04D62">
        <w:rPr>
          <w:rFonts w:ascii="Arial" w:hAnsi="Arial" w:cs="Arial"/>
          <w:b w:val="0"/>
          <w:bCs w:val="0"/>
          <w:i/>
          <w:iCs/>
          <w:sz w:val="22"/>
          <w:szCs w:val="22"/>
        </w:rPr>
        <w:t>CTTCAGGCAGCGTCCTCACAGCCACTTGC</w:t>
      </w:r>
      <w:r w:rsidRPr="00F04D62">
        <w:rPr>
          <w:rFonts w:ascii="Arial" w:hAnsi="Arial" w:cs="Arial"/>
          <w:b w:val="0"/>
          <w:bCs w:val="0"/>
          <w:sz w:val="22"/>
          <w:szCs w:val="22"/>
        </w:rPr>
        <w:t>-3'</w:t>
      </w:r>
      <w:r w:rsidRPr="00F04D62">
        <w:rPr>
          <w:rFonts w:ascii="Arial" w:hAnsi="Arial" w:cs="Arial"/>
          <w:b w:val="0"/>
          <w:bCs w:val="0"/>
          <w:color w:val="000000"/>
          <w:sz w:val="22"/>
          <w:szCs w:val="22"/>
        </w:rPr>
        <w:t>; NPM-ALK D</w:t>
      </w:r>
      <w:r w:rsidRPr="00F04D62">
        <w:rPr>
          <w:rFonts w:ascii="Arial" w:hAnsi="Arial" w:cs="Arial"/>
          <w:b w:val="0"/>
          <w:bCs w:val="0"/>
          <w:color w:val="000000"/>
          <w:sz w:val="24"/>
          <w:szCs w:val="24"/>
          <w:vertAlign w:val="subscript"/>
        </w:rPr>
        <w:t>309</w:t>
      </w:r>
      <w:r w:rsidRPr="00F04D62">
        <w:rPr>
          <w:rFonts w:ascii="Arial" w:hAnsi="Arial" w:cs="Arial"/>
          <w:b w:val="0"/>
          <w:bCs w:val="0"/>
          <w:color w:val="000000"/>
          <w:sz w:val="22"/>
          <w:szCs w:val="22"/>
        </w:rPr>
        <w:t xml:space="preserve">A: </w:t>
      </w:r>
      <w:r w:rsidRPr="00F04D62">
        <w:rPr>
          <w:rFonts w:ascii="Arial" w:hAnsi="Arial" w:cs="Arial"/>
          <w:b w:val="0"/>
          <w:bCs w:val="0"/>
          <w:i/>
          <w:iCs/>
          <w:color w:val="000000"/>
          <w:sz w:val="22"/>
          <w:szCs w:val="22"/>
        </w:rPr>
        <w:t xml:space="preserve">5'-GTTTCTGGCAGCAATGGCTCGGTGGATGAAGTG-3', </w:t>
      </w:r>
      <w:r w:rsidRPr="00F04D62">
        <w:rPr>
          <w:rFonts w:ascii="Arial" w:hAnsi="Arial" w:cs="Arial"/>
          <w:b w:val="0"/>
          <w:bCs w:val="0"/>
          <w:sz w:val="22"/>
          <w:szCs w:val="22"/>
        </w:rPr>
        <w:t>PDGFR</w:t>
      </w:r>
      <w:r w:rsidRPr="00F04D62">
        <w:rPr>
          <w:rFonts w:ascii="Arial" w:hAnsi="Arial" w:cs="Arial"/>
          <w:b w:val="0"/>
          <w:bCs w:val="0"/>
          <w:color w:val="000000"/>
          <w:sz w:val="22"/>
          <w:szCs w:val="22"/>
        </w:rPr>
        <w:t>β L</w:t>
      </w:r>
      <w:r w:rsidRPr="00F04D62">
        <w:rPr>
          <w:rFonts w:ascii="Arial" w:hAnsi="Arial" w:cs="Arial"/>
          <w:b w:val="0"/>
          <w:bCs w:val="0"/>
          <w:color w:val="000000"/>
          <w:sz w:val="24"/>
          <w:szCs w:val="24"/>
          <w:vertAlign w:val="subscript"/>
        </w:rPr>
        <w:t>634</w:t>
      </w:r>
      <w:r w:rsidRPr="00F04D62">
        <w:rPr>
          <w:rFonts w:ascii="Arial" w:hAnsi="Arial" w:cs="Arial"/>
          <w:b w:val="0"/>
          <w:bCs w:val="0"/>
          <w:color w:val="000000"/>
          <w:sz w:val="22"/>
          <w:szCs w:val="22"/>
        </w:rPr>
        <w:t xml:space="preserve">A: </w:t>
      </w:r>
      <w:r w:rsidRPr="00F04D62">
        <w:rPr>
          <w:rFonts w:ascii="Arial" w:hAnsi="Arial" w:cs="Arial"/>
          <w:b w:val="0"/>
          <w:bCs w:val="0"/>
          <w:i/>
          <w:iCs/>
          <w:color w:val="000000"/>
          <w:sz w:val="22"/>
          <w:szCs w:val="22"/>
        </w:rPr>
        <w:t>5'-GGCTGTGGATTTAAGCATCGCGACGGCCACTTTCATCGTG-3'</w:t>
      </w:r>
      <w:r w:rsidRPr="00F04D62">
        <w:rPr>
          <w:rFonts w:ascii="Arial" w:hAnsi="Arial" w:cs="Arial"/>
          <w:b w:val="0"/>
          <w:bCs w:val="0"/>
          <w:color w:val="000000"/>
          <w:sz w:val="22"/>
          <w:szCs w:val="22"/>
        </w:rPr>
        <w:t xml:space="preserve">, </w:t>
      </w:r>
      <w:r w:rsidRPr="00F04D62">
        <w:rPr>
          <w:rFonts w:ascii="Arial" w:hAnsi="Arial" w:cs="Arial"/>
          <w:b w:val="0"/>
          <w:bCs w:val="0"/>
          <w:sz w:val="22"/>
          <w:szCs w:val="22"/>
        </w:rPr>
        <w:t>PDGFR</w:t>
      </w:r>
      <w:r w:rsidRPr="00F04D62">
        <w:rPr>
          <w:rFonts w:ascii="Arial" w:hAnsi="Arial" w:cs="Arial"/>
          <w:b w:val="0"/>
          <w:bCs w:val="0"/>
          <w:color w:val="000000"/>
          <w:sz w:val="22"/>
          <w:szCs w:val="22"/>
        </w:rPr>
        <w:t>β D</w:t>
      </w:r>
      <w:r w:rsidRPr="00F04D62">
        <w:rPr>
          <w:rFonts w:ascii="Arial" w:hAnsi="Arial" w:cs="Arial"/>
          <w:b w:val="0"/>
          <w:bCs w:val="0"/>
          <w:color w:val="000000"/>
          <w:sz w:val="24"/>
          <w:szCs w:val="24"/>
          <w:vertAlign w:val="subscript"/>
        </w:rPr>
        <w:t>826</w:t>
      </w:r>
      <w:r w:rsidRPr="00F04D62">
        <w:rPr>
          <w:rFonts w:ascii="Arial" w:hAnsi="Arial" w:cs="Arial"/>
          <w:b w:val="0"/>
          <w:bCs w:val="0"/>
          <w:color w:val="000000"/>
          <w:sz w:val="22"/>
          <w:szCs w:val="22"/>
        </w:rPr>
        <w:t xml:space="preserve">A: </w:t>
      </w:r>
      <w:r w:rsidRPr="00F04D62">
        <w:rPr>
          <w:rFonts w:ascii="Arial" w:hAnsi="Arial" w:cs="Arial"/>
          <w:b w:val="0"/>
          <w:bCs w:val="0"/>
          <w:i/>
          <w:iCs/>
          <w:color w:val="000000"/>
          <w:sz w:val="22"/>
          <w:szCs w:val="22"/>
        </w:rPr>
        <w:t>5'</w:t>
      </w:r>
      <w:r w:rsidRPr="00F04D62">
        <w:rPr>
          <w:rFonts w:ascii="Arial" w:hAnsi="Arial" w:cs="Arial"/>
          <w:b w:val="0"/>
          <w:bCs w:val="0"/>
          <w:color w:val="000000"/>
          <w:sz w:val="22"/>
          <w:szCs w:val="22"/>
        </w:rPr>
        <w:t>-</w:t>
      </w:r>
      <w:r w:rsidRPr="00F04D62">
        <w:rPr>
          <w:rFonts w:ascii="Arial" w:hAnsi="Arial" w:cs="Arial"/>
          <w:b w:val="0"/>
          <w:bCs w:val="0"/>
          <w:i/>
          <w:iCs/>
          <w:color w:val="000000"/>
          <w:sz w:val="22"/>
          <w:szCs w:val="22"/>
        </w:rPr>
        <w:t>CGTTCCTAGCCGCCGCGTCTCTGTGGACGC</w:t>
      </w:r>
      <w:r w:rsidRPr="00F04D62">
        <w:rPr>
          <w:rFonts w:ascii="Arial" w:hAnsi="Arial" w:cs="Arial"/>
          <w:b w:val="0"/>
          <w:bCs w:val="0"/>
          <w:color w:val="000000"/>
          <w:sz w:val="22"/>
          <w:szCs w:val="22"/>
        </w:rPr>
        <w:t>-</w:t>
      </w:r>
      <w:proofErr w:type="gramStart"/>
      <w:r w:rsidRPr="00F04D62">
        <w:rPr>
          <w:rFonts w:ascii="Arial" w:hAnsi="Arial" w:cs="Arial"/>
          <w:b w:val="0"/>
          <w:bCs w:val="0"/>
          <w:i/>
          <w:iCs/>
          <w:color w:val="000000"/>
          <w:sz w:val="22"/>
          <w:szCs w:val="22"/>
        </w:rPr>
        <w:t>3'</w:t>
      </w:r>
      <w:r w:rsidRPr="00F04D62">
        <w:rPr>
          <w:rFonts w:ascii="Arial" w:hAnsi="Arial" w:cs="Arial"/>
          <w:b w:val="0"/>
          <w:bCs w:val="0"/>
          <w:color w:val="000000"/>
          <w:sz w:val="22"/>
          <w:szCs w:val="22"/>
        </w:rPr>
        <w:t>,</w:t>
      </w:r>
      <w:proofErr w:type="gramEnd"/>
      <w:r w:rsidRPr="00F04D62">
        <w:rPr>
          <w:rFonts w:ascii="Arial" w:hAnsi="Arial" w:cs="Arial"/>
          <w:b w:val="0"/>
          <w:bCs w:val="0"/>
          <w:color w:val="000000"/>
          <w:sz w:val="22"/>
          <w:szCs w:val="22"/>
        </w:rPr>
        <w:t xml:space="preserve"> were designed using the open </w:t>
      </w:r>
      <w:proofErr w:type="spellStart"/>
      <w:r w:rsidRPr="00F04D62">
        <w:rPr>
          <w:rFonts w:ascii="Arial" w:hAnsi="Arial" w:cs="Arial"/>
          <w:b w:val="0"/>
          <w:bCs w:val="0"/>
          <w:color w:val="000000"/>
          <w:sz w:val="22"/>
          <w:szCs w:val="22"/>
        </w:rPr>
        <w:t>QuickChange</w:t>
      </w:r>
      <w:proofErr w:type="spellEnd"/>
      <w:r w:rsidRPr="00F04D62">
        <w:rPr>
          <w:rFonts w:ascii="Arial" w:hAnsi="Arial" w:cs="Arial"/>
          <w:b w:val="0"/>
          <w:bCs w:val="0"/>
          <w:color w:val="000000"/>
          <w:sz w:val="22"/>
          <w:szCs w:val="22"/>
        </w:rPr>
        <w:t xml:space="preserve"> Primer Design online tool. </w:t>
      </w:r>
      <w:r w:rsidRPr="00F04D62">
        <w:rPr>
          <w:rFonts w:ascii="Arial" w:hAnsi="Arial" w:cs="Arial"/>
          <w:b w:val="0"/>
          <w:bCs w:val="0"/>
          <w:sz w:val="22"/>
          <w:szCs w:val="22"/>
        </w:rPr>
        <w:t>The mutant constructs of PDGFR</w:t>
      </w:r>
      <w:r w:rsidRPr="00F04D62">
        <w:rPr>
          <w:rFonts w:ascii="Arial" w:hAnsi="Arial" w:cs="Arial"/>
          <w:b w:val="0"/>
          <w:bCs w:val="0"/>
          <w:color w:val="000000"/>
          <w:sz w:val="22"/>
          <w:szCs w:val="22"/>
        </w:rPr>
        <w:t xml:space="preserve">β and NPM-ALK were generated using the </w:t>
      </w:r>
      <w:proofErr w:type="spellStart"/>
      <w:r w:rsidRPr="00F04D62">
        <w:rPr>
          <w:rFonts w:ascii="Arial" w:hAnsi="Arial" w:cs="Arial"/>
          <w:b w:val="0"/>
          <w:bCs w:val="0"/>
          <w:color w:val="000000"/>
          <w:sz w:val="22"/>
          <w:szCs w:val="22"/>
        </w:rPr>
        <w:t>QuickChange</w:t>
      </w:r>
      <w:proofErr w:type="spellEnd"/>
      <w:r w:rsidRPr="00F04D62">
        <w:rPr>
          <w:rFonts w:ascii="Arial" w:hAnsi="Arial" w:cs="Arial"/>
          <w:b w:val="0"/>
          <w:bCs w:val="0"/>
          <w:color w:val="000000"/>
          <w:sz w:val="22"/>
          <w:szCs w:val="22"/>
        </w:rPr>
        <w:t xml:space="preserve"> II XL Site-Directed mutagenesis (Agilent) according to the kit instructions. Full-length </w:t>
      </w:r>
      <w:r w:rsidRPr="00F04D62">
        <w:rPr>
          <w:rFonts w:ascii="Arial" w:hAnsi="Arial" w:cs="Arial"/>
          <w:b w:val="0"/>
          <w:bCs w:val="0"/>
          <w:sz w:val="22"/>
          <w:szCs w:val="22"/>
        </w:rPr>
        <w:t>PDGFR</w:t>
      </w:r>
      <w:r w:rsidRPr="00F04D62">
        <w:rPr>
          <w:rFonts w:ascii="Arial" w:hAnsi="Arial" w:cs="Arial"/>
          <w:b w:val="0"/>
          <w:bCs w:val="0"/>
          <w:color w:val="000000"/>
          <w:sz w:val="22"/>
          <w:szCs w:val="22"/>
        </w:rPr>
        <w:t xml:space="preserve">β and NPM-ALK cloned into the pLKO.1 vector were used as the template for the respective kinase-dead mutants. Mutations were confirmed by sequencing of the mutant expression vector. </w:t>
      </w:r>
    </w:p>
    <w:p w14:paraId="51BAC4A5" w14:textId="77777777" w:rsidR="004A16E6" w:rsidRPr="00F04D62" w:rsidRDefault="004A16E6" w:rsidP="004A16E6">
      <w:pPr>
        <w:pStyle w:val="Heading1"/>
        <w:spacing w:before="0" w:beforeAutospacing="0" w:after="240" w:afterAutospacing="0"/>
        <w:contextualSpacing/>
        <w:rPr>
          <w:rFonts w:ascii="Arial" w:hAnsi="Arial" w:cs="Arial"/>
          <w:sz w:val="22"/>
          <w:szCs w:val="22"/>
        </w:rPr>
      </w:pPr>
    </w:p>
    <w:p w14:paraId="0516D51F" w14:textId="77777777" w:rsidR="004A16E6" w:rsidRPr="00F04D62" w:rsidRDefault="004A16E6" w:rsidP="004A16E6">
      <w:pPr>
        <w:pStyle w:val="Heading1"/>
        <w:spacing w:before="0" w:beforeAutospacing="0" w:after="240" w:afterAutospacing="0"/>
        <w:contextualSpacing/>
        <w:rPr>
          <w:rFonts w:ascii="Arial" w:hAnsi="Arial" w:cs="Arial"/>
          <w:sz w:val="22"/>
          <w:szCs w:val="22"/>
        </w:rPr>
      </w:pPr>
      <w:r w:rsidRPr="00F04D62">
        <w:rPr>
          <w:rFonts w:ascii="Arial" w:hAnsi="Arial" w:cs="Arial"/>
          <w:sz w:val="22"/>
          <w:szCs w:val="22"/>
        </w:rPr>
        <w:t xml:space="preserve">Protein isolation and immunoblotting </w:t>
      </w:r>
    </w:p>
    <w:p w14:paraId="57FABE4F"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sz w:val="22"/>
          <w:szCs w:val="22"/>
        </w:rPr>
        <w:t>Cells or tissues were lysed with Hunt Buffer (20 mM Tris-HCl pH 8.0, 100 mM NaCl, 1 mM EDTA, 0.5% w/v NP-40) containing phosphatase and protease inhibitors (</w:t>
      </w:r>
      <w:proofErr w:type="spellStart"/>
      <w:r w:rsidRPr="00F04D62">
        <w:rPr>
          <w:rFonts w:ascii="Arial" w:hAnsi="Arial" w:cs="Arial"/>
          <w:b w:val="0"/>
          <w:bCs w:val="0"/>
          <w:sz w:val="22"/>
          <w:szCs w:val="22"/>
        </w:rPr>
        <w:t>COmplete</w:t>
      </w:r>
      <w:proofErr w:type="spellEnd"/>
      <w:r w:rsidRPr="00F04D62">
        <w:rPr>
          <w:rFonts w:ascii="Arial" w:hAnsi="Arial" w:cs="Arial"/>
          <w:b w:val="0"/>
          <w:bCs w:val="0"/>
          <w:sz w:val="22"/>
          <w:szCs w:val="22"/>
        </w:rPr>
        <w:t xml:space="preserve">, Roche) using a freeze-thaw method. Equivalent amounts of proteins (20-40 </w:t>
      </w:r>
      <w:r w:rsidRPr="00F04D62">
        <w:rPr>
          <w:rFonts w:ascii="Arial" w:hAnsi="Arial" w:cs="Arial"/>
          <w:b w:val="0"/>
          <w:bCs w:val="0"/>
          <w:sz w:val="22"/>
          <w:szCs w:val="22"/>
        </w:rPr>
        <w:sym w:font="Symbol" w:char="F06D"/>
      </w:r>
      <w:r w:rsidRPr="00F04D62">
        <w:rPr>
          <w:rFonts w:ascii="Arial" w:hAnsi="Arial" w:cs="Arial"/>
          <w:b w:val="0"/>
          <w:bCs w:val="0"/>
          <w:sz w:val="22"/>
          <w:szCs w:val="22"/>
        </w:rPr>
        <w:t>g) were diluted in sample buffer and separated by SDS-PAGE gels. Proteins were transferred onto nitrocellulose membranes (</w:t>
      </w:r>
      <w:proofErr w:type="spellStart"/>
      <w:r w:rsidRPr="00F04D62">
        <w:rPr>
          <w:rFonts w:ascii="Arial" w:hAnsi="Arial" w:cs="Arial"/>
          <w:b w:val="0"/>
          <w:bCs w:val="0"/>
          <w:sz w:val="22"/>
          <w:szCs w:val="22"/>
        </w:rPr>
        <w:t>Protran</w:t>
      </w:r>
      <w:proofErr w:type="spellEnd"/>
      <w:r w:rsidRPr="00F04D62">
        <w:rPr>
          <w:rFonts w:ascii="Arial" w:hAnsi="Arial" w:cs="Arial"/>
          <w:b w:val="0"/>
          <w:bCs w:val="0"/>
          <w:sz w:val="22"/>
          <w:szCs w:val="22"/>
        </w:rPr>
        <w:t xml:space="preserve">, </w:t>
      </w:r>
      <w:proofErr w:type="spellStart"/>
      <w:r w:rsidRPr="00F04D62">
        <w:rPr>
          <w:rFonts w:ascii="Arial" w:hAnsi="Arial" w:cs="Arial"/>
          <w:b w:val="0"/>
          <w:bCs w:val="0"/>
          <w:sz w:val="22"/>
          <w:szCs w:val="22"/>
        </w:rPr>
        <w:t>Whatman</w:t>
      </w:r>
      <w:proofErr w:type="spellEnd"/>
      <w:r w:rsidRPr="00F04D62">
        <w:rPr>
          <w:rFonts w:ascii="Arial" w:hAnsi="Arial" w:cs="Arial"/>
          <w:b w:val="0"/>
          <w:bCs w:val="0"/>
          <w:sz w:val="22"/>
          <w:szCs w:val="22"/>
        </w:rPr>
        <w:t xml:space="preserve">), subjected to immunoblot analysis and stained with antibodies listed in Suppl. Table 2. Anti-mouse (VWR #NXA931) and anti-rabbit (Cell Signaling #7074) HRP conjugated secondary antibodies were used. Chemiluminescent visualization was performed with a </w:t>
      </w:r>
      <w:proofErr w:type="spellStart"/>
      <w:r w:rsidRPr="00F04D62">
        <w:rPr>
          <w:rFonts w:ascii="Arial" w:hAnsi="Arial" w:cs="Arial"/>
          <w:b w:val="0"/>
          <w:bCs w:val="0"/>
          <w:sz w:val="22"/>
          <w:szCs w:val="22"/>
        </w:rPr>
        <w:t>ChemiDoc</w:t>
      </w:r>
      <w:proofErr w:type="spellEnd"/>
      <w:r w:rsidRPr="00F04D62">
        <w:rPr>
          <w:rFonts w:ascii="Arial" w:hAnsi="Arial" w:cs="Arial"/>
          <w:b w:val="0"/>
          <w:bCs w:val="0"/>
          <w:sz w:val="22"/>
          <w:szCs w:val="22"/>
        </w:rPr>
        <w:t xml:space="preserve">™ Imaging System (Bio-Rad) after incubation of the membranes with Clarity Western ECL reagent (Bio-Rad). Quantifications were performed with Image Lab software (Bio-Rad). </w:t>
      </w:r>
    </w:p>
    <w:p w14:paraId="4963B171"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p>
    <w:p w14:paraId="109B269A" w14:textId="77777777" w:rsidR="004A16E6" w:rsidRPr="00F04D62" w:rsidRDefault="004A16E6" w:rsidP="004A16E6">
      <w:pPr>
        <w:pStyle w:val="Heading1"/>
        <w:spacing w:before="0" w:beforeAutospacing="0" w:after="240" w:afterAutospacing="0"/>
        <w:contextualSpacing/>
        <w:rPr>
          <w:rFonts w:ascii="Arial" w:hAnsi="Arial" w:cs="Arial"/>
          <w:sz w:val="22"/>
          <w:szCs w:val="22"/>
        </w:rPr>
      </w:pPr>
      <w:r w:rsidRPr="00F04D62">
        <w:rPr>
          <w:rFonts w:ascii="Arial" w:hAnsi="Arial" w:cs="Arial"/>
          <w:sz w:val="22"/>
          <w:szCs w:val="22"/>
        </w:rPr>
        <w:t>Quantitative RT-PCR</w:t>
      </w:r>
    </w:p>
    <w:p w14:paraId="2B24A0A9"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sz w:val="22"/>
          <w:szCs w:val="22"/>
        </w:rPr>
        <w:t xml:space="preserve">Total RNA from murine tumor samples or cell lines was extracted using </w:t>
      </w:r>
      <w:proofErr w:type="spellStart"/>
      <w:r w:rsidRPr="00F04D62">
        <w:rPr>
          <w:rFonts w:ascii="Arial" w:hAnsi="Arial" w:cs="Arial"/>
          <w:b w:val="0"/>
          <w:bCs w:val="0"/>
          <w:sz w:val="22"/>
          <w:szCs w:val="22"/>
        </w:rPr>
        <w:t>TRIzol</w:t>
      </w:r>
      <w:proofErr w:type="spellEnd"/>
      <w:r w:rsidRPr="00F04D62">
        <w:rPr>
          <w:rFonts w:ascii="Arial" w:hAnsi="Arial" w:cs="Arial"/>
          <w:b w:val="0"/>
          <w:bCs w:val="0"/>
          <w:sz w:val="22"/>
          <w:szCs w:val="22"/>
        </w:rPr>
        <w:t xml:space="preserve">™ reagent (Invitrogen) as instructed by the manufacturer. Following a </w:t>
      </w:r>
      <w:proofErr w:type="spellStart"/>
      <w:r w:rsidRPr="00F04D62">
        <w:rPr>
          <w:rFonts w:ascii="Arial" w:hAnsi="Arial" w:cs="Arial"/>
          <w:b w:val="0"/>
          <w:bCs w:val="0"/>
          <w:sz w:val="22"/>
          <w:szCs w:val="22"/>
        </w:rPr>
        <w:t>DNAseI</w:t>
      </w:r>
      <w:proofErr w:type="spellEnd"/>
      <w:r w:rsidRPr="00F04D62">
        <w:rPr>
          <w:rFonts w:ascii="Arial" w:hAnsi="Arial" w:cs="Arial"/>
          <w:b w:val="0"/>
          <w:bCs w:val="0"/>
          <w:sz w:val="22"/>
          <w:szCs w:val="22"/>
        </w:rPr>
        <w:t xml:space="preserve"> digest, RNA was isolated using the RNA Clean and Concentrator kit (</w:t>
      </w:r>
      <w:proofErr w:type="spellStart"/>
      <w:r w:rsidRPr="00F04D62">
        <w:rPr>
          <w:rFonts w:ascii="Arial" w:hAnsi="Arial" w:cs="Arial"/>
          <w:b w:val="0"/>
          <w:bCs w:val="0"/>
          <w:sz w:val="22"/>
          <w:szCs w:val="22"/>
        </w:rPr>
        <w:t>Zymo</w:t>
      </w:r>
      <w:proofErr w:type="spellEnd"/>
      <w:r w:rsidRPr="00F04D62">
        <w:rPr>
          <w:rFonts w:ascii="Arial" w:hAnsi="Arial" w:cs="Arial"/>
          <w:b w:val="0"/>
          <w:bCs w:val="0"/>
          <w:sz w:val="22"/>
          <w:szCs w:val="22"/>
        </w:rPr>
        <w:t xml:space="preserve"> Research). Total RNA (1 </w:t>
      </w:r>
      <w:r w:rsidRPr="00F04D62">
        <w:rPr>
          <w:rFonts w:ascii="Arial" w:hAnsi="Arial" w:cs="Arial"/>
          <w:b w:val="0"/>
          <w:bCs w:val="0"/>
          <w:sz w:val="22"/>
          <w:szCs w:val="22"/>
        </w:rPr>
        <w:sym w:font="Symbol" w:char="F06D"/>
      </w:r>
      <w:r w:rsidRPr="00F04D62">
        <w:rPr>
          <w:rFonts w:ascii="Arial" w:hAnsi="Arial" w:cs="Arial"/>
          <w:b w:val="0"/>
          <w:bCs w:val="0"/>
          <w:sz w:val="22"/>
          <w:szCs w:val="22"/>
        </w:rPr>
        <w:t xml:space="preserve">g) was reverse transcribed using the </w:t>
      </w:r>
      <w:proofErr w:type="spellStart"/>
      <w:r w:rsidRPr="00F04D62">
        <w:rPr>
          <w:rFonts w:ascii="Arial" w:hAnsi="Arial" w:cs="Arial"/>
          <w:b w:val="0"/>
          <w:bCs w:val="0"/>
          <w:sz w:val="22"/>
          <w:szCs w:val="22"/>
        </w:rPr>
        <w:t>iScript</w:t>
      </w:r>
      <w:proofErr w:type="spellEnd"/>
      <w:r w:rsidRPr="00F04D62">
        <w:rPr>
          <w:rFonts w:ascii="Arial" w:hAnsi="Arial" w:cs="Arial"/>
          <w:b w:val="0"/>
          <w:bCs w:val="0"/>
          <w:sz w:val="22"/>
          <w:szCs w:val="22"/>
        </w:rPr>
        <w:t xml:space="preserve"> cDNA synthesis kit (Bio-Rad) and diluted 1:5. Quantitative PCR analysis was performed using the 2x Blue </w:t>
      </w:r>
      <w:proofErr w:type="spellStart"/>
      <w:r w:rsidRPr="00F04D62">
        <w:rPr>
          <w:rFonts w:ascii="Arial" w:hAnsi="Arial" w:cs="Arial"/>
          <w:b w:val="0"/>
          <w:bCs w:val="0"/>
          <w:sz w:val="22"/>
          <w:szCs w:val="22"/>
        </w:rPr>
        <w:t>S’Green</w:t>
      </w:r>
      <w:proofErr w:type="spellEnd"/>
      <w:r w:rsidRPr="00F04D62">
        <w:rPr>
          <w:rFonts w:ascii="Arial" w:hAnsi="Arial" w:cs="Arial"/>
          <w:b w:val="0"/>
          <w:bCs w:val="0"/>
          <w:sz w:val="22"/>
          <w:szCs w:val="22"/>
        </w:rPr>
        <w:t xml:space="preserve"> qPCR </w:t>
      </w:r>
      <w:proofErr w:type="spellStart"/>
      <w:r w:rsidRPr="00F04D62">
        <w:rPr>
          <w:rFonts w:ascii="Arial" w:hAnsi="Arial" w:cs="Arial"/>
          <w:b w:val="0"/>
          <w:bCs w:val="0"/>
          <w:sz w:val="22"/>
          <w:szCs w:val="22"/>
        </w:rPr>
        <w:t>mastermix</w:t>
      </w:r>
      <w:proofErr w:type="spellEnd"/>
      <w:r w:rsidRPr="00F04D62">
        <w:rPr>
          <w:rFonts w:ascii="Arial" w:hAnsi="Arial" w:cs="Arial"/>
          <w:b w:val="0"/>
          <w:bCs w:val="0"/>
          <w:sz w:val="22"/>
          <w:szCs w:val="22"/>
        </w:rPr>
        <w:t xml:space="preserve"> (</w:t>
      </w:r>
      <w:proofErr w:type="spellStart"/>
      <w:r w:rsidRPr="00F04D62">
        <w:rPr>
          <w:rFonts w:ascii="Arial" w:hAnsi="Arial" w:cs="Arial"/>
          <w:b w:val="0"/>
          <w:bCs w:val="0"/>
          <w:sz w:val="22"/>
          <w:szCs w:val="22"/>
        </w:rPr>
        <w:t>Biozym</w:t>
      </w:r>
      <w:proofErr w:type="spellEnd"/>
      <w:r w:rsidRPr="00F04D62">
        <w:rPr>
          <w:rFonts w:ascii="Arial" w:hAnsi="Arial" w:cs="Arial"/>
          <w:b w:val="0"/>
          <w:bCs w:val="0"/>
          <w:sz w:val="22"/>
          <w:szCs w:val="22"/>
        </w:rPr>
        <w:t xml:space="preserve">). Specific primers for genes of interest designed using Primer3 (Suppl. Table 5). </w:t>
      </w:r>
    </w:p>
    <w:p w14:paraId="37344E82" w14:textId="77777777" w:rsidR="004A16E6" w:rsidRPr="00F04D62" w:rsidRDefault="004A16E6" w:rsidP="004A16E6">
      <w:pPr>
        <w:pStyle w:val="Heading1"/>
        <w:spacing w:before="0" w:beforeAutospacing="0" w:after="240" w:afterAutospacing="0"/>
        <w:contextualSpacing/>
        <w:rPr>
          <w:rFonts w:ascii="Arial" w:hAnsi="Arial" w:cs="Arial"/>
          <w:b w:val="0"/>
          <w:bCs w:val="0"/>
          <w:sz w:val="22"/>
          <w:szCs w:val="22"/>
        </w:rPr>
      </w:pPr>
    </w:p>
    <w:p w14:paraId="6CB4A645" w14:textId="77777777" w:rsidR="004A16E6" w:rsidRPr="00F04D62" w:rsidRDefault="004A16E6" w:rsidP="004A16E6">
      <w:pPr>
        <w:pStyle w:val="Heading1"/>
        <w:spacing w:before="0" w:beforeAutospacing="0" w:after="240" w:afterAutospacing="0"/>
        <w:contextualSpacing/>
        <w:rPr>
          <w:rFonts w:ascii="Arial" w:hAnsi="Arial" w:cs="Arial"/>
          <w:sz w:val="22"/>
          <w:szCs w:val="22"/>
        </w:rPr>
      </w:pPr>
      <w:r w:rsidRPr="00F04D62">
        <w:rPr>
          <w:rFonts w:ascii="Arial" w:hAnsi="Arial" w:cs="Arial"/>
          <w:sz w:val="22"/>
          <w:szCs w:val="22"/>
        </w:rPr>
        <w:t>IC</w:t>
      </w:r>
      <w:r w:rsidRPr="00F04D62">
        <w:rPr>
          <w:rFonts w:ascii="Arial" w:hAnsi="Arial" w:cs="Arial"/>
          <w:sz w:val="22"/>
          <w:szCs w:val="22"/>
          <w:vertAlign w:val="subscript"/>
        </w:rPr>
        <w:t>50</w:t>
      </w:r>
      <w:r w:rsidRPr="00F04D62">
        <w:rPr>
          <w:rFonts w:ascii="Arial" w:hAnsi="Arial" w:cs="Arial"/>
          <w:sz w:val="22"/>
          <w:szCs w:val="22"/>
        </w:rPr>
        <w:t xml:space="preserve"> determination and inhibitor treatments</w:t>
      </w:r>
    </w:p>
    <w:p w14:paraId="695B851F" w14:textId="01B85ADB" w:rsidR="004A16E6" w:rsidRDefault="004A16E6" w:rsidP="004A16E6">
      <w:pPr>
        <w:pStyle w:val="Heading1"/>
        <w:spacing w:before="0" w:beforeAutospacing="0" w:after="240" w:afterAutospacing="0"/>
        <w:contextualSpacing/>
        <w:rPr>
          <w:rFonts w:ascii="Arial" w:hAnsi="Arial" w:cs="Arial"/>
          <w:b w:val="0"/>
          <w:bCs w:val="0"/>
          <w:sz w:val="22"/>
          <w:szCs w:val="22"/>
        </w:rPr>
      </w:pPr>
      <w:r w:rsidRPr="00F04D62">
        <w:rPr>
          <w:rFonts w:ascii="Arial" w:hAnsi="Arial" w:cs="Arial"/>
          <w:b w:val="0"/>
          <w:bCs w:val="0"/>
          <w:sz w:val="22"/>
          <w:szCs w:val="22"/>
        </w:rPr>
        <w:t>For determining 50% inhibitory concentrations (IC</w:t>
      </w:r>
      <w:r w:rsidRPr="00F04D62">
        <w:rPr>
          <w:rFonts w:ascii="Arial" w:hAnsi="Arial" w:cs="Arial"/>
          <w:b w:val="0"/>
          <w:bCs w:val="0"/>
          <w:sz w:val="22"/>
          <w:szCs w:val="22"/>
          <w:vertAlign w:val="subscript"/>
        </w:rPr>
        <w:t>50</w:t>
      </w:r>
      <w:r w:rsidRPr="00F04D62">
        <w:rPr>
          <w:rFonts w:ascii="Arial" w:hAnsi="Arial" w:cs="Arial"/>
          <w:b w:val="0"/>
          <w:bCs w:val="0"/>
          <w:sz w:val="22"/>
          <w:szCs w:val="22"/>
        </w:rPr>
        <w:t xml:space="preserve">) cells were cultured in 96-well plates for 72 hours in a range of concentrations of AC-4-130 in DMSO, or DMSO as a vehicle control. Cell numbers were measured using resazurin and the signal intensity was measured using a plate </w:t>
      </w:r>
      <w:r w:rsidRPr="00F04D62">
        <w:rPr>
          <w:rFonts w:ascii="Arial" w:hAnsi="Arial" w:cs="Arial"/>
          <w:b w:val="0"/>
          <w:bCs w:val="0"/>
          <w:sz w:val="22"/>
          <w:szCs w:val="22"/>
        </w:rPr>
        <w:lastRenderedPageBreak/>
        <w:t>reader. Normalized values were plotted on GraphPad and used to obtain survival curves and IC</w:t>
      </w:r>
      <w:r w:rsidRPr="00F04D62">
        <w:rPr>
          <w:rFonts w:ascii="Arial" w:hAnsi="Arial" w:cs="Arial"/>
          <w:b w:val="0"/>
          <w:bCs w:val="0"/>
          <w:sz w:val="22"/>
          <w:szCs w:val="22"/>
          <w:vertAlign w:val="subscript"/>
        </w:rPr>
        <w:t>50</w:t>
      </w:r>
      <w:r w:rsidRPr="00F04D62">
        <w:rPr>
          <w:rFonts w:ascii="Arial" w:hAnsi="Arial" w:cs="Arial"/>
          <w:b w:val="0"/>
          <w:bCs w:val="0"/>
          <w:sz w:val="22"/>
          <w:szCs w:val="22"/>
        </w:rPr>
        <w:t xml:space="preserve"> values. </w:t>
      </w:r>
    </w:p>
    <w:p w14:paraId="188237B6" w14:textId="56A004C7" w:rsidR="008E6279" w:rsidRDefault="008E6279" w:rsidP="004A16E6">
      <w:pPr>
        <w:pStyle w:val="Heading1"/>
        <w:spacing w:before="0" w:beforeAutospacing="0" w:after="240" w:afterAutospacing="0"/>
        <w:contextualSpacing/>
        <w:rPr>
          <w:rFonts w:ascii="Arial" w:hAnsi="Arial" w:cs="Arial"/>
          <w:b w:val="0"/>
          <w:bCs w:val="0"/>
          <w:sz w:val="22"/>
          <w:szCs w:val="22"/>
        </w:rPr>
      </w:pPr>
    </w:p>
    <w:p w14:paraId="770EF15E" w14:textId="77777777" w:rsidR="00D7661A" w:rsidRDefault="00D7661A"/>
    <w:sectPr w:rsidR="00D7661A">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33A20A" w15:done="0"/>
  <w15:commentEx w15:paraId="301B6E1A" w15:done="0"/>
  <w15:commentEx w15:paraId="0F436924" w15:done="0"/>
  <w15:commentEx w15:paraId="0133A7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0A523" w16cex:dateUtc="2022-08-24T11:24:00Z"/>
  <w16cex:commentExtensible w16cex:durableId="26B0A4DA" w16cex:dateUtc="2022-08-24T11:23:00Z"/>
  <w16cex:commentExtensible w16cex:durableId="26B0A72D" w16cex:dateUtc="2022-08-24T11:33:00Z"/>
  <w16cex:commentExtensible w16cex:durableId="26B0A9CD" w16cex:dateUtc="2022-08-24T1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33A20A" w16cid:durableId="26B0A523"/>
  <w16cid:commentId w16cid:paraId="301B6E1A" w16cid:durableId="26B0A4DA"/>
  <w16cid:commentId w16cid:paraId="0F436924" w16cid:durableId="26B0A72D"/>
  <w16cid:commentId w16cid:paraId="0133A76B" w16cid:durableId="26B0A9C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6E6"/>
    <w:rsid w:val="000032D6"/>
    <w:rsid w:val="000071B4"/>
    <w:rsid w:val="00021D5C"/>
    <w:rsid w:val="00042B32"/>
    <w:rsid w:val="000455F5"/>
    <w:rsid w:val="0005027C"/>
    <w:rsid w:val="00055F38"/>
    <w:rsid w:val="000604B5"/>
    <w:rsid w:val="000777C4"/>
    <w:rsid w:val="000822B4"/>
    <w:rsid w:val="00094D29"/>
    <w:rsid w:val="000C4F9F"/>
    <w:rsid w:val="000D4AA1"/>
    <w:rsid w:val="001056A3"/>
    <w:rsid w:val="00106DDD"/>
    <w:rsid w:val="00117903"/>
    <w:rsid w:val="00147CF5"/>
    <w:rsid w:val="00156D3C"/>
    <w:rsid w:val="00160B03"/>
    <w:rsid w:val="00185C56"/>
    <w:rsid w:val="001A0AA3"/>
    <w:rsid w:val="001A38EA"/>
    <w:rsid w:val="001D0A17"/>
    <w:rsid w:val="00202B5B"/>
    <w:rsid w:val="00202FC2"/>
    <w:rsid w:val="00212008"/>
    <w:rsid w:val="00230F3D"/>
    <w:rsid w:val="00262AF1"/>
    <w:rsid w:val="002942CE"/>
    <w:rsid w:val="002A1EFD"/>
    <w:rsid w:val="002D4207"/>
    <w:rsid w:val="003077E8"/>
    <w:rsid w:val="00312E7E"/>
    <w:rsid w:val="003160CF"/>
    <w:rsid w:val="003760D6"/>
    <w:rsid w:val="003842FE"/>
    <w:rsid w:val="0039497F"/>
    <w:rsid w:val="003A6FA6"/>
    <w:rsid w:val="003C0B53"/>
    <w:rsid w:val="0040082C"/>
    <w:rsid w:val="004014E8"/>
    <w:rsid w:val="00406259"/>
    <w:rsid w:val="00432BCD"/>
    <w:rsid w:val="00442812"/>
    <w:rsid w:val="004501A5"/>
    <w:rsid w:val="00464F85"/>
    <w:rsid w:val="0047339E"/>
    <w:rsid w:val="00491568"/>
    <w:rsid w:val="004A102A"/>
    <w:rsid w:val="004A16E6"/>
    <w:rsid w:val="004A5599"/>
    <w:rsid w:val="004B1443"/>
    <w:rsid w:val="004B38E4"/>
    <w:rsid w:val="004B7A73"/>
    <w:rsid w:val="004E2066"/>
    <w:rsid w:val="00502516"/>
    <w:rsid w:val="005138C8"/>
    <w:rsid w:val="00520AD8"/>
    <w:rsid w:val="005274CD"/>
    <w:rsid w:val="005278A1"/>
    <w:rsid w:val="00527993"/>
    <w:rsid w:val="0053238A"/>
    <w:rsid w:val="00565CC3"/>
    <w:rsid w:val="00572498"/>
    <w:rsid w:val="00574424"/>
    <w:rsid w:val="005A2233"/>
    <w:rsid w:val="005B1F2C"/>
    <w:rsid w:val="005B7096"/>
    <w:rsid w:val="005E1114"/>
    <w:rsid w:val="005E1B77"/>
    <w:rsid w:val="00603FD5"/>
    <w:rsid w:val="00612ECE"/>
    <w:rsid w:val="00616BCA"/>
    <w:rsid w:val="00642B4C"/>
    <w:rsid w:val="00647A16"/>
    <w:rsid w:val="006768AB"/>
    <w:rsid w:val="006A1388"/>
    <w:rsid w:val="006B4EF9"/>
    <w:rsid w:val="006D3CA7"/>
    <w:rsid w:val="006F5151"/>
    <w:rsid w:val="0070218F"/>
    <w:rsid w:val="0070289B"/>
    <w:rsid w:val="007066E2"/>
    <w:rsid w:val="007474E7"/>
    <w:rsid w:val="00766442"/>
    <w:rsid w:val="007669CF"/>
    <w:rsid w:val="00790F4E"/>
    <w:rsid w:val="007A2110"/>
    <w:rsid w:val="007F12D8"/>
    <w:rsid w:val="007F12F1"/>
    <w:rsid w:val="007F24A2"/>
    <w:rsid w:val="0087525C"/>
    <w:rsid w:val="008A592A"/>
    <w:rsid w:val="008B4E0E"/>
    <w:rsid w:val="008B74ED"/>
    <w:rsid w:val="008C31AB"/>
    <w:rsid w:val="008E6279"/>
    <w:rsid w:val="00903676"/>
    <w:rsid w:val="009165B8"/>
    <w:rsid w:val="00931C0A"/>
    <w:rsid w:val="00970C65"/>
    <w:rsid w:val="009B0751"/>
    <w:rsid w:val="009C5659"/>
    <w:rsid w:val="00A2126B"/>
    <w:rsid w:val="00A22AE4"/>
    <w:rsid w:val="00A276C0"/>
    <w:rsid w:val="00A4302B"/>
    <w:rsid w:val="00A45E1A"/>
    <w:rsid w:val="00A54478"/>
    <w:rsid w:val="00A54AF0"/>
    <w:rsid w:val="00A5631A"/>
    <w:rsid w:val="00A74C38"/>
    <w:rsid w:val="00A91188"/>
    <w:rsid w:val="00A91AF1"/>
    <w:rsid w:val="00AC00A1"/>
    <w:rsid w:val="00AD0298"/>
    <w:rsid w:val="00AF62CC"/>
    <w:rsid w:val="00B325A0"/>
    <w:rsid w:val="00B6734C"/>
    <w:rsid w:val="00B7159B"/>
    <w:rsid w:val="00B833FB"/>
    <w:rsid w:val="00B9702C"/>
    <w:rsid w:val="00BD6F1F"/>
    <w:rsid w:val="00C0499F"/>
    <w:rsid w:val="00C07086"/>
    <w:rsid w:val="00C130F2"/>
    <w:rsid w:val="00C1387A"/>
    <w:rsid w:val="00C43C46"/>
    <w:rsid w:val="00C53498"/>
    <w:rsid w:val="00C632DD"/>
    <w:rsid w:val="00C72F5A"/>
    <w:rsid w:val="00C86BA5"/>
    <w:rsid w:val="00CC3BDA"/>
    <w:rsid w:val="00D0247E"/>
    <w:rsid w:val="00D075FA"/>
    <w:rsid w:val="00D16289"/>
    <w:rsid w:val="00D2257C"/>
    <w:rsid w:val="00D320D2"/>
    <w:rsid w:val="00D615F4"/>
    <w:rsid w:val="00D7661A"/>
    <w:rsid w:val="00DC099E"/>
    <w:rsid w:val="00DF0B67"/>
    <w:rsid w:val="00E255CB"/>
    <w:rsid w:val="00E51EE0"/>
    <w:rsid w:val="00E6028D"/>
    <w:rsid w:val="00E64740"/>
    <w:rsid w:val="00E66DED"/>
    <w:rsid w:val="00EA1A22"/>
    <w:rsid w:val="00EA35CA"/>
    <w:rsid w:val="00ED7DA7"/>
    <w:rsid w:val="00F12307"/>
    <w:rsid w:val="00F37A62"/>
    <w:rsid w:val="00F72429"/>
    <w:rsid w:val="00F738E8"/>
    <w:rsid w:val="00F75025"/>
    <w:rsid w:val="00F76E55"/>
    <w:rsid w:val="00F81670"/>
    <w:rsid w:val="00F96252"/>
    <w:rsid w:val="00FA04B8"/>
    <w:rsid w:val="00FB5521"/>
    <w:rsid w:val="00FB5D43"/>
    <w:rsid w:val="00FB6E38"/>
    <w:rsid w:val="00FF4A9F"/>
    <w:rsid w:val="00FF4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EC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A16E6"/>
    <w:pPr>
      <w:spacing w:before="100" w:beforeAutospacing="1" w:after="100" w:afterAutospacing="1" w:line="480" w:lineRule="auto"/>
      <w:jc w:val="both"/>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16E6"/>
    <w:rPr>
      <w:rFonts w:ascii="Times New Roman" w:eastAsia="Times New Roman" w:hAnsi="Times New Roman" w:cs="Times New Roman"/>
      <w:b/>
      <w:bCs/>
      <w:kern w:val="36"/>
      <w:sz w:val="48"/>
      <w:szCs w:val="48"/>
      <w:lang w:eastAsia="en-GB"/>
    </w:rPr>
  </w:style>
  <w:style w:type="character" w:styleId="Hyperlink">
    <w:name w:val="Hyperlink"/>
    <w:basedOn w:val="DefaultParagraphFont"/>
    <w:uiPriority w:val="99"/>
    <w:unhideWhenUsed/>
    <w:rsid w:val="004A16E6"/>
    <w:rPr>
      <w:color w:val="0000FF" w:themeColor="hyperlink"/>
      <w:u w:val="single"/>
    </w:rPr>
  </w:style>
  <w:style w:type="character" w:styleId="CommentReference">
    <w:name w:val="annotation reference"/>
    <w:basedOn w:val="DefaultParagraphFont"/>
    <w:uiPriority w:val="99"/>
    <w:semiHidden/>
    <w:unhideWhenUsed/>
    <w:rsid w:val="005B7096"/>
    <w:rPr>
      <w:sz w:val="16"/>
      <w:szCs w:val="16"/>
    </w:rPr>
  </w:style>
  <w:style w:type="paragraph" w:styleId="CommentText">
    <w:name w:val="annotation text"/>
    <w:basedOn w:val="Normal"/>
    <w:link w:val="CommentTextChar"/>
    <w:uiPriority w:val="99"/>
    <w:semiHidden/>
    <w:unhideWhenUsed/>
    <w:rsid w:val="005B7096"/>
    <w:pPr>
      <w:spacing w:line="240" w:lineRule="auto"/>
    </w:pPr>
    <w:rPr>
      <w:sz w:val="20"/>
      <w:szCs w:val="20"/>
    </w:rPr>
  </w:style>
  <w:style w:type="character" w:customStyle="1" w:styleId="CommentTextChar">
    <w:name w:val="Comment Text Char"/>
    <w:basedOn w:val="DefaultParagraphFont"/>
    <w:link w:val="CommentText"/>
    <w:uiPriority w:val="99"/>
    <w:semiHidden/>
    <w:rsid w:val="005B7096"/>
    <w:rPr>
      <w:sz w:val="20"/>
      <w:szCs w:val="20"/>
    </w:rPr>
  </w:style>
  <w:style w:type="paragraph" w:styleId="CommentSubject">
    <w:name w:val="annotation subject"/>
    <w:basedOn w:val="CommentText"/>
    <w:next w:val="CommentText"/>
    <w:link w:val="CommentSubjectChar"/>
    <w:uiPriority w:val="99"/>
    <w:semiHidden/>
    <w:unhideWhenUsed/>
    <w:rsid w:val="005B7096"/>
    <w:rPr>
      <w:b/>
      <w:bCs/>
    </w:rPr>
  </w:style>
  <w:style w:type="character" w:customStyle="1" w:styleId="CommentSubjectChar">
    <w:name w:val="Comment Subject Char"/>
    <w:basedOn w:val="CommentTextChar"/>
    <w:link w:val="CommentSubject"/>
    <w:uiPriority w:val="99"/>
    <w:semiHidden/>
    <w:rsid w:val="005B7096"/>
    <w:rPr>
      <w:b/>
      <w:bCs/>
      <w:sz w:val="20"/>
      <w:szCs w:val="20"/>
    </w:rPr>
  </w:style>
  <w:style w:type="paragraph" w:styleId="BalloonText">
    <w:name w:val="Balloon Text"/>
    <w:basedOn w:val="Normal"/>
    <w:link w:val="BalloonTextChar"/>
    <w:uiPriority w:val="99"/>
    <w:semiHidden/>
    <w:unhideWhenUsed/>
    <w:rsid w:val="00A43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0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A16E6"/>
    <w:pPr>
      <w:spacing w:before="100" w:beforeAutospacing="1" w:after="100" w:afterAutospacing="1" w:line="480" w:lineRule="auto"/>
      <w:jc w:val="both"/>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16E6"/>
    <w:rPr>
      <w:rFonts w:ascii="Times New Roman" w:eastAsia="Times New Roman" w:hAnsi="Times New Roman" w:cs="Times New Roman"/>
      <w:b/>
      <w:bCs/>
      <w:kern w:val="36"/>
      <w:sz w:val="48"/>
      <w:szCs w:val="48"/>
      <w:lang w:eastAsia="en-GB"/>
    </w:rPr>
  </w:style>
  <w:style w:type="character" w:styleId="Hyperlink">
    <w:name w:val="Hyperlink"/>
    <w:basedOn w:val="DefaultParagraphFont"/>
    <w:uiPriority w:val="99"/>
    <w:unhideWhenUsed/>
    <w:rsid w:val="004A16E6"/>
    <w:rPr>
      <w:color w:val="0000FF" w:themeColor="hyperlink"/>
      <w:u w:val="single"/>
    </w:rPr>
  </w:style>
  <w:style w:type="character" w:styleId="CommentReference">
    <w:name w:val="annotation reference"/>
    <w:basedOn w:val="DefaultParagraphFont"/>
    <w:uiPriority w:val="99"/>
    <w:semiHidden/>
    <w:unhideWhenUsed/>
    <w:rsid w:val="005B7096"/>
    <w:rPr>
      <w:sz w:val="16"/>
      <w:szCs w:val="16"/>
    </w:rPr>
  </w:style>
  <w:style w:type="paragraph" w:styleId="CommentText">
    <w:name w:val="annotation text"/>
    <w:basedOn w:val="Normal"/>
    <w:link w:val="CommentTextChar"/>
    <w:uiPriority w:val="99"/>
    <w:semiHidden/>
    <w:unhideWhenUsed/>
    <w:rsid w:val="005B7096"/>
    <w:pPr>
      <w:spacing w:line="240" w:lineRule="auto"/>
    </w:pPr>
    <w:rPr>
      <w:sz w:val="20"/>
      <w:szCs w:val="20"/>
    </w:rPr>
  </w:style>
  <w:style w:type="character" w:customStyle="1" w:styleId="CommentTextChar">
    <w:name w:val="Comment Text Char"/>
    <w:basedOn w:val="DefaultParagraphFont"/>
    <w:link w:val="CommentText"/>
    <w:uiPriority w:val="99"/>
    <w:semiHidden/>
    <w:rsid w:val="005B7096"/>
    <w:rPr>
      <w:sz w:val="20"/>
      <w:szCs w:val="20"/>
    </w:rPr>
  </w:style>
  <w:style w:type="paragraph" w:styleId="CommentSubject">
    <w:name w:val="annotation subject"/>
    <w:basedOn w:val="CommentText"/>
    <w:next w:val="CommentText"/>
    <w:link w:val="CommentSubjectChar"/>
    <w:uiPriority w:val="99"/>
    <w:semiHidden/>
    <w:unhideWhenUsed/>
    <w:rsid w:val="005B7096"/>
    <w:rPr>
      <w:b/>
      <w:bCs/>
    </w:rPr>
  </w:style>
  <w:style w:type="character" w:customStyle="1" w:styleId="CommentSubjectChar">
    <w:name w:val="Comment Subject Char"/>
    <w:basedOn w:val="CommentTextChar"/>
    <w:link w:val="CommentSubject"/>
    <w:uiPriority w:val="99"/>
    <w:semiHidden/>
    <w:rsid w:val="005B7096"/>
    <w:rPr>
      <w:b/>
      <w:bCs/>
      <w:sz w:val="20"/>
      <w:szCs w:val="20"/>
    </w:rPr>
  </w:style>
  <w:style w:type="paragraph" w:styleId="BalloonText">
    <w:name w:val="Balloon Text"/>
    <w:basedOn w:val="Normal"/>
    <w:link w:val="BalloonTextChar"/>
    <w:uiPriority w:val="99"/>
    <w:semiHidden/>
    <w:unhideWhenUsed/>
    <w:rsid w:val="00A43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0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2t.net/addgene:1226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addgene.org/82416/" TargetMode="External"/><Relationship Id="rId12" Type="http://schemas.openxmlformats.org/officeDocument/2006/relationships/fontTable" Target="fontTab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hyperlink" Target="http://n2t.net/addgene:52961" TargetMode="External"/><Relationship Id="rId11" Type="http://schemas.openxmlformats.org/officeDocument/2006/relationships/hyperlink" Target="https://www.addgene.org/8453/"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http://shinyapps.datacurators.nl/tide/" TargetMode="External"/><Relationship Id="rId4" Type="http://schemas.openxmlformats.org/officeDocument/2006/relationships/settings" Target="settings.xml"/><Relationship Id="rId9" Type="http://schemas.openxmlformats.org/officeDocument/2006/relationships/hyperlink" Target="http://n2t.net/addgene:12259"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456F6-2AD6-4C1F-9E1C-633A0109E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4292</Words>
  <Characters>24469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AENCILAY</dc:creator>
  <cp:lastModifiedBy>Ege, Grace Lyn</cp:lastModifiedBy>
  <cp:revision>4</cp:revision>
  <dcterms:created xsi:type="dcterms:W3CDTF">2022-08-24T11:25:00Z</dcterms:created>
  <dcterms:modified xsi:type="dcterms:W3CDTF">2022-08-29T07:47:00Z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516ee4fb-c96c-3394-9538-7e4b1565da6e</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http://www.zotero.org/styles/biochemical-and-biophysical-research-communications</vt:lpwstr>
  </property>
  <property fmtid="{D5CDD505-2E9C-101B-9397-08002B2CF9AE}" pid="10" name="Mendeley Recent Style Name 2_1">
    <vt:lpwstr>Biochemical and Biophysical Research Communications</vt:lpwstr>
  </property>
  <property fmtid="{D5CDD505-2E9C-101B-9397-08002B2CF9AE}" pid="11" name="Mendeley Recent Style Id 3_1">
    <vt:lpwstr>http://www.zotero.org/styles/cancers</vt:lpwstr>
  </property>
  <property fmtid="{D5CDD505-2E9C-101B-9397-08002B2CF9AE}" pid="12" name="Mendeley Recent Style Name 3_1">
    <vt:lpwstr>Cancers</vt:lpwstr>
  </property>
  <property fmtid="{D5CDD505-2E9C-101B-9397-08002B2CF9AE}" pid="13" name="Mendeley Recent Style Id 4_1">
    <vt:lpwstr>http://www.zotero.org/styles/cell</vt:lpwstr>
  </property>
  <property fmtid="{D5CDD505-2E9C-101B-9397-08002B2CF9AE}" pid="14" name="Mendeley Recent Style Name 4_1">
    <vt:lpwstr>Cell</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http://www.zotero.org/styles/histochemistry-and-cell-biology</vt:lpwstr>
  </property>
  <property fmtid="{D5CDD505-2E9C-101B-9397-08002B2CF9AE}" pid="18" name="Mendeley Recent Style Name 6_1">
    <vt:lpwstr>Histochemistry and Cell Biology</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http://www.zotero.org/styles/plos-genetics</vt:lpwstr>
  </property>
  <property fmtid="{D5CDD505-2E9C-101B-9397-08002B2CF9AE}" pid="22" name="Mendeley Recent Style Name 8_1">
    <vt:lpwstr>PLOS Genetics</vt:lpwstr>
  </property>
  <property fmtid="{D5CDD505-2E9C-101B-9397-08002B2CF9AE}" pid="23" name="Mendeley Recent Style Id 9_1">
    <vt:lpwstr>http://www.zotero.org/styles/plos-one</vt:lpwstr>
  </property>
  <property fmtid="{D5CDD505-2E9C-101B-9397-08002B2CF9AE}" pid="24" name="Mendeley Recent Style Name 9_1">
    <vt:lpwstr>PLOS ONE</vt:lpwstr>
  </property>
</Properties>
</file>