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9D" w:rsidRPr="0046189D" w:rsidRDefault="0046189D" w:rsidP="008260F2">
      <w:pPr>
        <w:spacing w:after="120" w:line="480" w:lineRule="auto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46189D">
        <w:rPr>
          <w:rFonts w:ascii="Arial" w:hAnsi="Arial" w:cs="Arial"/>
          <w:b/>
          <w:sz w:val="22"/>
          <w:szCs w:val="22"/>
          <w:u w:val="single"/>
          <w:lang w:val="en-US"/>
        </w:rPr>
        <w:t>SUPPLEMENTARY MATERIALS AND METHODS</w:t>
      </w:r>
    </w:p>
    <w:p w:rsidR="008260F2" w:rsidRPr="00A113E6" w:rsidRDefault="008260F2" w:rsidP="008260F2">
      <w:pPr>
        <w:spacing w:after="120"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113E6">
        <w:rPr>
          <w:rFonts w:ascii="Arial" w:hAnsi="Arial" w:cs="Arial"/>
          <w:b/>
          <w:sz w:val="22"/>
          <w:szCs w:val="22"/>
          <w:lang w:val="en-US"/>
        </w:rPr>
        <w:t>Preparation of BMDC and BMDM</w:t>
      </w:r>
    </w:p>
    <w:p w:rsidR="008260F2" w:rsidRPr="00A113E6" w:rsidRDefault="008260F2" w:rsidP="008260F2">
      <w:pPr>
        <w:spacing w:after="120"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113E6">
        <w:rPr>
          <w:rFonts w:ascii="Arial" w:hAnsi="Arial" w:cs="Arial"/>
          <w:sz w:val="22"/>
          <w:szCs w:val="22"/>
          <w:lang w:val="en-US"/>
        </w:rPr>
        <w:t xml:space="preserve">Bone marrow derived macrophages (BMDM) were generated in culture supplemented with 15% L929-cell conditioned medium (LCM15) and fed at days 3 and 6 with fresh LCM15. BMDMs were harvested on day 7 by lifting with 4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mM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Lidocaine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(Sigma-Aldrich, USA) and macrophage purity determined by flow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cytometry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>, with &gt;90% cells staining F4/80</w:t>
      </w:r>
      <w:r w:rsidRPr="00A113E6">
        <w:rPr>
          <w:rFonts w:ascii="Arial" w:hAnsi="Arial" w:cs="Arial"/>
          <w:sz w:val="22"/>
          <w:szCs w:val="22"/>
          <w:vertAlign w:val="superscript"/>
          <w:lang w:val="en-US"/>
        </w:rPr>
        <w:t>hi</w:t>
      </w:r>
      <w:r w:rsidRPr="00A113E6">
        <w:rPr>
          <w:rFonts w:ascii="Arial" w:hAnsi="Arial" w:cs="Arial"/>
          <w:sz w:val="22"/>
          <w:szCs w:val="22"/>
          <w:lang w:val="en-US"/>
        </w:rPr>
        <w:t>CD11b</w:t>
      </w:r>
      <w:r w:rsidRPr="00A113E6">
        <w:rPr>
          <w:rFonts w:ascii="Arial" w:hAnsi="Arial" w:cs="Arial"/>
          <w:sz w:val="22"/>
          <w:szCs w:val="22"/>
          <w:vertAlign w:val="superscript"/>
          <w:lang w:val="en-US"/>
        </w:rPr>
        <w:t>+</w:t>
      </w:r>
      <w:r w:rsidRPr="00A113E6">
        <w:rPr>
          <w:rFonts w:ascii="Arial" w:hAnsi="Arial" w:cs="Arial"/>
          <w:sz w:val="22"/>
          <w:szCs w:val="22"/>
          <w:lang w:val="en-US"/>
        </w:rPr>
        <w:t>CD11c</w:t>
      </w:r>
      <w:r w:rsidRPr="00A113E6">
        <w:rPr>
          <w:rFonts w:ascii="Arial" w:hAnsi="Arial" w:cs="Arial"/>
          <w:sz w:val="22"/>
          <w:szCs w:val="22"/>
          <w:vertAlign w:val="superscript"/>
          <w:lang w:val="en-US"/>
        </w:rPr>
        <w:t>-</w:t>
      </w:r>
      <w:r w:rsidRPr="00A113E6">
        <w:rPr>
          <w:rFonts w:ascii="Arial" w:hAnsi="Arial" w:cs="Arial"/>
          <w:sz w:val="22"/>
          <w:szCs w:val="22"/>
          <w:lang w:val="en-US"/>
        </w:rPr>
        <w:t>MHC-II</w:t>
      </w:r>
      <w:r w:rsidRPr="00A113E6">
        <w:rPr>
          <w:rFonts w:ascii="Arial" w:hAnsi="Arial" w:cs="Arial"/>
          <w:sz w:val="22"/>
          <w:szCs w:val="22"/>
          <w:vertAlign w:val="superscript"/>
          <w:lang w:val="en-US"/>
        </w:rPr>
        <w:t>int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. Bone marrow derived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dendritic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cells (BMDC) were generated in culture supplemented with 20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ng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mL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recombinant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murine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GM-CSF (R&amp;D Systems, USA). Cultures were fed at days 3 and 6 with fresh GM-CSF supplemented CM and harvested on day 7 by EDTA treatment. </w:t>
      </w:r>
    </w:p>
    <w:p w:rsidR="008260F2" w:rsidRPr="00A113E6" w:rsidRDefault="008260F2" w:rsidP="008260F2">
      <w:pPr>
        <w:spacing w:after="120"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A113E6">
        <w:rPr>
          <w:rFonts w:ascii="Arial" w:hAnsi="Arial" w:cs="Arial"/>
          <w:b/>
          <w:sz w:val="22"/>
          <w:szCs w:val="22"/>
          <w:lang w:val="en-US"/>
        </w:rPr>
        <w:t>Imagestream</w:t>
      </w:r>
      <w:proofErr w:type="spellEnd"/>
      <w:r w:rsidRPr="00A113E6">
        <w:rPr>
          <w:rFonts w:ascii="Arial" w:hAnsi="Arial" w:cs="Arial"/>
          <w:b/>
          <w:sz w:val="22"/>
          <w:szCs w:val="22"/>
          <w:lang w:val="en-US"/>
        </w:rPr>
        <w:t xml:space="preserve"> Analysis</w:t>
      </w:r>
    </w:p>
    <w:p w:rsidR="008260F2" w:rsidRPr="00A113E6" w:rsidRDefault="008260F2" w:rsidP="008260F2">
      <w:pPr>
        <w:spacing w:after="120"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113E6">
        <w:rPr>
          <w:rFonts w:ascii="Arial" w:hAnsi="Arial" w:cs="Arial"/>
          <w:sz w:val="22"/>
          <w:szCs w:val="22"/>
          <w:lang w:val="en-US"/>
        </w:rPr>
        <w:t>BMDC were cultured for 16 h in the presence of either 100 µg/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mL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Carbopol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or TLR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ligand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-depleted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Zymosan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(100 µg/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mL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 xml:space="preserve"> then 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washed and lifted </w:t>
      </w:r>
      <w:r>
        <w:rPr>
          <w:rFonts w:ascii="Arial" w:hAnsi="Arial" w:cs="Arial"/>
          <w:sz w:val="22"/>
          <w:szCs w:val="22"/>
          <w:lang w:val="en-US"/>
        </w:rPr>
        <w:t>prior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to </w:t>
      </w:r>
      <w:r w:rsidRPr="00A113E6">
        <w:rPr>
          <w:rFonts w:ascii="Arial" w:hAnsi="Arial" w:cs="Arial"/>
          <w:sz w:val="22"/>
          <w:szCs w:val="22"/>
          <w:lang w:val="en-US"/>
        </w:rPr>
        <w:t>surface staining</w:t>
      </w:r>
      <w:r>
        <w:rPr>
          <w:rFonts w:ascii="Arial" w:hAnsi="Arial" w:cs="Arial"/>
          <w:sz w:val="22"/>
          <w:szCs w:val="22"/>
          <w:lang w:val="en-US"/>
        </w:rPr>
        <w:t xml:space="preserve"> and fixation/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permablisation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(BD Biosciences). Cells were washed and stained with either Hoechst (0.5µg/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mL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>, Molecular Probes), anti-EEA1 (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rPolyclonal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Abcam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) or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biotinylated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anti-CD107a (1D4B,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Biolegend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) as per manufacturer’s instructions. Secondary staining was performed with either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streptavidin-TexasRed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or anti-rabbit-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Ig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TexasRed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as required. </w:t>
      </w:r>
      <w:r>
        <w:rPr>
          <w:rFonts w:ascii="Arial" w:hAnsi="Arial" w:cs="Arial"/>
          <w:sz w:val="22"/>
          <w:szCs w:val="22"/>
          <w:lang w:val="en-US"/>
        </w:rPr>
        <w:t>D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ata </w:t>
      </w:r>
      <w:r>
        <w:rPr>
          <w:rFonts w:ascii="Arial" w:hAnsi="Arial" w:cs="Arial"/>
          <w:sz w:val="22"/>
          <w:szCs w:val="22"/>
          <w:lang w:val="en-US"/>
        </w:rPr>
        <w:t xml:space="preserve">was 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acquired by high throughput imaging on an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Amnis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Imagestream</w:t>
      </w:r>
      <w:r w:rsidRPr="00A113E6">
        <w:rPr>
          <w:rFonts w:ascii="Arial" w:hAnsi="Arial" w:cs="Arial"/>
          <w:sz w:val="22"/>
          <w:szCs w:val="22"/>
          <w:vertAlign w:val="superscript"/>
          <w:lang w:val="en-US"/>
        </w:rPr>
        <w:t>X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>-EDF.  All acquisition was performed at 60 x magnification on low speed</w:t>
      </w:r>
      <w:r>
        <w:rPr>
          <w:rFonts w:ascii="Arial" w:hAnsi="Arial" w:cs="Arial"/>
          <w:sz w:val="22"/>
          <w:szCs w:val="22"/>
          <w:lang w:val="en-US"/>
        </w:rPr>
        <w:t xml:space="preserve"> throughput</w:t>
      </w:r>
      <w:r w:rsidRPr="00A113E6">
        <w:rPr>
          <w:rFonts w:ascii="Arial" w:hAnsi="Arial" w:cs="Arial"/>
          <w:sz w:val="22"/>
          <w:szCs w:val="22"/>
          <w:lang w:val="en-US"/>
        </w:rPr>
        <w:t>. Ideas Software version 5.0 was employed for all offline analysis. For sub-cellular localization detection a mask was created that encompassed the cell but excluded the membrane and co-localization between this mask and the Carbopol signal was calculated. Carbopol particle and cell size were calculated using the ‘diameter’ feature using masking as appropriate.</w:t>
      </w:r>
    </w:p>
    <w:p w:rsidR="008260F2" w:rsidRPr="00A113E6" w:rsidRDefault="008260F2" w:rsidP="008260F2">
      <w:pPr>
        <w:spacing w:after="120"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113E6">
        <w:rPr>
          <w:rFonts w:ascii="Arial" w:hAnsi="Arial" w:cs="Arial"/>
          <w:b/>
          <w:sz w:val="22"/>
          <w:szCs w:val="22"/>
          <w:lang w:val="en-US"/>
        </w:rPr>
        <w:t>Electron microscopy</w:t>
      </w:r>
    </w:p>
    <w:p w:rsidR="008260F2" w:rsidRPr="00A113E6" w:rsidRDefault="008260F2" w:rsidP="008260F2">
      <w:pPr>
        <w:spacing w:after="120"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113E6">
        <w:rPr>
          <w:rFonts w:ascii="Arial" w:hAnsi="Arial" w:cs="Arial"/>
          <w:sz w:val="22"/>
          <w:szCs w:val="22"/>
          <w:lang w:val="en-US"/>
        </w:rPr>
        <w:t>BMDC were cultured on glass cover slips at 1</w:t>
      </w:r>
      <w:r>
        <w:rPr>
          <w:rFonts w:ascii="Arial" w:hAnsi="Arial" w:cs="Arial"/>
          <w:sz w:val="22"/>
          <w:szCs w:val="22"/>
          <w:lang w:val="en-US"/>
        </w:rPr>
        <w:t>-2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 x 10</w:t>
      </w:r>
      <w:r w:rsidRPr="00A113E6">
        <w:rPr>
          <w:rFonts w:ascii="Arial" w:hAnsi="Arial" w:cs="Arial"/>
          <w:sz w:val="22"/>
          <w:szCs w:val="22"/>
          <w:vertAlign w:val="superscript"/>
          <w:lang w:val="en-US"/>
        </w:rPr>
        <w:t>6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 cells/well </w:t>
      </w:r>
      <w:r>
        <w:rPr>
          <w:rFonts w:ascii="Arial" w:hAnsi="Arial" w:cs="Arial"/>
          <w:sz w:val="22"/>
          <w:szCs w:val="22"/>
          <w:lang w:val="en-US"/>
        </w:rPr>
        <w:t>for 4-16 h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in the </w:t>
      </w:r>
      <w:r w:rsidRPr="00A113E6">
        <w:rPr>
          <w:rFonts w:ascii="Arial" w:hAnsi="Arial" w:cs="Arial"/>
          <w:sz w:val="22"/>
          <w:szCs w:val="22"/>
          <w:lang w:val="en-US"/>
        </w:rPr>
        <w:t>presence of either 100 µg/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mL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Carbopol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or TLR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ligand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-depleted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Zymosan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(100 µg/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mL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). Cells were </w:t>
      </w:r>
      <w:r w:rsidRPr="00A113E6">
        <w:rPr>
          <w:rFonts w:ascii="Arial" w:hAnsi="Arial" w:cs="Arial"/>
          <w:sz w:val="22"/>
          <w:szCs w:val="22"/>
          <w:lang w:val="en-US"/>
        </w:rPr>
        <w:lastRenderedPageBreak/>
        <w:t>washed and then fixed with 2.5% glutaraldyehyde-</w:t>
      </w:r>
      <w:r w:rsidRPr="00A113E6">
        <w:rPr>
          <w:rFonts w:ascii="Arial" w:eastAsia="MS Mincho" w:hAnsi="Arial" w:cs="Arial"/>
          <w:sz w:val="22"/>
          <w:szCs w:val="22"/>
          <w:lang w:val="en-US"/>
        </w:rPr>
        <w:t xml:space="preserve">100 </w:t>
      </w:r>
      <w:proofErr w:type="spellStart"/>
      <w:r w:rsidRPr="00A113E6">
        <w:rPr>
          <w:rFonts w:ascii="Arial" w:eastAsia="MS Mincho" w:hAnsi="Arial" w:cs="Arial"/>
          <w:sz w:val="22"/>
          <w:szCs w:val="22"/>
          <w:lang w:val="en-US"/>
        </w:rPr>
        <w:t>mM</w:t>
      </w:r>
      <w:proofErr w:type="spellEnd"/>
      <w:r w:rsidRPr="00A113E6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proofErr w:type="spellStart"/>
      <w:r w:rsidRPr="00A113E6">
        <w:rPr>
          <w:rFonts w:ascii="Arial" w:eastAsia="MS Mincho" w:hAnsi="Arial" w:cs="Arial"/>
          <w:sz w:val="22"/>
          <w:szCs w:val="22"/>
          <w:lang w:val="en-US"/>
        </w:rPr>
        <w:t>cacodylate</w:t>
      </w:r>
      <w:proofErr w:type="spellEnd"/>
      <w:r w:rsidRPr="00A113E6">
        <w:rPr>
          <w:rFonts w:ascii="Arial" w:eastAsia="MS Mincho" w:hAnsi="Arial" w:cs="Arial"/>
          <w:sz w:val="22"/>
          <w:szCs w:val="22"/>
          <w:lang w:val="en-US"/>
        </w:rPr>
        <w:t xml:space="preserve"> buffer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 prior to imaging</w:t>
      </w:r>
      <w:r w:rsidRPr="00A113E6">
        <w:rPr>
          <w:rFonts w:ascii="Arial" w:eastAsia="MS Mincho" w:hAnsi="Arial" w:cs="Arial"/>
          <w:sz w:val="22"/>
          <w:szCs w:val="22"/>
          <w:lang w:val="en-US"/>
        </w:rPr>
        <w:t>.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For scanning electron microscopy (SEM), s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amples were dehydrated through a series of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ethanols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and critically point-dried. After </w:t>
      </w:r>
      <w:r>
        <w:rPr>
          <w:rFonts w:ascii="Arial" w:hAnsi="Arial" w:cs="Arial"/>
          <w:sz w:val="22"/>
          <w:szCs w:val="22"/>
          <w:lang w:val="en-US"/>
        </w:rPr>
        <w:t xml:space="preserve">gold </w:t>
      </w:r>
      <w:r w:rsidRPr="00A113E6">
        <w:rPr>
          <w:rFonts w:ascii="Arial" w:hAnsi="Arial" w:cs="Arial"/>
          <w:sz w:val="22"/>
          <w:szCs w:val="22"/>
          <w:lang w:val="en-US"/>
        </w:rPr>
        <w:t>sputter coating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 cells were examined in a JOEL JSM 6390 scanning electron microscope. For transmission electron </w:t>
      </w:r>
      <w:r>
        <w:rPr>
          <w:rFonts w:ascii="Arial" w:hAnsi="Arial" w:cs="Arial"/>
          <w:sz w:val="22"/>
          <w:szCs w:val="22"/>
          <w:lang w:val="en-US"/>
        </w:rPr>
        <w:t>microscopy (TEM), s</w:t>
      </w:r>
      <w:r w:rsidRPr="00A113E6">
        <w:rPr>
          <w:rFonts w:ascii="Arial" w:eastAsia="MS Mincho" w:hAnsi="Arial" w:cs="Arial"/>
          <w:sz w:val="22"/>
          <w:szCs w:val="22"/>
          <w:lang w:val="en-US"/>
        </w:rPr>
        <w:t>amples were negatively stained with 2% (wt/</w:t>
      </w:r>
      <w:proofErr w:type="spellStart"/>
      <w:r w:rsidRPr="00A113E6">
        <w:rPr>
          <w:rFonts w:ascii="Arial" w:eastAsia="MS Mincho" w:hAnsi="Arial" w:cs="Arial"/>
          <w:sz w:val="22"/>
          <w:szCs w:val="22"/>
          <w:lang w:val="en-US"/>
        </w:rPr>
        <w:t>vol</w:t>
      </w:r>
      <w:proofErr w:type="spellEnd"/>
      <w:r w:rsidRPr="00A113E6">
        <w:rPr>
          <w:rFonts w:ascii="Arial" w:eastAsia="MS Mincho" w:hAnsi="Arial" w:cs="Arial"/>
          <w:sz w:val="22"/>
          <w:szCs w:val="22"/>
          <w:lang w:val="en-US"/>
        </w:rPr>
        <w:t xml:space="preserve">) </w:t>
      </w:r>
      <w:proofErr w:type="spellStart"/>
      <w:r w:rsidRPr="00A113E6">
        <w:rPr>
          <w:rFonts w:ascii="Arial" w:eastAsia="MS Mincho" w:hAnsi="Arial" w:cs="Arial"/>
          <w:sz w:val="22"/>
          <w:szCs w:val="22"/>
          <w:lang w:val="en-US"/>
        </w:rPr>
        <w:t>uranyl</w:t>
      </w:r>
      <w:proofErr w:type="spellEnd"/>
      <w:r w:rsidRPr="00A113E6">
        <w:rPr>
          <w:rFonts w:ascii="Arial" w:eastAsia="MS Mincho" w:hAnsi="Arial" w:cs="Arial"/>
          <w:sz w:val="22"/>
          <w:szCs w:val="22"/>
          <w:lang w:val="en-US"/>
        </w:rPr>
        <w:t xml:space="preserve"> acetate, dehydrated with ethanol and cells released from the plastic using propylene oxide. The cells were washed several times with propylene oxide and embedded in resin. Ultrathin (~70nm thick) sections were cut, stained with </w:t>
      </w:r>
      <w:proofErr w:type="spellStart"/>
      <w:r w:rsidRPr="00A113E6">
        <w:rPr>
          <w:rFonts w:ascii="Arial" w:eastAsia="MS Mincho" w:hAnsi="Arial" w:cs="Arial"/>
          <w:sz w:val="22"/>
          <w:szCs w:val="22"/>
          <w:lang w:val="en-US"/>
        </w:rPr>
        <w:t>uranyl</w:t>
      </w:r>
      <w:proofErr w:type="spellEnd"/>
      <w:r w:rsidRPr="00A113E6">
        <w:rPr>
          <w:rFonts w:ascii="Arial" w:eastAsia="MS Mincho" w:hAnsi="Arial" w:cs="Arial"/>
          <w:sz w:val="22"/>
          <w:szCs w:val="22"/>
          <w:lang w:val="en-US"/>
        </w:rPr>
        <w:t xml:space="preserve"> acetate and lead citrate then examined in a FEI </w:t>
      </w:r>
      <w:proofErr w:type="spellStart"/>
      <w:r w:rsidRPr="00A113E6">
        <w:rPr>
          <w:rFonts w:ascii="Arial" w:eastAsia="MS Mincho" w:hAnsi="Arial" w:cs="Arial"/>
          <w:sz w:val="22"/>
          <w:szCs w:val="22"/>
          <w:lang w:val="en-US"/>
        </w:rPr>
        <w:t>Tecnai</w:t>
      </w:r>
      <w:proofErr w:type="spellEnd"/>
      <w:r w:rsidRPr="00A113E6">
        <w:rPr>
          <w:rFonts w:ascii="Arial" w:eastAsia="MS Mincho" w:hAnsi="Arial" w:cs="Arial"/>
          <w:sz w:val="22"/>
          <w:szCs w:val="22"/>
          <w:lang w:val="en-US"/>
        </w:rPr>
        <w:t xml:space="preserve"> 12 electron microscope.</w:t>
      </w:r>
    </w:p>
    <w:p w:rsidR="008260F2" w:rsidRPr="00A113E6" w:rsidRDefault="008260F2" w:rsidP="008260F2">
      <w:pPr>
        <w:spacing w:after="120"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113E6">
        <w:rPr>
          <w:rFonts w:ascii="Arial" w:hAnsi="Arial" w:cs="Arial"/>
          <w:b/>
          <w:sz w:val="22"/>
          <w:szCs w:val="22"/>
          <w:lang w:val="en-US"/>
        </w:rPr>
        <w:t>Reactive Oxygen Species assay</w:t>
      </w:r>
    </w:p>
    <w:p w:rsidR="005A6372" w:rsidRDefault="008260F2" w:rsidP="008260F2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113E6">
        <w:rPr>
          <w:rFonts w:ascii="Arial" w:hAnsi="Arial" w:cs="Arial"/>
          <w:sz w:val="22"/>
          <w:szCs w:val="22"/>
          <w:lang w:val="en-US"/>
        </w:rPr>
        <w:t>ROS production in BMDMs was determined using carboxy-H2DCFDA (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Invitrogen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>). 1.5 x 10</w:t>
      </w:r>
      <w:r w:rsidRPr="00A113E6">
        <w:rPr>
          <w:rFonts w:ascii="Arial" w:hAnsi="Arial" w:cs="Arial"/>
          <w:sz w:val="22"/>
          <w:szCs w:val="22"/>
          <w:vertAlign w:val="superscript"/>
          <w:lang w:val="en-US"/>
        </w:rPr>
        <w:t>6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 cells/well were cultured (1, 2 and 24 h) in phenol-red free medium either alone or in the presence of 100 µg/ml Carbopol, PMA (2 µM) or TLR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ligand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-depleted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Zymosan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(100 µg/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mL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). Following incubation, cells were washed with PBS and stained with carboxy-H2DCFDA (20 µM) in PBS for 10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mins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at 37°C. Cells were washed again and lifted with EDTA (10µM)/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Lidocaine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(12 µM, 10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mins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, 37°C), before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resuspension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in phenol-red free medium and transferred to 96 well black/clear bottom polystyrene cell culture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microplates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>. Fluorescence intensity was measured with an excitation wavelength of 488 nm and an emission wavelength of 515 nm.</w:t>
      </w:r>
    </w:p>
    <w:p w:rsidR="008260F2" w:rsidRPr="00A113E6" w:rsidRDefault="008260F2" w:rsidP="008260F2">
      <w:pPr>
        <w:spacing w:after="120" w:line="48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113E6">
        <w:rPr>
          <w:rFonts w:ascii="Arial" w:hAnsi="Arial" w:cs="Arial"/>
          <w:b/>
          <w:sz w:val="22"/>
          <w:szCs w:val="22"/>
          <w:lang w:val="en-US"/>
        </w:rPr>
        <w:t xml:space="preserve">Statistical analysis </w:t>
      </w:r>
    </w:p>
    <w:p w:rsidR="008260F2" w:rsidRPr="00A113E6" w:rsidRDefault="008260F2" w:rsidP="008260F2">
      <w:pPr>
        <w:spacing w:after="120"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A113E6">
        <w:rPr>
          <w:rFonts w:ascii="Arial" w:hAnsi="Arial" w:cs="Arial"/>
          <w:sz w:val="22"/>
          <w:szCs w:val="22"/>
          <w:lang w:val="en-US"/>
        </w:rPr>
        <w:t>Statistical analyses were performed using Prism software (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GraphPad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, USA). Comparison of two sample data sets were carried out using the two-tailed Mann-Whitney test unless normal distribution was established, in which case an unpaired </w:t>
      </w:r>
      <w:r w:rsidRPr="00A113E6">
        <w:rPr>
          <w:rFonts w:ascii="Arial" w:hAnsi="Arial" w:cs="Arial"/>
          <w:i/>
          <w:sz w:val="22"/>
          <w:szCs w:val="22"/>
          <w:lang w:val="en-US"/>
        </w:rPr>
        <w:t>t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-test was applied. Comparison of more than two data sets was carried out by one-way ANOVA using either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Kruskal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-Wallis or, if normal distribution was established, </w:t>
      </w:r>
      <w:proofErr w:type="spellStart"/>
      <w:r w:rsidRPr="00A113E6">
        <w:rPr>
          <w:rFonts w:ascii="Arial" w:hAnsi="Arial" w:cs="Arial"/>
          <w:sz w:val="22"/>
          <w:szCs w:val="22"/>
          <w:lang w:val="en-US"/>
        </w:rPr>
        <w:t>Bonferroni</w:t>
      </w:r>
      <w:proofErr w:type="spellEnd"/>
      <w:r w:rsidRPr="00A113E6">
        <w:rPr>
          <w:rFonts w:ascii="Arial" w:hAnsi="Arial" w:cs="Arial"/>
          <w:sz w:val="22"/>
          <w:szCs w:val="22"/>
          <w:lang w:val="en-US"/>
        </w:rPr>
        <w:t xml:space="preserve"> post-tests for inter-group analysis. Abnormally distributed serum immunoglobulin titers were log transformed prior to one-way </w:t>
      </w:r>
      <w:r w:rsidRPr="00A113E6">
        <w:rPr>
          <w:rFonts w:ascii="Arial" w:hAnsi="Arial" w:cs="Arial"/>
          <w:sz w:val="22"/>
          <w:szCs w:val="22"/>
          <w:lang w:val="en-US"/>
        </w:rPr>
        <w:lastRenderedPageBreak/>
        <w:t xml:space="preserve">ANOVA analysis with post-tests as described above. The statistical test used for each individual experiment and associated </w:t>
      </w:r>
      <w:r w:rsidRPr="00A113E6">
        <w:rPr>
          <w:rFonts w:ascii="Arial" w:hAnsi="Arial" w:cs="Arial"/>
          <w:i/>
          <w:sz w:val="22"/>
          <w:szCs w:val="22"/>
          <w:lang w:val="en-US"/>
        </w:rPr>
        <w:t>p</w:t>
      </w:r>
      <w:r w:rsidRPr="00A113E6">
        <w:rPr>
          <w:rFonts w:ascii="Arial" w:hAnsi="Arial" w:cs="Arial"/>
          <w:sz w:val="22"/>
          <w:szCs w:val="22"/>
          <w:lang w:val="en-US"/>
        </w:rPr>
        <w:t xml:space="preserve"> values are indicated in corresponding figure legends.</w:t>
      </w:r>
    </w:p>
    <w:p w:rsidR="008260F2" w:rsidRDefault="008260F2" w:rsidP="008260F2">
      <w:pPr>
        <w:spacing w:line="480" w:lineRule="auto"/>
        <w:jc w:val="both"/>
      </w:pPr>
    </w:p>
    <w:sectPr w:rsidR="008260F2" w:rsidSect="005A637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026" w:rsidRDefault="00F24026" w:rsidP="00F24026">
      <w:r>
        <w:separator/>
      </w:r>
    </w:p>
  </w:endnote>
  <w:endnote w:type="continuationSeparator" w:id="0">
    <w:p w:rsidR="00F24026" w:rsidRDefault="00F24026" w:rsidP="00F24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</w:rPr>
      <w:id w:val="641905894"/>
      <w:docPartObj>
        <w:docPartGallery w:val="Page Numbers (Bottom of Page)"/>
        <w:docPartUnique/>
      </w:docPartObj>
    </w:sdtPr>
    <w:sdtContent>
      <w:p w:rsidR="00F24026" w:rsidRPr="00F24026" w:rsidRDefault="00F24026">
        <w:pPr>
          <w:pStyle w:val="Footer"/>
          <w:jc w:val="right"/>
          <w:rPr>
            <w:rFonts w:ascii="Arial" w:hAnsi="Arial" w:cs="Arial"/>
            <w:sz w:val="20"/>
          </w:rPr>
        </w:pPr>
        <w:r w:rsidRPr="00F24026">
          <w:rPr>
            <w:rFonts w:ascii="Arial" w:hAnsi="Arial" w:cs="Arial"/>
            <w:sz w:val="20"/>
          </w:rPr>
          <w:fldChar w:fldCharType="begin"/>
        </w:r>
        <w:r w:rsidRPr="00F24026">
          <w:rPr>
            <w:rFonts w:ascii="Arial" w:hAnsi="Arial" w:cs="Arial"/>
            <w:sz w:val="20"/>
          </w:rPr>
          <w:instrText xml:space="preserve"> PAGE   \* MERGEFORMAT </w:instrText>
        </w:r>
        <w:r w:rsidRPr="00F24026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F24026">
          <w:rPr>
            <w:rFonts w:ascii="Arial" w:hAnsi="Arial" w:cs="Arial"/>
            <w:sz w:val="20"/>
          </w:rPr>
          <w:fldChar w:fldCharType="end"/>
        </w:r>
      </w:p>
    </w:sdtContent>
  </w:sdt>
  <w:p w:rsidR="00F24026" w:rsidRDefault="00F240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026" w:rsidRDefault="00F24026" w:rsidP="00F24026">
      <w:r>
        <w:separator/>
      </w:r>
    </w:p>
  </w:footnote>
  <w:footnote w:type="continuationSeparator" w:id="0">
    <w:p w:rsidR="00F24026" w:rsidRDefault="00F24026" w:rsidP="00F24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26" w:rsidRPr="00F24026" w:rsidRDefault="00F24026" w:rsidP="00F24026">
    <w:pPr>
      <w:pStyle w:val="Header"/>
      <w:jc w:val="right"/>
      <w:rPr>
        <w:rFonts w:ascii="Arial" w:hAnsi="Arial" w:cs="Arial"/>
        <w:sz w:val="20"/>
        <w:lang w:val="en-AU"/>
      </w:rPr>
    </w:pPr>
    <w:r w:rsidRPr="00F24026">
      <w:rPr>
        <w:rFonts w:ascii="Arial" w:hAnsi="Arial" w:cs="Arial"/>
        <w:sz w:val="20"/>
        <w:lang w:val="en-AU"/>
      </w:rPr>
      <w:t>GARTLAN ET AL.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F2"/>
    <w:rsid w:val="0046189D"/>
    <w:rsid w:val="005A6372"/>
    <w:rsid w:val="008260F2"/>
    <w:rsid w:val="00D97A19"/>
    <w:rsid w:val="00F2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0F2"/>
    <w:pPr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4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026"/>
    <w:rPr>
      <w:rFonts w:ascii="Cambria" w:eastAsia="Cambria" w:hAnsi="Cambria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4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026"/>
    <w:rPr>
      <w:rFonts w:ascii="Cambria" w:eastAsia="Cambria" w:hAnsi="Cambria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Institute of Medical Research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Gartlan</dc:creator>
  <cp:lastModifiedBy>Kate Gartlan</cp:lastModifiedBy>
  <cp:revision>2</cp:revision>
  <dcterms:created xsi:type="dcterms:W3CDTF">2015-08-13T08:07:00Z</dcterms:created>
  <dcterms:modified xsi:type="dcterms:W3CDTF">2015-08-13T10:52:00Z</dcterms:modified>
</cp:coreProperties>
</file>