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FF56F" w14:textId="77777777" w:rsidR="007308CE" w:rsidRDefault="007308CE" w:rsidP="007308CE">
      <w:r>
        <w:t>Supplemental Table 1</w:t>
      </w:r>
    </w:p>
    <w:tbl>
      <w:tblPr>
        <w:tblStyle w:val="HelleSchattierung"/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99"/>
        <w:gridCol w:w="1201"/>
        <w:gridCol w:w="1201"/>
        <w:gridCol w:w="1201"/>
        <w:gridCol w:w="1199"/>
        <w:gridCol w:w="1201"/>
      </w:tblGrid>
      <w:tr w:rsidR="007308CE" w:rsidRPr="000A531D" w14:paraId="0EE474B7" w14:textId="77777777" w:rsidTr="00871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FC77EF7" w14:textId="77777777" w:rsidR="007308CE" w:rsidRPr="006120C4" w:rsidRDefault="007308CE" w:rsidP="008710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5E82D3" w14:textId="77777777" w:rsidR="007308CE" w:rsidRPr="006120C4" w:rsidRDefault="007308CE" w:rsidP="0087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AQP4-IgG+</w:t>
            </w:r>
          </w:p>
        </w:tc>
        <w:tc>
          <w:tcPr>
            <w:tcW w:w="240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CDC23B" w14:textId="77777777" w:rsidR="007308CE" w:rsidRPr="006120C4" w:rsidRDefault="007308CE" w:rsidP="0087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MOG-IgG+</w:t>
            </w:r>
          </w:p>
        </w:tc>
        <w:tc>
          <w:tcPr>
            <w:tcW w:w="24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A1025C" w14:textId="77777777" w:rsidR="007308CE" w:rsidRPr="006120C4" w:rsidRDefault="007308CE" w:rsidP="008710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MS</w:t>
            </w:r>
          </w:p>
        </w:tc>
      </w:tr>
      <w:tr w:rsidR="007308CE" w:rsidRPr="000A531D" w14:paraId="38072781" w14:textId="77777777" w:rsidTr="0087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5E5C88" w14:textId="77777777" w:rsidR="007308CE" w:rsidRDefault="007308CE" w:rsidP="008710E3">
            <w:pPr>
              <w:rPr>
                <w:b w:val="0"/>
                <w:bCs w:val="0"/>
                <w:sz w:val="14"/>
                <w:szCs w:val="14"/>
                <w:vertAlign w:val="superscript"/>
              </w:rPr>
            </w:pPr>
            <w:r w:rsidRPr="006120C4">
              <w:rPr>
                <w:sz w:val="14"/>
                <w:szCs w:val="14"/>
              </w:rPr>
              <w:t>pRNFL</w:t>
            </w:r>
          </w:p>
          <w:p w14:paraId="5810B541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[µm]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067587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D779A2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3622188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AD248B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5F9C92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067018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</w:tr>
      <w:tr w:rsidR="007308CE" w:rsidRPr="000A531D" w14:paraId="31753DC5" w14:textId="77777777" w:rsidTr="008710E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vAlign w:val="center"/>
          </w:tcPr>
          <w:p w14:paraId="05835117" w14:textId="77777777" w:rsidR="007308CE" w:rsidRDefault="007308CE" w:rsidP="008710E3">
            <w:pPr>
              <w:rPr>
                <w:b w:val="0"/>
                <w:bCs w:val="0"/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 xml:space="preserve">HCVA </w:t>
            </w:r>
          </w:p>
          <w:p w14:paraId="19CA8EF0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[logMAR]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ADA4DC7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-0.0</w:t>
            </w:r>
            <w:r>
              <w:rPr>
                <w:sz w:val="14"/>
                <w:szCs w:val="14"/>
              </w:rPr>
              <w:t>01</w:t>
            </w:r>
            <w:r w:rsidRPr="006120C4">
              <w:rPr>
                <w:sz w:val="14"/>
                <w:szCs w:val="14"/>
              </w:rPr>
              <w:t xml:space="preserve"> (0.00</w:t>
            </w:r>
            <w:r>
              <w:rPr>
                <w:sz w:val="14"/>
                <w:szCs w:val="14"/>
              </w:rPr>
              <w:t>3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E694CB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0.75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E73737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>1</w:t>
            </w:r>
            <w:r w:rsidRPr="006120C4">
              <w:rPr>
                <w:sz w:val="14"/>
                <w:szCs w:val="14"/>
              </w:rPr>
              <w:t xml:space="preserve"> (0.003)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3E2268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0.31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BAB923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-0.002 (0.002)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C5D46E3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0.33</w:t>
            </w:r>
          </w:p>
        </w:tc>
      </w:tr>
      <w:tr w:rsidR="007308CE" w:rsidRPr="000A531D" w14:paraId="52E85003" w14:textId="77777777" w:rsidTr="0087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CF7718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LCVA [logMAR]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718CD54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-0.0</w:t>
            </w:r>
            <w:r>
              <w:rPr>
                <w:sz w:val="14"/>
                <w:szCs w:val="14"/>
              </w:rPr>
              <w:t>06</w:t>
            </w:r>
            <w:r w:rsidRPr="006120C4">
              <w:rPr>
                <w:sz w:val="14"/>
                <w:szCs w:val="14"/>
              </w:rPr>
              <w:t xml:space="preserve"> (0.00</w:t>
            </w:r>
            <w:r>
              <w:rPr>
                <w:sz w:val="14"/>
                <w:szCs w:val="14"/>
              </w:rPr>
              <w:t>4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89E1DC" w14:textId="77777777" w:rsidR="007308CE" w:rsidRPr="006D716E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0.09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AAA6AA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0.003</w:t>
            </w:r>
            <w:r w:rsidRPr="006120C4">
              <w:rPr>
                <w:sz w:val="14"/>
                <w:szCs w:val="14"/>
              </w:rPr>
              <w:t xml:space="preserve"> (0.00</w:t>
            </w:r>
            <w:r>
              <w:rPr>
                <w:sz w:val="14"/>
                <w:szCs w:val="14"/>
              </w:rPr>
              <w:t>5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C89769" w14:textId="77777777" w:rsidR="007308CE" w:rsidRPr="006D716E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0.53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654DD7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-0.004 (0.002)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6821DF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0.05</w:t>
            </w:r>
          </w:p>
        </w:tc>
      </w:tr>
      <w:tr w:rsidR="007308CE" w:rsidRPr="000A531D" w14:paraId="510BC651" w14:textId="77777777" w:rsidTr="008710E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vAlign w:val="center"/>
          </w:tcPr>
          <w:p w14:paraId="3552616D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MD [dB]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06060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061</w:t>
            </w:r>
            <w:r w:rsidRPr="006120C4">
              <w:rPr>
                <w:sz w:val="14"/>
                <w:szCs w:val="14"/>
              </w:rPr>
              <w:t xml:space="preserve"> (0.0</w:t>
            </w:r>
            <w:r>
              <w:rPr>
                <w:sz w:val="14"/>
                <w:szCs w:val="14"/>
              </w:rPr>
              <w:t>49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2E0B2E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0.21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F6FC86A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038</w:t>
            </w:r>
            <w:r w:rsidRPr="006120C4">
              <w:rPr>
                <w:sz w:val="14"/>
                <w:szCs w:val="14"/>
              </w:rPr>
              <w:t xml:space="preserve"> (0.0</w:t>
            </w:r>
            <w:r>
              <w:rPr>
                <w:sz w:val="14"/>
                <w:szCs w:val="14"/>
              </w:rPr>
              <w:t>31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E686925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0.23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69673BA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0.006 (0.024)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E284C2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</w:t>
            </w:r>
          </w:p>
        </w:tc>
      </w:tr>
      <w:tr w:rsidR="007308CE" w:rsidRPr="000A531D" w14:paraId="3104B398" w14:textId="77777777" w:rsidTr="0087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C3E1F9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GCIP</w:t>
            </w:r>
            <w:r w:rsidRPr="006120C4">
              <w:rPr>
                <w:sz w:val="14"/>
                <w:szCs w:val="14"/>
              </w:rPr>
              <w:t>[µm]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C0F16A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FA2ED2" w14:textId="77777777" w:rsidR="007308CE" w:rsidRPr="00B80592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E31AC9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876B76" w14:textId="77777777" w:rsidR="007308CE" w:rsidRPr="00B80592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324A8E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632EBD" w14:textId="77777777" w:rsidR="007308CE" w:rsidRPr="00D456E1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</w:tr>
      <w:tr w:rsidR="007308CE" w:rsidRPr="000A531D" w14:paraId="0C8F497D" w14:textId="77777777" w:rsidTr="008710E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vAlign w:val="center"/>
          </w:tcPr>
          <w:p w14:paraId="1C6AAB22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HCVA [logMAR]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33F3D2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-0.0</w:t>
            </w:r>
            <w:r>
              <w:rPr>
                <w:sz w:val="14"/>
                <w:szCs w:val="14"/>
              </w:rPr>
              <w:t>02</w:t>
            </w:r>
            <w:r w:rsidRPr="006120C4">
              <w:rPr>
                <w:sz w:val="14"/>
                <w:szCs w:val="14"/>
              </w:rPr>
              <w:t xml:space="preserve"> (0.0</w:t>
            </w:r>
            <w:r>
              <w:rPr>
                <w:sz w:val="14"/>
                <w:szCs w:val="14"/>
              </w:rPr>
              <w:t>12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1D892B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0.86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241434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0.008</w:t>
            </w:r>
            <w:r w:rsidRPr="006120C4">
              <w:rPr>
                <w:sz w:val="14"/>
                <w:szCs w:val="14"/>
              </w:rPr>
              <w:t xml:space="preserve"> (0.00</w:t>
            </w:r>
            <w:r>
              <w:rPr>
                <w:sz w:val="14"/>
                <w:szCs w:val="14"/>
              </w:rPr>
              <w:t>5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E280A13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0.15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117460F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0.003</w:t>
            </w:r>
            <w:r w:rsidRPr="006120C4">
              <w:rPr>
                <w:sz w:val="14"/>
                <w:szCs w:val="14"/>
              </w:rPr>
              <w:t xml:space="preserve"> (0.00</w:t>
            </w:r>
            <w:r>
              <w:rPr>
                <w:sz w:val="14"/>
                <w:szCs w:val="14"/>
              </w:rPr>
              <w:t>5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E7680C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0.60</w:t>
            </w:r>
          </w:p>
        </w:tc>
      </w:tr>
      <w:tr w:rsidR="007308CE" w:rsidRPr="000A531D" w14:paraId="7C8B8477" w14:textId="77777777" w:rsidTr="008710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002EB91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LCVA [logMAR]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B140B7E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02</w:t>
            </w:r>
            <w:r w:rsidRPr="006120C4">
              <w:rPr>
                <w:sz w:val="14"/>
                <w:szCs w:val="14"/>
              </w:rPr>
              <w:t xml:space="preserve"> (0.01</w:t>
            </w:r>
            <w:r>
              <w:rPr>
                <w:sz w:val="14"/>
                <w:szCs w:val="14"/>
              </w:rPr>
              <w:t>3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09B752" w14:textId="77777777" w:rsidR="007308CE" w:rsidRPr="006D716E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0.86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CA7067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0.023</w:t>
            </w:r>
            <w:r w:rsidRPr="006120C4">
              <w:rPr>
                <w:sz w:val="14"/>
                <w:szCs w:val="14"/>
              </w:rPr>
              <w:t xml:space="preserve"> (0.01</w:t>
            </w:r>
            <w:r>
              <w:rPr>
                <w:sz w:val="14"/>
                <w:szCs w:val="14"/>
              </w:rPr>
              <w:t>7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46C7F5" w14:textId="77777777" w:rsidR="007308CE" w:rsidRPr="006D716E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0.20</w:t>
            </w:r>
          </w:p>
        </w:tc>
        <w:tc>
          <w:tcPr>
            <w:tcW w:w="119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71BFBF" w14:textId="77777777" w:rsidR="007308CE" w:rsidRPr="006120C4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-0.0</w:t>
            </w:r>
            <w:r>
              <w:rPr>
                <w:sz w:val="14"/>
                <w:szCs w:val="14"/>
              </w:rPr>
              <w:t>04</w:t>
            </w:r>
            <w:r w:rsidRPr="006120C4">
              <w:rPr>
                <w:sz w:val="14"/>
                <w:szCs w:val="14"/>
              </w:rPr>
              <w:t xml:space="preserve"> (0.0</w:t>
            </w:r>
            <w:r>
              <w:rPr>
                <w:sz w:val="14"/>
                <w:szCs w:val="14"/>
              </w:rPr>
              <w:t>06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D5CFA3" w14:textId="77777777" w:rsidR="007308CE" w:rsidRPr="006D716E" w:rsidRDefault="007308CE" w:rsidP="008710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0.56</w:t>
            </w:r>
          </w:p>
        </w:tc>
      </w:tr>
      <w:tr w:rsidR="007308CE" w:rsidRPr="000A531D" w14:paraId="4724BD27" w14:textId="77777777" w:rsidTr="008710E3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vAlign w:val="center"/>
          </w:tcPr>
          <w:p w14:paraId="0F65CAC9" w14:textId="77777777" w:rsidR="007308CE" w:rsidRPr="006120C4" w:rsidRDefault="007308CE" w:rsidP="008710E3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MD [dB]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2136BE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069</w:t>
            </w:r>
            <w:r w:rsidRPr="006120C4">
              <w:rPr>
                <w:sz w:val="14"/>
                <w:szCs w:val="14"/>
              </w:rPr>
              <w:t xml:space="preserve"> (0.</w:t>
            </w:r>
            <w:r>
              <w:rPr>
                <w:sz w:val="14"/>
                <w:szCs w:val="14"/>
              </w:rPr>
              <w:t>211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83DF9EE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0.75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CA9F050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059</w:t>
            </w:r>
            <w:r w:rsidRPr="006120C4">
              <w:rPr>
                <w:sz w:val="14"/>
                <w:szCs w:val="14"/>
              </w:rPr>
              <w:t xml:space="preserve"> (0.1</w:t>
            </w:r>
            <w:r>
              <w:rPr>
                <w:sz w:val="14"/>
                <w:szCs w:val="14"/>
              </w:rPr>
              <w:t>57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E74E029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0.71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4C88074" w14:textId="77777777" w:rsidR="007308CE" w:rsidRPr="006120C4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-0.042</w:t>
            </w:r>
            <w:r w:rsidRPr="006120C4">
              <w:rPr>
                <w:sz w:val="14"/>
                <w:szCs w:val="14"/>
              </w:rPr>
              <w:t xml:space="preserve"> (0.</w:t>
            </w:r>
            <w:r>
              <w:rPr>
                <w:sz w:val="14"/>
                <w:szCs w:val="14"/>
              </w:rPr>
              <w:t>081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F4A9D8" w14:textId="77777777" w:rsidR="007308CE" w:rsidRPr="006D716E" w:rsidRDefault="007308CE" w:rsidP="00871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0.61</w:t>
            </w:r>
          </w:p>
        </w:tc>
      </w:tr>
    </w:tbl>
    <w:p w14:paraId="67795A68" w14:textId="77777777" w:rsidR="007308CE" w:rsidRPr="006120C4" w:rsidRDefault="007308CE" w:rsidP="007308CE">
      <w:pPr>
        <w:rPr>
          <w:sz w:val="20"/>
          <w:szCs w:val="20"/>
        </w:rPr>
      </w:pPr>
      <w:r w:rsidRPr="006120C4">
        <w:rPr>
          <w:sz w:val="20"/>
          <w:szCs w:val="20"/>
        </w:rPr>
        <w:t xml:space="preserve">Association between different measures of visual function and pRNFL- and GCIP-thickness respectively in a mixed linear spline model of NMOSD, MOGAD and MS eyes all values are only from the sloped part of the spline for </w:t>
      </w:r>
      <w:r>
        <w:rPr>
          <w:sz w:val="20"/>
          <w:szCs w:val="20"/>
        </w:rPr>
        <w:t xml:space="preserve">pRNFL and GCIP </w:t>
      </w:r>
      <w:r w:rsidRPr="006120C4">
        <w:rPr>
          <w:sz w:val="20"/>
          <w:szCs w:val="20"/>
        </w:rPr>
        <w:t xml:space="preserve">thickness values </w:t>
      </w:r>
      <w:r>
        <w:rPr>
          <w:sz w:val="20"/>
          <w:szCs w:val="20"/>
        </w:rPr>
        <w:t>higher</w:t>
      </w:r>
      <w:r w:rsidRPr="006120C4">
        <w:rPr>
          <w:sz w:val="20"/>
          <w:szCs w:val="20"/>
        </w:rPr>
        <w:t xml:space="preserve"> than 60µm respectively</w:t>
      </w:r>
      <w:r>
        <w:rPr>
          <w:sz w:val="20"/>
          <w:szCs w:val="20"/>
        </w:rPr>
        <w:t xml:space="preserve"> (Figure 2)</w:t>
      </w:r>
      <w:r w:rsidRPr="006120C4">
        <w:rPr>
          <w:sz w:val="20"/>
          <w:szCs w:val="20"/>
        </w:rPr>
        <w:t>. AQP4-IgG+: Aquaporin-4</w:t>
      </w:r>
      <w:r>
        <w:rPr>
          <w:sz w:val="20"/>
          <w:szCs w:val="20"/>
        </w:rPr>
        <w:t xml:space="preserve"> antibody positive NMOSD</w:t>
      </w:r>
      <w:r w:rsidRPr="006120C4">
        <w:rPr>
          <w:sz w:val="20"/>
          <w:szCs w:val="20"/>
        </w:rPr>
        <w:t>; MOG-IgG+: Myelin-Oligodendrocyte-Glycoprotein</w:t>
      </w:r>
      <w:r>
        <w:rPr>
          <w:sz w:val="20"/>
          <w:szCs w:val="20"/>
        </w:rPr>
        <w:t xml:space="preserve"> associated disorder</w:t>
      </w:r>
      <w:r w:rsidRPr="006120C4">
        <w:rPr>
          <w:sz w:val="20"/>
          <w:szCs w:val="20"/>
        </w:rPr>
        <w:t>; MS: Multiple Sclerosis; SE: Standard error; HCVA: High contrast visual acuity; LCVA: Low contrast visual acuity; MD: mean deviation; pRNFL: peripapillary retinal nerve fiber layer; GCIP: combined ganglion cell and inner plexiform layer</w:t>
      </w:r>
    </w:p>
    <w:p w14:paraId="358E2E6F" w14:textId="77777777" w:rsidR="00F63B6E" w:rsidRDefault="00B27AFE">
      <w:r>
        <w:t>Supplemental Table 2</w:t>
      </w:r>
    </w:p>
    <w:tbl>
      <w:tblPr>
        <w:tblStyle w:val="HelleSchattierung"/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672"/>
        <w:gridCol w:w="1675"/>
        <w:gridCol w:w="1675"/>
        <w:gridCol w:w="1675"/>
      </w:tblGrid>
      <w:tr w:rsidR="00B27AFE" w:rsidRPr="006120C4" w14:paraId="61B4969A" w14:textId="77777777" w:rsidTr="00B27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982C52" w14:textId="77777777" w:rsidR="00B27AFE" w:rsidRPr="006120C4" w:rsidRDefault="00B27AFE" w:rsidP="001F60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E91105" w14:textId="77777777" w:rsidR="00B27AFE" w:rsidRPr="006120C4" w:rsidRDefault="00B27AFE" w:rsidP="001F6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AQP4-IgG+</w:t>
            </w:r>
          </w:p>
        </w:tc>
        <w:tc>
          <w:tcPr>
            <w:tcW w:w="33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3EAE61" w14:textId="77777777" w:rsidR="00B27AFE" w:rsidRPr="006120C4" w:rsidRDefault="00B27AFE" w:rsidP="001F60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MOG-IgG+</w:t>
            </w:r>
          </w:p>
        </w:tc>
      </w:tr>
      <w:tr w:rsidR="00B27AFE" w:rsidRPr="00D456E1" w14:paraId="29F89D96" w14:textId="77777777" w:rsidTr="00B27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8028A34" w14:textId="77777777" w:rsidR="00B27AFE" w:rsidRDefault="00B27AFE" w:rsidP="001F6004">
            <w:pPr>
              <w:rPr>
                <w:b w:val="0"/>
                <w:bCs w:val="0"/>
                <w:sz w:val="14"/>
                <w:szCs w:val="14"/>
                <w:vertAlign w:val="superscript"/>
              </w:rPr>
            </w:pPr>
            <w:r>
              <w:rPr>
                <w:sz w:val="14"/>
                <w:szCs w:val="14"/>
              </w:rPr>
              <w:t>Inner rim volume</w:t>
            </w:r>
          </w:p>
          <w:p w14:paraId="447CDB2F" w14:textId="77777777" w:rsidR="00B27AFE" w:rsidRPr="006120C4" w:rsidRDefault="00B27AFE" w:rsidP="001F6004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[</w:t>
            </w:r>
            <w:r>
              <w:rPr>
                <w:sz w:val="14"/>
                <w:szCs w:val="14"/>
              </w:rPr>
              <w:t>mm³</w:t>
            </w:r>
            <w:r w:rsidRPr="006120C4">
              <w:rPr>
                <w:sz w:val="14"/>
                <w:szCs w:val="14"/>
              </w:rPr>
              <w:t>]</w:t>
            </w:r>
          </w:p>
        </w:tc>
        <w:tc>
          <w:tcPr>
            <w:tcW w:w="1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F1824E" w14:textId="77777777" w:rsidR="00B27AFE" w:rsidRPr="00D456E1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2090D9" w14:textId="77777777" w:rsidR="00B27AFE" w:rsidRPr="00D456E1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61BC9C" w14:textId="77777777" w:rsidR="00B27AFE" w:rsidRPr="00D456E1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D456E1">
              <w:rPr>
                <w:b/>
                <w:bCs/>
                <w:sz w:val="14"/>
                <w:szCs w:val="14"/>
              </w:rPr>
              <w:t>Beta (SE)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8D761B" w14:textId="77777777" w:rsidR="00B27AFE" w:rsidRPr="00D456E1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p-value</w:t>
            </w:r>
          </w:p>
        </w:tc>
      </w:tr>
      <w:tr w:rsidR="00B27AFE" w:rsidRPr="006D716E" w14:paraId="73E3B8F9" w14:textId="77777777" w:rsidTr="00B27AFE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auto"/>
            <w:vAlign w:val="center"/>
          </w:tcPr>
          <w:p w14:paraId="41C24AAD" w14:textId="77777777" w:rsidR="00B27AFE" w:rsidRDefault="00B27AFE" w:rsidP="001F6004">
            <w:pPr>
              <w:rPr>
                <w:b w:val="0"/>
                <w:bCs w:val="0"/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 xml:space="preserve">HCVA </w:t>
            </w:r>
          </w:p>
          <w:p w14:paraId="55B797C0" w14:textId="77777777" w:rsidR="00B27AFE" w:rsidRPr="006120C4" w:rsidRDefault="00B27AFE" w:rsidP="001F6004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[logMAR]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4596D5" w14:textId="77777777" w:rsidR="00B27AFE" w:rsidRPr="006120C4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12.27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6.11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BB873C6" w14:textId="77777777" w:rsidR="00B27AFE" w:rsidRPr="006D716E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051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3E3949" w14:textId="77777777" w:rsidR="00B27AFE" w:rsidRPr="006120C4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-1.95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5.66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42894DE" w14:textId="77777777" w:rsidR="00B27AFE" w:rsidRPr="006D716E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74</w:t>
            </w:r>
          </w:p>
        </w:tc>
      </w:tr>
      <w:tr w:rsidR="00B27AFE" w:rsidRPr="006D716E" w14:paraId="4F93DD51" w14:textId="77777777" w:rsidTr="00B27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3C2EBC" w14:textId="77777777" w:rsidR="00B27AFE" w:rsidRPr="006120C4" w:rsidRDefault="00B27AFE" w:rsidP="001F6004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LCVA [logMAR]</w:t>
            </w:r>
          </w:p>
        </w:tc>
        <w:tc>
          <w:tcPr>
            <w:tcW w:w="1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D98297" w14:textId="77777777" w:rsidR="00B27AFE" w:rsidRPr="006120C4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20.70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7.82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73BFB7" w14:textId="77777777" w:rsidR="00B27AFE" w:rsidRPr="00B27AFE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B27AFE">
              <w:rPr>
                <w:b/>
                <w:bCs/>
                <w:sz w:val="14"/>
                <w:szCs w:val="14"/>
              </w:rPr>
              <w:t>0.01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8E8654" w14:textId="77777777" w:rsidR="00B27AFE" w:rsidRPr="006120C4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13.62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19.69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C41CDC" w14:textId="77777777" w:rsidR="00B27AFE" w:rsidRPr="006D716E" w:rsidRDefault="00B27AFE" w:rsidP="001F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0.5</w:t>
            </w:r>
            <w:r>
              <w:rPr>
                <w:sz w:val="14"/>
                <w:szCs w:val="14"/>
              </w:rPr>
              <w:t>1</w:t>
            </w:r>
          </w:p>
        </w:tc>
      </w:tr>
      <w:tr w:rsidR="00B27AFE" w:rsidRPr="006D716E" w14:paraId="3BAB3D69" w14:textId="77777777" w:rsidTr="00B27AFE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auto"/>
            <w:vAlign w:val="center"/>
          </w:tcPr>
          <w:p w14:paraId="769E4B82" w14:textId="77777777" w:rsidR="00B27AFE" w:rsidRPr="006120C4" w:rsidRDefault="00B27AFE" w:rsidP="001F6004">
            <w:pPr>
              <w:rPr>
                <w:sz w:val="14"/>
                <w:szCs w:val="14"/>
              </w:rPr>
            </w:pPr>
            <w:r w:rsidRPr="006120C4">
              <w:rPr>
                <w:sz w:val="14"/>
                <w:szCs w:val="14"/>
              </w:rPr>
              <w:t>MD [dB]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C3A753" w14:textId="77777777" w:rsidR="00B27AFE" w:rsidRPr="006120C4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242.03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116.47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9F6E09D" w14:textId="77777777" w:rsidR="00B27AFE" w:rsidRPr="00B27AFE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  <w:r w:rsidRPr="00B27AFE">
              <w:rPr>
                <w:b/>
                <w:bCs/>
                <w:sz w:val="14"/>
                <w:szCs w:val="14"/>
              </w:rPr>
              <w:t>0.04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13A91F" w14:textId="77777777" w:rsidR="00B27AFE" w:rsidRPr="006120C4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-222.41</w:t>
            </w:r>
            <w:r w:rsidRPr="006120C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129.41</w:t>
            </w:r>
            <w:r w:rsidRPr="006120C4">
              <w:rPr>
                <w:sz w:val="14"/>
                <w:szCs w:val="14"/>
              </w:rPr>
              <w:t>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04BEC0B" w14:textId="77777777" w:rsidR="00B27AFE" w:rsidRPr="006D716E" w:rsidRDefault="00B27AFE" w:rsidP="001F60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716E">
              <w:rPr>
                <w:sz w:val="14"/>
                <w:szCs w:val="14"/>
              </w:rPr>
              <w:t>0.</w:t>
            </w:r>
            <w:r>
              <w:rPr>
                <w:sz w:val="14"/>
                <w:szCs w:val="14"/>
              </w:rPr>
              <w:t>1</w:t>
            </w:r>
            <w:r w:rsidRPr="006D716E">
              <w:rPr>
                <w:sz w:val="14"/>
                <w:szCs w:val="14"/>
              </w:rPr>
              <w:t>3</w:t>
            </w:r>
          </w:p>
        </w:tc>
      </w:tr>
    </w:tbl>
    <w:p w14:paraId="335FAFB3" w14:textId="77777777" w:rsidR="00B27AFE" w:rsidRPr="006120C4" w:rsidRDefault="00B27AFE" w:rsidP="00B27AFE">
      <w:pPr>
        <w:rPr>
          <w:sz w:val="20"/>
          <w:szCs w:val="20"/>
        </w:rPr>
      </w:pPr>
      <w:r w:rsidRPr="006120C4">
        <w:rPr>
          <w:sz w:val="20"/>
          <w:szCs w:val="20"/>
        </w:rPr>
        <w:t xml:space="preserve">Association between different measures of visual function and </w:t>
      </w:r>
      <w:r>
        <w:rPr>
          <w:sz w:val="20"/>
          <w:szCs w:val="20"/>
        </w:rPr>
        <w:t>inner rim volume</w:t>
      </w:r>
      <w:r w:rsidRPr="006120C4">
        <w:rPr>
          <w:sz w:val="20"/>
          <w:szCs w:val="20"/>
        </w:rPr>
        <w:t xml:space="preserve"> in a mixed linear spline model of </w:t>
      </w:r>
      <w:r>
        <w:rPr>
          <w:sz w:val="20"/>
          <w:szCs w:val="20"/>
        </w:rPr>
        <w:t xml:space="preserve">only female eyes of the </w:t>
      </w:r>
      <w:r w:rsidRPr="006120C4">
        <w:rPr>
          <w:sz w:val="20"/>
          <w:szCs w:val="20"/>
        </w:rPr>
        <w:t>NMOSD</w:t>
      </w:r>
      <w:r>
        <w:rPr>
          <w:sz w:val="20"/>
          <w:szCs w:val="20"/>
        </w:rPr>
        <w:t>- and</w:t>
      </w:r>
      <w:r w:rsidRPr="006120C4">
        <w:rPr>
          <w:sz w:val="20"/>
          <w:szCs w:val="20"/>
        </w:rPr>
        <w:t xml:space="preserve"> MOGAD</w:t>
      </w:r>
      <w:r>
        <w:rPr>
          <w:sz w:val="20"/>
          <w:szCs w:val="20"/>
        </w:rPr>
        <w:t>-group. A</w:t>
      </w:r>
      <w:r w:rsidRPr="006120C4">
        <w:rPr>
          <w:sz w:val="20"/>
          <w:szCs w:val="20"/>
        </w:rPr>
        <w:t xml:space="preserve">ll values are only from the sloped part of the spline for </w:t>
      </w:r>
      <w:r>
        <w:rPr>
          <w:sz w:val="20"/>
          <w:szCs w:val="20"/>
        </w:rPr>
        <w:t>inner rim volume</w:t>
      </w:r>
      <w:r w:rsidRPr="006120C4">
        <w:rPr>
          <w:sz w:val="20"/>
          <w:szCs w:val="20"/>
        </w:rPr>
        <w:t xml:space="preserve"> values </w:t>
      </w:r>
      <w:r>
        <w:rPr>
          <w:sz w:val="20"/>
          <w:szCs w:val="20"/>
        </w:rPr>
        <w:t>lower</w:t>
      </w:r>
      <w:r w:rsidRPr="006120C4">
        <w:rPr>
          <w:sz w:val="20"/>
          <w:szCs w:val="20"/>
        </w:rPr>
        <w:t xml:space="preserve"> than </w:t>
      </w:r>
      <w:r>
        <w:rPr>
          <w:sz w:val="20"/>
          <w:szCs w:val="20"/>
        </w:rPr>
        <w:t>0.1</w:t>
      </w:r>
      <w:r w:rsidRPr="006120C4">
        <w:rPr>
          <w:sz w:val="20"/>
          <w:szCs w:val="20"/>
        </w:rPr>
        <w:t>m</w:t>
      </w:r>
      <w:r>
        <w:rPr>
          <w:sz w:val="20"/>
          <w:szCs w:val="20"/>
        </w:rPr>
        <w:t>m³</w:t>
      </w:r>
      <w:r w:rsidRPr="006120C4">
        <w:rPr>
          <w:sz w:val="20"/>
          <w:szCs w:val="20"/>
        </w:rPr>
        <w:t>. AQP4-IgG+: Aquaporin-4</w:t>
      </w:r>
      <w:r>
        <w:rPr>
          <w:sz w:val="20"/>
          <w:szCs w:val="20"/>
        </w:rPr>
        <w:t xml:space="preserve"> antibody positive NMOSD</w:t>
      </w:r>
      <w:r w:rsidRPr="006120C4">
        <w:rPr>
          <w:sz w:val="20"/>
          <w:szCs w:val="20"/>
        </w:rPr>
        <w:t>; MOG-IgG+: Myelin-Oligodendrocyte-Glycoprotein</w:t>
      </w:r>
      <w:r>
        <w:rPr>
          <w:sz w:val="20"/>
          <w:szCs w:val="20"/>
        </w:rPr>
        <w:t xml:space="preserve"> associated disorder</w:t>
      </w:r>
      <w:r w:rsidRPr="006120C4">
        <w:rPr>
          <w:sz w:val="20"/>
          <w:szCs w:val="20"/>
        </w:rPr>
        <w:t xml:space="preserve">; MS: </w:t>
      </w:r>
      <w:r w:rsidRPr="006120C4">
        <w:rPr>
          <w:sz w:val="20"/>
          <w:szCs w:val="20"/>
        </w:rPr>
        <w:lastRenderedPageBreak/>
        <w:t>Multiple Sclerosis; SE: Standard error; HCVA: High contrast visual acuity; LCVA: Low contrast visual acuity; MD: mean deviation</w:t>
      </w:r>
    </w:p>
    <w:p w14:paraId="78E43599" w14:textId="77777777" w:rsidR="00B27AFE" w:rsidRDefault="00E85761">
      <w:r>
        <w:t>Supplemental Figure 1</w:t>
      </w:r>
    </w:p>
    <w:p w14:paraId="65E92B09" w14:textId="77777777" w:rsidR="00E85761" w:rsidRDefault="00E85761">
      <w:r>
        <w:rPr>
          <w:noProof/>
          <w:lang w:val="de-DE" w:eastAsia="de-DE"/>
        </w:rPr>
        <w:drawing>
          <wp:inline distT="0" distB="0" distL="0" distR="0" wp14:anchorId="4551ED47" wp14:editId="73089F8C">
            <wp:extent cx="5760720" cy="431863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1N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ED3C" w14:textId="77777777" w:rsidR="00E85761" w:rsidRPr="00A96A2D" w:rsidRDefault="00E85761" w:rsidP="00E85761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6120C4">
        <w:rPr>
          <w:sz w:val="20"/>
          <w:szCs w:val="20"/>
        </w:rPr>
        <w:t>High contrast visual acuity b) Low contrast visual acuity c) mean deviation of visual fields and d) inner rim volume of the fovea</w:t>
      </w:r>
      <w:bookmarkStart w:id="0" w:name="_GoBack"/>
      <w:bookmarkEnd w:id="0"/>
      <w:r>
        <w:rPr>
          <w:sz w:val="20"/>
          <w:szCs w:val="20"/>
        </w:rPr>
        <w:t xml:space="preserve"> of eyes without history of ON</w:t>
      </w:r>
      <w:r w:rsidRPr="006120C4">
        <w:rPr>
          <w:sz w:val="20"/>
          <w:szCs w:val="20"/>
        </w:rPr>
        <w:t xml:space="preserve"> AQP4-IgG: Aquaporin-4 IgG seropositive patients; MOG-IgG: Myelin-Oligodendrocyte-Glycoprotein seropositive patients; MS: Multiple Sclerosis; HCVA: High contrast visual acuity; </w:t>
      </w:r>
      <w:r>
        <w:rPr>
          <w:sz w:val="20"/>
          <w:szCs w:val="20"/>
        </w:rPr>
        <w:t xml:space="preserve">LCVA: Low contrast visual acuity; </w:t>
      </w:r>
      <w:r w:rsidRPr="006120C4">
        <w:rPr>
          <w:sz w:val="20"/>
          <w:szCs w:val="20"/>
        </w:rPr>
        <w:t>logMAR: Logarithm of minimum angle of resolution; MD: mean deviation</w:t>
      </w:r>
      <w:r>
        <w:rPr>
          <w:sz w:val="20"/>
          <w:szCs w:val="20"/>
        </w:rPr>
        <w:t>;</w:t>
      </w:r>
      <w:r w:rsidRPr="006120C4">
        <w:rPr>
          <w:sz w:val="20"/>
          <w:szCs w:val="20"/>
        </w:rPr>
        <w:t xml:space="preserve"> </w:t>
      </w:r>
      <w:r w:rsidRPr="00A96A2D">
        <w:rPr>
          <w:sz w:val="20"/>
          <w:szCs w:val="20"/>
        </w:rPr>
        <w:t>p-values from Mann-Whitney-U Test (ns: p &gt; 0.05; *: p &lt; 0.05; **: p &lt; 0.01; ***: p &lt; 0.001; ****: p &lt; 0.0001)</w:t>
      </w:r>
    </w:p>
    <w:p w14:paraId="4CADDF07" w14:textId="77777777" w:rsidR="00E85761" w:rsidRDefault="00E85761"/>
    <w:sectPr w:rsidR="00E85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846C72" w16cid:durableId="24A7CBAD"/>
  <w16cid:commentId w16cid:paraId="4F411752" w16cid:durableId="253D0621"/>
  <w16cid:commentId w16cid:paraId="0F2890B0" w16cid:durableId="257C34FA"/>
  <w16cid:commentId w16cid:paraId="224378FF" w16cid:durableId="257C40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F5C"/>
    <w:multiLevelType w:val="hybridMultilevel"/>
    <w:tmpl w:val="D3481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CE"/>
    <w:rsid w:val="00003688"/>
    <w:rsid w:val="0000561E"/>
    <w:rsid w:val="0001025E"/>
    <w:rsid w:val="000110D9"/>
    <w:rsid w:val="00012DAB"/>
    <w:rsid w:val="00013FD6"/>
    <w:rsid w:val="00014F23"/>
    <w:rsid w:val="000228D4"/>
    <w:rsid w:val="000248A2"/>
    <w:rsid w:val="000306B8"/>
    <w:rsid w:val="00034BC7"/>
    <w:rsid w:val="000350BE"/>
    <w:rsid w:val="000464FB"/>
    <w:rsid w:val="00047FC7"/>
    <w:rsid w:val="00053FE0"/>
    <w:rsid w:val="00057A68"/>
    <w:rsid w:val="00057B78"/>
    <w:rsid w:val="000619DB"/>
    <w:rsid w:val="00065322"/>
    <w:rsid w:val="00066131"/>
    <w:rsid w:val="00066A50"/>
    <w:rsid w:val="00072602"/>
    <w:rsid w:val="000726CC"/>
    <w:rsid w:val="00080446"/>
    <w:rsid w:val="00086357"/>
    <w:rsid w:val="000957A8"/>
    <w:rsid w:val="00095D57"/>
    <w:rsid w:val="000B1971"/>
    <w:rsid w:val="000C1D37"/>
    <w:rsid w:val="000C70E1"/>
    <w:rsid w:val="000D19C1"/>
    <w:rsid w:val="000D31C0"/>
    <w:rsid w:val="000D4A5D"/>
    <w:rsid w:val="000E0472"/>
    <w:rsid w:val="000E3617"/>
    <w:rsid w:val="000E469A"/>
    <w:rsid w:val="000F1812"/>
    <w:rsid w:val="00101383"/>
    <w:rsid w:val="001041E4"/>
    <w:rsid w:val="00104BED"/>
    <w:rsid w:val="00105591"/>
    <w:rsid w:val="00106914"/>
    <w:rsid w:val="00107C20"/>
    <w:rsid w:val="00110303"/>
    <w:rsid w:val="001113F9"/>
    <w:rsid w:val="00114653"/>
    <w:rsid w:val="001148D1"/>
    <w:rsid w:val="00117803"/>
    <w:rsid w:val="00120320"/>
    <w:rsid w:val="00126395"/>
    <w:rsid w:val="00127364"/>
    <w:rsid w:val="00127458"/>
    <w:rsid w:val="00127A0C"/>
    <w:rsid w:val="0013165B"/>
    <w:rsid w:val="00140A95"/>
    <w:rsid w:val="0014398E"/>
    <w:rsid w:val="0015093F"/>
    <w:rsid w:val="00152480"/>
    <w:rsid w:val="00163A6D"/>
    <w:rsid w:val="00163EED"/>
    <w:rsid w:val="001708D5"/>
    <w:rsid w:val="00174CEC"/>
    <w:rsid w:val="00175561"/>
    <w:rsid w:val="00187BE5"/>
    <w:rsid w:val="00191601"/>
    <w:rsid w:val="00191F31"/>
    <w:rsid w:val="001956E6"/>
    <w:rsid w:val="00195E25"/>
    <w:rsid w:val="001974E7"/>
    <w:rsid w:val="00197EE0"/>
    <w:rsid w:val="001A1C70"/>
    <w:rsid w:val="001A25B6"/>
    <w:rsid w:val="001A29E8"/>
    <w:rsid w:val="001A5942"/>
    <w:rsid w:val="001A664A"/>
    <w:rsid w:val="001C1840"/>
    <w:rsid w:val="001C290F"/>
    <w:rsid w:val="001D1FA6"/>
    <w:rsid w:val="001D2551"/>
    <w:rsid w:val="001D262B"/>
    <w:rsid w:val="001D3F0B"/>
    <w:rsid w:val="001D729E"/>
    <w:rsid w:val="001D7F18"/>
    <w:rsid w:val="001E2CC8"/>
    <w:rsid w:val="001E7BE2"/>
    <w:rsid w:val="001F39CA"/>
    <w:rsid w:val="001F45D8"/>
    <w:rsid w:val="001F4C72"/>
    <w:rsid w:val="001F654F"/>
    <w:rsid w:val="002042B6"/>
    <w:rsid w:val="002127A0"/>
    <w:rsid w:val="002135B8"/>
    <w:rsid w:val="0021485B"/>
    <w:rsid w:val="002161B9"/>
    <w:rsid w:val="002178F7"/>
    <w:rsid w:val="00226A81"/>
    <w:rsid w:val="00233D7A"/>
    <w:rsid w:val="00242D12"/>
    <w:rsid w:val="00244C7A"/>
    <w:rsid w:val="002523B1"/>
    <w:rsid w:val="002533CD"/>
    <w:rsid w:val="00253E04"/>
    <w:rsid w:val="00260F99"/>
    <w:rsid w:val="00261D6C"/>
    <w:rsid w:val="002620AF"/>
    <w:rsid w:val="002627A9"/>
    <w:rsid w:val="00266232"/>
    <w:rsid w:val="00267D6D"/>
    <w:rsid w:val="00271F6E"/>
    <w:rsid w:val="00277DC1"/>
    <w:rsid w:val="00287EC0"/>
    <w:rsid w:val="002A088D"/>
    <w:rsid w:val="002A0DDC"/>
    <w:rsid w:val="002A2864"/>
    <w:rsid w:val="002A2C69"/>
    <w:rsid w:val="002A30E0"/>
    <w:rsid w:val="002A7350"/>
    <w:rsid w:val="002C1B0B"/>
    <w:rsid w:val="002C418C"/>
    <w:rsid w:val="002E12A5"/>
    <w:rsid w:val="002E414F"/>
    <w:rsid w:val="002E6CFE"/>
    <w:rsid w:val="002E72EB"/>
    <w:rsid w:val="002E74EB"/>
    <w:rsid w:val="002F15FE"/>
    <w:rsid w:val="002F2D06"/>
    <w:rsid w:val="002F32E3"/>
    <w:rsid w:val="002F45B9"/>
    <w:rsid w:val="002F5F68"/>
    <w:rsid w:val="002F7687"/>
    <w:rsid w:val="003021CB"/>
    <w:rsid w:val="00303E8E"/>
    <w:rsid w:val="00305466"/>
    <w:rsid w:val="00305A75"/>
    <w:rsid w:val="00306AD6"/>
    <w:rsid w:val="00311A14"/>
    <w:rsid w:val="00317ED2"/>
    <w:rsid w:val="00321B71"/>
    <w:rsid w:val="003304DB"/>
    <w:rsid w:val="00332022"/>
    <w:rsid w:val="00334DB1"/>
    <w:rsid w:val="0033630B"/>
    <w:rsid w:val="0034314B"/>
    <w:rsid w:val="00343CAB"/>
    <w:rsid w:val="00357524"/>
    <w:rsid w:val="00365B30"/>
    <w:rsid w:val="00373494"/>
    <w:rsid w:val="0038775F"/>
    <w:rsid w:val="003927DD"/>
    <w:rsid w:val="00394340"/>
    <w:rsid w:val="003969B4"/>
    <w:rsid w:val="003B21A6"/>
    <w:rsid w:val="003B2CE4"/>
    <w:rsid w:val="003B3CAB"/>
    <w:rsid w:val="003B5305"/>
    <w:rsid w:val="003B65B0"/>
    <w:rsid w:val="003B71F1"/>
    <w:rsid w:val="003B7E63"/>
    <w:rsid w:val="003C7C70"/>
    <w:rsid w:val="003D52F4"/>
    <w:rsid w:val="003D5B81"/>
    <w:rsid w:val="003E2927"/>
    <w:rsid w:val="003E46BB"/>
    <w:rsid w:val="003E5846"/>
    <w:rsid w:val="003F3FC1"/>
    <w:rsid w:val="003F68A3"/>
    <w:rsid w:val="00402C37"/>
    <w:rsid w:val="00404A43"/>
    <w:rsid w:val="00405DEC"/>
    <w:rsid w:val="004074FF"/>
    <w:rsid w:val="00410DF8"/>
    <w:rsid w:val="00411BA1"/>
    <w:rsid w:val="00415659"/>
    <w:rsid w:val="00417DB7"/>
    <w:rsid w:val="00424363"/>
    <w:rsid w:val="0042544A"/>
    <w:rsid w:val="00427E83"/>
    <w:rsid w:val="00430BFC"/>
    <w:rsid w:val="00434362"/>
    <w:rsid w:val="00434BF3"/>
    <w:rsid w:val="0043697B"/>
    <w:rsid w:val="00436BC2"/>
    <w:rsid w:val="004371ED"/>
    <w:rsid w:val="00440279"/>
    <w:rsid w:val="0044202E"/>
    <w:rsid w:val="00443620"/>
    <w:rsid w:val="0044368F"/>
    <w:rsid w:val="00450D9E"/>
    <w:rsid w:val="004526A7"/>
    <w:rsid w:val="004526AA"/>
    <w:rsid w:val="00455176"/>
    <w:rsid w:val="00461305"/>
    <w:rsid w:val="004623FB"/>
    <w:rsid w:val="00483CB5"/>
    <w:rsid w:val="00484549"/>
    <w:rsid w:val="00485567"/>
    <w:rsid w:val="00491E9D"/>
    <w:rsid w:val="0049270A"/>
    <w:rsid w:val="00495972"/>
    <w:rsid w:val="00497A5F"/>
    <w:rsid w:val="004B0926"/>
    <w:rsid w:val="004B7C21"/>
    <w:rsid w:val="004C7309"/>
    <w:rsid w:val="004D271A"/>
    <w:rsid w:val="004D321B"/>
    <w:rsid w:val="004E1679"/>
    <w:rsid w:val="004F39C1"/>
    <w:rsid w:val="004F6917"/>
    <w:rsid w:val="00501D47"/>
    <w:rsid w:val="00506ACC"/>
    <w:rsid w:val="00510B19"/>
    <w:rsid w:val="00517EB4"/>
    <w:rsid w:val="00522773"/>
    <w:rsid w:val="005235B3"/>
    <w:rsid w:val="00524F90"/>
    <w:rsid w:val="00532AEC"/>
    <w:rsid w:val="005420A5"/>
    <w:rsid w:val="00543FD8"/>
    <w:rsid w:val="00551069"/>
    <w:rsid w:val="005511C8"/>
    <w:rsid w:val="0055284F"/>
    <w:rsid w:val="00560505"/>
    <w:rsid w:val="005669A0"/>
    <w:rsid w:val="00567B83"/>
    <w:rsid w:val="0057174A"/>
    <w:rsid w:val="00575EFB"/>
    <w:rsid w:val="00575FD9"/>
    <w:rsid w:val="00583CF4"/>
    <w:rsid w:val="00586FA5"/>
    <w:rsid w:val="00587D8C"/>
    <w:rsid w:val="00596047"/>
    <w:rsid w:val="00597B65"/>
    <w:rsid w:val="005A0900"/>
    <w:rsid w:val="005A2D0E"/>
    <w:rsid w:val="005A3404"/>
    <w:rsid w:val="005A4705"/>
    <w:rsid w:val="005A5464"/>
    <w:rsid w:val="005B1211"/>
    <w:rsid w:val="005B29F0"/>
    <w:rsid w:val="005B4339"/>
    <w:rsid w:val="005B4CFC"/>
    <w:rsid w:val="005C354B"/>
    <w:rsid w:val="005C3C8A"/>
    <w:rsid w:val="005D02DB"/>
    <w:rsid w:val="005D62A6"/>
    <w:rsid w:val="005D6A74"/>
    <w:rsid w:val="005D7B0D"/>
    <w:rsid w:val="005E0ED3"/>
    <w:rsid w:val="005E1654"/>
    <w:rsid w:val="005F1238"/>
    <w:rsid w:val="005F159D"/>
    <w:rsid w:val="005F247C"/>
    <w:rsid w:val="005F3D8E"/>
    <w:rsid w:val="005F50A9"/>
    <w:rsid w:val="005F7EC0"/>
    <w:rsid w:val="00601ACA"/>
    <w:rsid w:val="00602FEA"/>
    <w:rsid w:val="00607981"/>
    <w:rsid w:val="00613372"/>
    <w:rsid w:val="006174AA"/>
    <w:rsid w:val="0062214D"/>
    <w:rsid w:val="00631814"/>
    <w:rsid w:val="006340C7"/>
    <w:rsid w:val="00640F50"/>
    <w:rsid w:val="00643FF2"/>
    <w:rsid w:val="00647DDF"/>
    <w:rsid w:val="00651BF9"/>
    <w:rsid w:val="00654DE5"/>
    <w:rsid w:val="006606D9"/>
    <w:rsid w:val="006631E4"/>
    <w:rsid w:val="00664592"/>
    <w:rsid w:val="0067212A"/>
    <w:rsid w:val="0067257C"/>
    <w:rsid w:val="0067370E"/>
    <w:rsid w:val="006767B6"/>
    <w:rsid w:val="00677088"/>
    <w:rsid w:val="00680E4A"/>
    <w:rsid w:val="006811C0"/>
    <w:rsid w:val="0068417B"/>
    <w:rsid w:val="0068489A"/>
    <w:rsid w:val="00685B74"/>
    <w:rsid w:val="00687E4F"/>
    <w:rsid w:val="00691A8A"/>
    <w:rsid w:val="00692E52"/>
    <w:rsid w:val="006930F8"/>
    <w:rsid w:val="00694C3B"/>
    <w:rsid w:val="00694C76"/>
    <w:rsid w:val="006A07C8"/>
    <w:rsid w:val="006A505E"/>
    <w:rsid w:val="006B2E85"/>
    <w:rsid w:val="006B62E8"/>
    <w:rsid w:val="006C2705"/>
    <w:rsid w:val="006D64B5"/>
    <w:rsid w:val="006D6F4D"/>
    <w:rsid w:val="006E3431"/>
    <w:rsid w:val="006E5825"/>
    <w:rsid w:val="006F00EB"/>
    <w:rsid w:val="0070534C"/>
    <w:rsid w:val="0070720C"/>
    <w:rsid w:val="00707806"/>
    <w:rsid w:val="00710D77"/>
    <w:rsid w:val="0072386C"/>
    <w:rsid w:val="00724D2B"/>
    <w:rsid w:val="007308CE"/>
    <w:rsid w:val="007355C3"/>
    <w:rsid w:val="00736BE4"/>
    <w:rsid w:val="007370AC"/>
    <w:rsid w:val="00742A25"/>
    <w:rsid w:val="00760209"/>
    <w:rsid w:val="00763437"/>
    <w:rsid w:val="00772772"/>
    <w:rsid w:val="00780339"/>
    <w:rsid w:val="00783434"/>
    <w:rsid w:val="00783BCB"/>
    <w:rsid w:val="00784C9D"/>
    <w:rsid w:val="00785438"/>
    <w:rsid w:val="00796825"/>
    <w:rsid w:val="007A2CB8"/>
    <w:rsid w:val="007A3032"/>
    <w:rsid w:val="007A35E7"/>
    <w:rsid w:val="007A7F49"/>
    <w:rsid w:val="007B0D59"/>
    <w:rsid w:val="007B7764"/>
    <w:rsid w:val="007B7F5F"/>
    <w:rsid w:val="007D48A8"/>
    <w:rsid w:val="007D6065"/>
    <w:rsid w:val="007D71DE"/>
    <w:rsid w:val="007E4821"/>
    <w:rsid w:val="007E6D79"/>
    <w:rsid w:val="007F13D9"/>
    <w:rsid w:val="007F1DD9"/>
    <w:rsid w:val="007F3C69"/>
    <w:rsid w:val="0080465F"/>
    <w:rsid w:val="008063EE"/>
    <w:rsid w:val="00817124"/>
    <w:rsid w:val="008215BC"/>
    <w:rsid w:val="00823E90"/>
    <w:rsid w:val="008241C5"/>
    <w:rsid w:val="00824DA3"/>
    <w:rsid w:val="00833EC5"/>
    <w:rsid w:val="00834287"/>
    <w:rsid w:val="008571E9"/>
    <w:rsid w:val="008608B3"/>
    <w:rsid w:val="008640E6"/>
    <w:rsid w:val="008644CB"/>
    <w:rsid w:val="00874ADC"/>
    <w:rsid w:val="00874E59"/>
    <w:rsid w:val="00875001"/>
    <w:rsid w:val="00875FAA"/>
    <w:rsid w:val="008778A0"/>
    <w:rsid w:val="00883FA9"/>
    <w:rsid w:val="00887473"/>
    <w:rsid w:val="0089083A"/>
    <w:rsid w:val="008A0FB1"/>
    <w:rsid w:val="008A52AF"/>
    <w:rsid w:val="008B0B9A"/>
    <w:rsid w:val="008B64AE"/>
    <w:rsid w:val="008C2E22"/>
    <w:rsid w:val="008C465A"/>
    <w:rsid w:val="008C5BBF"/>
    <w:rsid w:val="008D78EB"/>
    <w:rsid w:val="008E6064"/>
    <w:rsid w:val="008E7B20"/>
    <w:rsid w:val="008F1B39"/>
    <w:rsid w:val="00901AFC"/>
    <w:rsid w:val="0090371D"/>
    <w:rsid w:val="009078B7"/>
    <w:rsid w:val="009106B0"/>
    <w:rsid w:val="00911C88"/>
    <w:rsid w:val="0091378A"/>
    <w:rsid w:val="00920F9E"/>
    <w:rsid w:val="00922033"/>
    <w:rsid w:val="009247E0"/>
    <w:rsid w:val="0092754A"/>
    <w:rsid w:val="00927B25"/>
    <w:rsid w:val="009434B3"/>
    <w:rsid w:val="009446AB"/>
    <w:rsid w:val="00946697"/>
    <w:rsid w:val="00951377"/>
    <w:rsid w:val="00953D24"/>
    <w:rsid w:val="00954F06"/>
    <w:rsid w:val="009560A0"/>
    <w:rsid w:val="0095753B"/>
    <w:rsid w:val="009631AE"/>
    <w:rsid w:val="00964E97"/>
    <w:rsid w:val="0097175D"/>
    <w:rsid w:val="009761A2"/>
    <w:rsid w:val="00986871"/>
    <w:rsid w:val="009959B6"/>
    <w:rsid w:val="009970DE"/>
    <w:rsid w:val="009A2745"/>
    <w:rsid w:val="009A2AA7"/>
    <w:rsid w:val="009A4435"/>
    <w:rsid w:val="009A6644"/>
    <w:rsid w:val="009B01B1"/>
    <w:rsid w:val="009B5814"/>
    <w:rsid w:val="009C1164"/>
    <w:rsid w:val="009C45E6"/>
    <w:rsid w:val="009C5181"/>
    <w:rsid w:val="009C598B"/>
    <w:rsid w:val="009D4DAD"/>
    <w:rsid w:val="009E011A"/>
    <w:rsid w:val="009E129A"/>
    <w:rsid w:val="009E5D27"/>
    <w:rsid w:val="009F1C6E"/>
    <w:rsid w:val="009F6B20"/>
    <w:rsid w:val="009F7DC9"/>
    <w:rsid w:val="00A02263"/>
    <w:rsid w:val="00A046B7"/>
    <w:rsid w:val="00A14B1B"/>
    <w:rsid w:val="00A15352"/>
    <w:rsid w:val="00A16163"/>
    <w:rsid w:val="00A16460"/>
    <w:rsid w:val="00A173D2"/>
    <w:rsid w:val="00A243A2"/>
    <w:rsid w:val="00A25C1A"/>
    <w:rsid w:val="00A40CA3"/>
    <w:rsid w:val="00A40DAB"/>
    <w:rsid w:val="00A429F6"/>
    <w:rsid w:val="00A45676"/>
    <w:rsid w:val="00A46E00"/>
    <w:rsid w:val="00A479FC"/>
    <w:rsid w:val="00A50F81"/>
    <w:rsid w:val="00A64F4A"/>
    <w:rsid w:val="00A75BD7"/>
    <w:rsid w:val="00A75FA9"/>
    <w:rsid w:val="00A81A92"/>
    <w:rsid w:val="00A84B14"/>
    <w:rsid w:val="00A8674D"/>
    <w:rsid w:val="00A87880"/>
    <w:rsid w:val="00A902A1"/>
    <w:rsid w:val="00A93082"/>
    <w:rsid w:val="00A943B0"/>
    <w:rsid w:val="00A977D5"/>
    <w:rsid w:val="00AA0BD8"/>
    <w:rsid w:val="00AA0D86"/>
    <w:rsid w:val="00AA1BB3"/>
    <w:rsid w:val="00AA7A3F"/>
    <w:rsid w:val="00AA7C9C"/>
    <w:rsid w:val="00AB6F83"/>
    <w:rsid w:val="00AC50CF"/>
    <w:rsid w:val="00AC5792"/>
    <w:rsid w:val="00AC603B"/>
    <w:rsid w:val="00AD059B"/>
    <w:rsid w:val="00AD6EDE"/>
    <w:rsid w:val="00AD727D"/>
    <w:rsid w:val="00AE183C"/>
    <w:rsid w:val="00AE276F"/>
    <w:rsid w:val="00AE4C2C"/>
    <w:rsid w:val="00AE5020"/>
    <w:rsid w:val="00AE58F3"/>
    <w:rsid w:val="00AF0396"/>
    <w:rsid w:val="00B01A20"/>
    <w:rsid w:val="00B024B0"/>
    <w:rsid w:val="00B04978"/>
    <w:rsid w:val="00B11AEB"/>
    <w:rsid w:val="00B1303B"/>
    <w:rsid w:val="00B13C66"/>
    <w:rsid w:val="00B22C66"/>
    <w:rsid w:val="00B2457D"/>
    <w:rsid w:val="00B26D2B"/>
    <w:rsid w:val="00B27AFE"/>
    <w:rsid w:val="00B3621A"/>
    <w:rsid w:val="00B36459"/>
    <w:rsid w:val="00B403B4"/>
    <w:rsid w:val="00B40D41"/>
    <w:rsid w:val="00B45665"/>
    <w:rsid w:val="00B51433"/>
    <w:rsid w:val="00B51F8E"/>
    <w:rsid w:val="00B54A9F"/>
    <w:rsid w:val="00B5795D"/>
    <w:rsid w:val="00B62588"/>
    <w:rsid w:val="00B634E4"/>
    <w:rsid w:val="00B64821"/>
    <w:rsid w:val="00B7448D"/>
    <w:rsid w:val="00B76033"/>
    <w:rsid w:val="00B762B3"/>
    <w:rsid w:val="00B8036C"/>
    <w:rsid w:val="00B85BC5"/>
    <w:rsid w:val="00B97741"/>
    <w:rsid w:val="00BA2C64"/>
    <w:rsid w:val="00BA40B8"/>
    <w:rsid w:val="00BA5993"/>
    <w:rsid w:val="00BA6461"/>
    <w:rsid w:val="00BA7E43"/>
    <w:rsid w:val="00BB1416"/>
    <w:rsid w:val="00BB2FD0"/>
    <w:rsid w:val="00BB3E5C"/>
    <w:rsid w:val="00BB50C3"/>
    <w:rsid w:val="00BB53DD"/>
    <w:rsid w:val="00BC0416"/>
    <w:rsid w:val="00BC359C"/>
    <w:rsid w:val="00BC5E84"/>
    <w:rsid w:val="00BC6FCE"/>
    <w:rsid w:val="00BC7026"/>
    <w:rsid w:val="00BD1319"/>
    <w:rsid w:val="00BD5150"/>
    <w:rsid w:val="00BD5C45"/>
    <w:rsid w:val="00BD68AD"/>
    <w:rsid w:val="00BE761F"/>
    <w:rsid w:val="00C018A4"/>
    <w:rsid w:val="00C02051"/>
    <w:rsid w:val="00C03D50"/>
    <w:rsid w:val="00C11942"/>
    <w:rsid w:val="00C1336A"/>
    <w:rsid w:val="00C13857"/>
    <w:rsid w:val="00C1570F"/>
    <w:rsid w:val="00C15A67"/>
    <w:rsid w:val="00C172CB"/>
    <w:rsid w:val="00C2239F"/>
    <w:rsid w:val="00C242CF"/>
    <w:rsid w:val="00C26570"/>
    <w:rsid w:val="00C271E6"/>
    <w:rsid w:val="00C27997"/>
    <w:rsid w:val="00C41529"/>
    <w:rsid w:val="00C43A49"/>
    <w:rsid w:val="00C45C43"/>
    <w:rsid w:val="00C4713E"/>
    <w:rsid w:val="00C563B8"/>
    <w:rsid w:val="00C63B5B"/>
    <w:rsid w:val="00C64162"/>
    <w:rsid w:val="00C66A40"/>
    <w:rsid w:val="00C72C74"/>
    <w:rsid w:val="00C74514"/>
    <w:rsid w:val="00C823E2"/>
    <w:rsid w:val="00C82DA2"/>
    <w:rsid w:val="00C83976"/>
    <w:rsid w:val="00C906B2"/>
    <w:rsid w:val="00C93BD2"/>
    <w:rsid w:val="00C93E9D"/>
    <w:rsid w:val="00CA1BD6"/>
    <w:rsid w:val="00CA5856"/>
    <w:rsid w:val="00CB1ED5"/>
    <w:rsid w:val="00CB4A84"/>
    <w:rsid w:val="00CB6EA8"/>
    <w:rsid w:val="00CC0E51"/>
    <w:rsid w:val="00CC158F"/>
    <w:rsid w:val="00CC28F7"/>
    <w:rsid w:val="00CC2981"/>
    <w:rsid w:val="00CC4A4D"/>
    <w:rsid w:val="00CD2B23"/>
    <w:rsid w:val="00CD57AB"/>
    <w:rsid w:val="00CE122C"/>
    <w:rsid w:val="00CE14BC"/>
    <w:rsid w:val="00CE27DB"/>
    <w:rsid w:val="00CE4380"/>
    <w:rsid w:val="00CE70E1"/>
    <w:rsid w:val="00CF308A"/>
    <w:rsid w:val="00CF4F66"/>
    <w:rsid w:val="00CF54B0"/>
    <w:rsid w:val="00D01F8C"/>
    <w:rsid w:val="00D04DAF"/>
    <w:rsid w:val="00D23345"/>
    <w:rsid w:val="00D269C6"/>
    <w:rsid w:val="00D30CDC"/>
    <w:rsid w:val="00D322DD"/>
    <w:rsid w:val="00D3458D"/>
    <w:rsid w:val="00D3730C"/>
    <w:rsid w:val="00D41A0A"/>
    <w:rsid w:val="00D43247"/>
    <w:rsid w:val="00D4568B"/>
    <w:rsid w:val="00D457FB"/>
    <w:rsid w:val="00D50F17"/>
    <w:rsid w:val="00D52509"/>
    <w:rsid w:val="00D5490D"/>
    <w:rsid w:val="00D65DE7"/>
    <w:rsid w:val="00D667A1"/>
    <w:rsid w:val="00D7216F"/>
    <w:rsid w:val="00D731FE"/>
    <w:rsid w:val="00D74BEE"/>
    <w:rsid w:val="00D777A0"/>
    <w:rsid w:val="00D8048F"/>
    <w:rsid w:val="00D80707"/>
    <w:rsid w:val="00D82853"/>
    <w:rsid w:val="00D8479B"/>
    <w:rsid w:val="00D86B17"/>
    <w:rsid w:val="00D9349B"/>
    <w:rsid w:val="00D937F3"/>
    <w:rsid w:val="00DA2BA0"/>
    <w:rsid w:val="00DA44AA"/>
    <w:rsid w:val="00DA52F1"/>
    <w:rsid w:val="00DA6972"/>
    <w:rsid w:val="00DA76F4"/>
    <w:rsid w:val="00DB14EE"/>
    <w:rsid w:val="00DB3180"/>
    <w:rsid w:val="00DB3A93"/>
    <w:rsid w:val="00DB60D8"/>
    <w:rsid w:val="00DC15E1"/>
    <w:rsid w:val="00DC7375"/>
    <w:rsid w:val="00DD20A3"/>
    <w:rsid w:val="00DD4108"/>
    <w:rsid w:val="00DE4CDB"/>
    <w:rsid w:val="00DE57FF"/>
    <w:rsid w:val="00DF7E5A"/>
    <w:rsid w:val="00E0270D"/>
    <w:rsid w:val="00E02A43"/>
    <w:rsid w:val="00E02BCD"/>
    <w:rsid w:val="00E056C0"/>
    <w:rsid w:val="00E118DF"/>
    <w:rsid w:val="00E14A6B"/>
    <w:rsid w:val="00E16C8E"/>
    <w:rsid w:val="00E20E4B"/>
    <w:rsid w:val="00E25714"/>
    <w:rsid w:val="00E368CE"/>
    <w:rsid w:val="00E37599"/>
    <w:rsid w:val="00E42D2C"/>
    <w:rsid w:val="00E4711B"/>
    <w:rsid w:val="00E52DEE"/>
    <w:rsid w:val="00E53288"/>
    <w:rsid w:val="00E536B2"/>
    <w:rsid w:val="00E5679A"/>
    <w:rsid w:val="00E5790C"/>
    <w:rsid w:val="00E61637"/>
    <w:rsid w:val="00E67468"/>
    <w:rsid w:val="00E742DA"/>
    <w:rsid w:val="00E74307"/>
    <w:rsid w:val="00E814F5"/>
    <w:rsid w:val="00E85616"/>
    <w:rsid w:val="00E85761"/>
    <w:rsid w:val="00E90959"/>
    <w:rsid w:val="00E92A50"/>
    <w:rsid w:val="00EA0729"/>
    <w:rsid w:val="00EA07F2"/>
    <w:rsid w:val="00EA5F35"/>
    <w:rsid w:val="00EB02F5"/>
    <w:rsid w:val="00EB5447"/>
    <w:rsid w:val="00EC3369"/>
    <w:rsid w:val="00ED0050"/>
    <w:rsid w:val="00ED3914"/>
    <w:rsid w:val="00ED39CF"/>
    <w:rsid w:val="00EE42AE"/>
    <w:rsid w:val="00EE4BCF"/>
    <w:rsid w:val="00EE4D92"/>
    <w:rsid w:val="00EE4FE6"/>
    <w:rsid w:val="00EE72AA"/>
    <w:rsid w:val="00EE7323"/>
    <w:rsid w:val="00EF0657"/>
    <w:rsid w:val="00F00228"/>
    <w:rsid w:val="00F01864"/>
    <w:rsid w:val="00F02CE8"/>
    <w:rsid w:val="00F06D4E"/>
    <w:rsid w:val="00F106F3"/>
    <w:rsid w:val="00F13E52"/>
    <w:rsid w:val="00F14C0F"/>
    <w:rsid w:val="00F2152F"/>
    <w:rsid w:val="00F22EDF"/>
    <w:rsid w:val="00F251E2"/>
    <w:rsid w:val="00F255D4"/>
    <w:rsid w:val="00F264E3"/>
    <w:rsid w:val="00F30B67"/>
    <w:rsid w:val="00F32709"/>
    <w:rsid w:val="00F33C0E"/>
    <w:rsid w:val="00F37A53"/>
    <w:rsid w:val="00F45DFC"/>
    <w:rsid w:val="00F47F22"/>
    <w:rsid w:val="00F50947"/>
    <w:rsid w:val="00F52758"/>
    <w:rsid w:val="00F53AE0"/>
    <w:rsid w:val="00F54A69"/>
    <w:rsid w:val="00F558B3"/>
    <w:rsid w:val="00F61169"/>
    <w:rsid w:val="00F63B6E"/>
    <w:rsid w:val="00F64D05"/>
    <w:rsid w:val="00F6557F"/>
    <w:rsid w:val="00F6602A"/>
    <w:rsid w:val="00F73CF6"/>
    <w:rsid w:val="00F81C03"/>
    <w:rsid w:val="00F83835"/>
    <w:rsid w:val="00F86635"/>
    <w:rsid w:val="00F90FD1"/>
    <w:rsid w:val="00F934EC"/>
    <w:rsid w:val="00F95461"/>
    <w:rsid w:val="00FA09C4"/>
    <w:rsid w:val="00FA3DD8"/>
    <w:rsid w:val="00FA414B"/>
    <w:rsid w:val="00FA5789"/>
    <w:rsid w:val="00FA5BF1"/>
    <w:rsid w:val="00FB56B5"/>
    <w:rsid w:val="00FC1031"/>
    <w:rsid w:val="00FC2400"/>
    <w:rsid w:val="00FC2B62"/>
    <w:rsid w:val="00FC3BA8"/>
    <w:rsid w:val="00FC7768"/>
    <w:rsid w:val="00FD0AF2"/>
    <w:rsid w:val="00FD2CF7"/>
    <w:rsid w:val="00FD6A41"/>
    <w:rsid w:val="00FE032D"/>
    <w:rsid w:val="00FE2C99"/>
    <w:rsid w:val="00FE35D2"/>
    <w:rsid w:val="00FE37D5"/>
    <w:rsid w:val="00FE4555"/>
    <w:rsid w:val="00FE6153"/>
    <w:rsid w:val="00FE7D1D"/>
    <w:rsid w:val="00FF5302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56DE"/>
  <w15:chartTrackingRefBased/>
  <w15:docId w15:val="{5023628F-7ACA-47AA-B10B-EBE389B3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8CE"/>
    <w:pPr>
      <w:spacing w:line="480" w:lineRule="auto"/>
    </w:pPr>
    <w:rPr>
      <w:rFonts w:ascii="Arial" w:hAnsi="Arial" w:cs="Arial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">
    <w:name w:val="Light Shading"/>
    <w:basedOn w:val="NormaleTabelle"/>
    <w:uiPriority w:val="60"/>
    <w:rsid w:val="007308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FE"/>
    <w:rPr>
      <w:rFonts w:ascii="Segoe UI" w:hAnsi="Segoe UI" w:cs="Segoe U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E857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857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57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5761"/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Gigengack, Norman</dc:creator>
  <cp:keywords/>
  <dc:description/>
  <cp:lastModifiedBy>Zimmermann, Hanna</cp:lastModifiedBy>
  <cp:revision>3</cp:revision>
  <dcterms:created xsi:type="dcterms:W3CDTF">2022-01-25T12:49:00Z</dcterms:created>
  <dcterms:modified xsi:type="dcterms:W3CDTF">2022-06-15T16:31:00Z</dcterms:modified>
</cp:coreProperties>
</file>