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8F3DD" w14:textId="5842EF81" w:rsidR="00F956B5" w:rsidRPr="006E5159" w:rsidRDefault="008F0691" w:rsidP="008F0691">
      <w:pPr>
        <w:spacing w:line="480" w:lineRule="auto"/>
        <w:rPr>
          <w:rFonts w:ascii="Times New Roman" w:hAnsi="Times New Roman" w:cs="Times New Roman"/>
          <w:lang w:val="en-GB"/>
        </w:rPr>
      </w:pPr>
      <w:r w:rsidRPr="006E5159">
        <w:rPr>
          <w:rFonts w:ascii="Times New Roman" w:hAnsi="Times New Roman" w:cs="Times New Roman"/>
          <w:lang w:val="en-GB"/>
        </w:rPr>
        <w:t>SUPPLEMENT</w:t>
      </w:r>
    </w:p>
    <w:bookmarkStart w:id="0" w:name="_MON_1717915910"/>
    <w:bookmarkEnd w:id="0"/>
    <w:p w14:paraId="1AEB03E1" w14:textId="4FA2D30C" w:rsidR="008F0691" w:rsidRPr="006E5159" w:rsidRDefault="006252A7">
      <w:pPr>
        <w:rPr>
          <w:lang w:val="en-GB"/>
        </w:rPr>
      </w:pPr>
      <w:r w:rsidRPr="00B30B35">
        <w:rPr>
          <w:noProof/>
          <w:lang w:val="en-GB"/>
        </w:rPr>
        <w:object w:dxaOrig="9353" w:dyaOrig="11648" w14:anchorId="5A1365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7pt;height:582.6pt;mso-width-percent:0;mso-height-percent:0;mso-width-percent:0;mso-height-percent:0" o:ole="">
            <v:imagedata r:id="rId4" o:title=""/>
          </v:shape>
          <o:OLEObject Type="Embed" ProgID="Word.Document.12" ShapeID="_x0000_i1025" DrawAspect="Content" ObjectID="_1726907061" r:id="rId5">
            <o:FieldCodes>\s</o:FieldCodes>
          </o:OLEObject>
        </w:object>
      </w:r>
    </w:p>
    <w:p w14:paraId="1016BA06" w14:textId="77777777" w:rsidR="00E52821" w:rsidRPr="006E5159" w:rsidRDefault="00E52821" w:rsidP="008F0691">
      <w:pPr>
        <w:pStyle w:val="Beschriftung"/>
        <w:rPr>
          <w:lang w:val="en-GB"/>
        </w:rPr>
        <w:sectPr w:rsidR="00E52821" w:rsidRPr="006E5159" w:rsidSect="00242488"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</w:p>
    <w:p w14:paraId="1A01AFD1" w14:textId="3F13975F" w:rsidR="006E5159" w:rsidRPr="00202638" w:rsidRDefault="006E5159" w:rsidP="00202638">
      <w:pPr>
        <w:pStyle w:val="Beschriftung"/>
        <w:keepNext/>
        <w:spacing w:line="360" w:lineRule="auto"/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</w:pPr>
      <w:r w:rsidRPr="00E550BA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en-GB"/>
        </w:rPr>
        <w:lastRenderedPageBreak/>
        <w:t xml:space="preserve">Table </w:t>
      </w:r>
      <w:r w:rsidR="009609A5" w:rsidRPr="00E550BA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en-GB"/>
        </w:rPr>
        <w:t>S</w:t>
      </w:r>
      <w:r w:rsidR="00EB497F" w:rsidRPr="00E550BA"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  <w:lang w:val="en-GB"/>
        </w:rPr>
        <w:t>2</w:t>
      </w:r>
      <w:r w:rsidRPr="0020263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  <w:t xml:space="preserve"> </w:t>
      </w:r>
      <w:r w:rsidR="009609A5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  <w:t>Annual percentage a</w:t>
      </w:r>
      <w:r w:rsidRPr="0020263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  <w:t xml:space="preserve">trophy rates for total brain, grey matter and white matter volumes calculated from </w:t>
      </w:r>
      <w:r w:rsidR="000661C7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  <w:t xml:space="preserve">separate </w:t>
      </w:r>
      <w:r w:rsidRPr="0020263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  <w:t xml:space="preserve">cross-sectional analysis (FSL-SIENAX) </w:t>
      </w:r>
      <w:r w:rsidR="000661C7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  <w:t xml:space="preserve">at two timepoints </w:t>
      </w:r>
      <w:r w:rsidR="004D75EA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  <w:t>compared between untreated patients and patients treated with interferon-beta during the first and the second years</w:t>
      </w:r>
      <w:r w:rsidR="00DE1812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  <w:t>.</w:t>
      </w:r>
      <w:r w:rsidR="004D75EA" w:rsidRPr="0020263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16" w:space="0" w:color="979797"/>
          <w:left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1185"/>
        <w:gridCol w:w="1078"/>
        <w:gridCol w:w="1097"/>
        <w:gridCol w:w="1078"/>
        <w:gridCol w:w="1097"/>
        <w:gridCol w:w="1078"/>
        <w:gridCol w:w="1097"/>
        <w:gridCol w:w="1078"/>
        <w:gridCol w:w="1097"/>
        <w:gridCol w:w="1078"/>
        <w:gridCol w:w="1151"/>
        <w:gridCol w:w="1078"/>
        <w:gridCol w:w="1097"/>
      </w:tblGrid>
      <w:tr w:rsidR="00CD4F7A" w:rsidRPr="00202638" w14:paraId="00378BD8" w14:textId="77777777" w:rsidTr="00CD4F7A">
        <w:tc>
          <w:tcPr>
            <w:tcW w:w="0" w:type="auto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100" w:type="nil"/>
              <w:left w:w="100" w:type="nil"/>
              <w:bottom w:w="120" w:type="nil"/>
              <w:right w:w="100" w:type="nil"/>
            </w:tcMar>
            <w:vAlign w:val="bottom"/>
          </w:tcPr>
          <w:p w14:paraId="52EB3E89" w14:textId="77777777" w:rsidR="00F57F2B" w:rsidRPr="00202638" w:rsidRDefault="00F57F2B" w:rsidP="00F57F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80" w:type="nil"/>
              <w:right w:w="80" w:type="nil"/>
            </w:tcMar>
            <w:vAlign w:val="center"/>
          </w:tcPr>
          <w:p w14:paraId="25CAFD1D" w14:textId="1688E523" w:rsidR="00F57F2B" w:rsidRPr="00202638" w:rsidRDefault="00F57F2B" w:rsidP="00F57F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18"/>
                <w:szCs w:val="18"/>
                <w:lang w:val="en-GB"/>
              </w:rPr>
            </w:pPr>
            <w:r w:rsidRPr="00202638">
              <w:rPr>
                <w:rFonts w:ascii="Times New Roman" w:hAnsi="Times New Roman" w:cs="Times New Roman"/>
                <w:b/>
                <w:bCs/>
                <w:color w:val="262626"/>
                <w:sz w:val="18"/>
                <w:szCs w:val="18"/>
                <w:lang w:val="en-GB"/>
              </w:rPr>
              <w:t>Total brain volume</w:t>
            </w:r>
          </w:p>
        </w:tc>
        <w:tc>
          <w:tcPr>
            <w:tcW w:w="0" w:type="auto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80" w:type="nil"/>
              <w:right w:w="80" w:type="nil"/>
            </w:tcMar>
            <w:vAlign w:val="center"/>
          </w:tcPr>
          <w:p w14:paraId="775D1839" w14:textId="134D2807" w:rsidR="00F57F2B" w:rsidRPr="00202638" w:rsidRDefault="00F57F2B" w:rsidP="00F57F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18"/>
                <w:szCs w:val="18"/>
                <w:lang w:val="en-GB"/>
              </w:rPr>
            </w:pPr>
            <w:r w:rsidRPr="00202638">
              <w:rPr>
                <w:rFonts w:ascii="Times New Roman" w:hAnsi="Times New Roman" w:cs="Times New Roman"/>
                <w:b/>
                <w:bCs/>
                <w:color w:val="262626"/>
                <w:sz w:val="18"/>
                <w:szCs w:val="18"/>
                <w:lang w:val="en-GB"/>
              </w:rPr>
              <w:t>Grey matter</w:t>
            </w:r>
          </w:p>
        </w:tc>
        <w:tc>
          <w:tcPr>
            <w:tcW w:w="0" w:type="auto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FFFFFF"/>
            <w:tcMar>
              <w:top w:w="80" w:type="nil"/>
              <w:right w:w="80" w:type="nil"/>
            </w:tcMar>
            <w:vAlign w:val="center"/>
          </w:tcPr>
          <w:p w14:paraId="497748FA" w14:textId="77777777" w:rsidR="00F57F2B" w:rsidRPr="00202638" w:rsidRDefault="00F57F2B" w:rsidP="00F57F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62626"/>
                <w:sz w:val="18"/>
                <w:szCs w:val="18"/>
                <w:lang w:val="en-GB"/>
              </w:rPr>
            </w:pPr>
            <w:r w:rsidRPr="00202638">
              <w:rPr>
                <w:rFonts w:ascii="Times New Roman" w:hAnsi="Times New Roman" w:cs="Times New Roman"/>
                <w:b/>
                <w:bCs/>
                <w:color w:val="262626"/>
                <w:sz w:val="18"/>
                <w:szCs w:val="18"/>
                <w:lang w:val="en-GB"/>
              </w:rPr>
              <w:t>White matter</w:t>
            </w:r>
          </w:p>
        </w:tc>
      </w:tr>
      <w:tr w:rsidR="00CD4F7A" w:rsidRPr="00202638" w14:paraId="3A7B7BE6" w14:textId="77777777" w:rsidTr="00CD4F7A">
        <w:tc>
          <w:tcPr>
            <w:tcW w:w="0" w:type="auto"/>
            <w:vMerge w:val="restar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100" w:type="nil"/>
              <w:left w:w="100" w:type="nil"/>
              <w:bottom w:w="120" w:type="nil"/>
              <w:right w:w="100" w:type="nil"/>
            </w:tcMar>
            <w:vAlign w:val="bottom"/>
          </w:tcPr>
          <w:p w14:paraId="6DFC9BF5" w14:textId="77777777" w:rsidR="00E52821" w:rsidRPr="00202638" w:rsidRDefault="00E52821" w:rsidP="008D7C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80" w:type="nil"/>
              <w:right w:w="80" w:type="nil"/>
            </w:tcMar>
            <w:vAlign w:val="center"/>
          </w:tcPr>
          <w:p w14:paraId="0EF7F294" w14:textId="77777777" w:rsidR="00E52821" w:rsidRPr="00202638" w:rsidRDefault="00E52821" w:rsidP="00E528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  <w:r w:rsidRPr="00202638">
              <w:rPr>
                <w:rFonts w:ascii="Times New Roman" w:hAnsi="Times New Roman" w:cs="Times New Roman"/>
                <w:b/>
                <w:bCs/>
                <w:color w:val="262626"/>
                <w:sz w:val="18"/>
                <w:szCs w:val="18"/>
                <w:lang w:val="en-GB"/>
              </w:rPr>
              <w:t>BL to FU1</w:t>
            </w:r>
          </w:p>
        </w:tc>
        <w:tc>
          <w:tcPr>
            <w:tcW w:w="0" w:type="auto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80" w:type="nil"/>
              <w:right w:w="80" w:type="nil"/>
            </w:tcMar>
            <w:vAlign w:val="center"/>
          </w:tcPr>
          <w:p w14:paraId="5921E145" w14:textId="77777777" w:rsidR="00E52821" w:rsidRPr="00202638" w:rsidRDefault="00E52821" w:rsidP="008D7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  <w:r w:rsidRPr="00202638">
              <w:rPr>
                <w:rFonts w:ascii="Times New Roman" w:hAnsi="Times New Roman" w:cs="Times New Roman"/>
                <w:b/>
                <w:bCs/>
                <w:color w:val="262626"/>
                <w:sz w:val="18"/>
                <w:szCs w:val="18"/>
                <w:lang w:val="en-GB"/>
              </w:rPr>
              <w:t>FU1 to FU2</w:t>
            </w:r>
          </w:p>
        </w:tc>
        <w:tc>
          <w:tcPr>
            <w:tcW w:w="0" w:type="auto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80" w:type="nil"/>
              <w:right w:w="80" w:type="nil"/>
            </w:tcMar>
            <w:vAlign w:val="center"/>
          </w:tcPr>
          <w:p w14:paraId="03CBF52D" w14:textId="77777777" w:rsidR="00E52821" w:rsidRPr="00202638" w:rsidRDefault="00E52821" w:rsidP="008D7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  <w:r w:rsidRPr="00202638">
              <w:rPr>
                <w:rFonts w:ascii="Times New Roman" w:hAnsi="Times New Roman" w:cs="Times New Roman"/>
                <w:b/>
                <w:bCs/>
                <w:color w:val="262626"/>
                <w:sz w:val="18"/>
                <w:szCs w:val="18"/>
                <w:lang w:val="en-GB"/>
              </w:rPr>
              <w:t>BL to FU1</w:t>
            </w:r>
          </w:p>
        </w:tc>
        <w:tc>
          <w:tcPr>
            <w:tcW w:w="0" w:type="auto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80" w:type="nil"/>
              <w:right w:w="80" w:type="nil"/>
            </w:tcMar>
            <w:vAlign w:val="center"/>
          </w:tcPr>
          <w:p w14:paraId="42898269" w14:textId="77777777" w:rsidR="00E52821" w:rsidRPr="00202638" w:rsidRDefault="00E52821" w:rsidP="008D7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  <w:r w:rsidRPr="00202638">
              <w:rPr>
                <w:rFonts w:ascii="Times New Roman" w:hAnsi="Times New Roman" w:cs="Times New Roman"/>
                <w:b/>
                <w:bCs/>
                <w:color w:val="262626"/>
                <w:sz w:val="18"/>
                <w:szCs w:val="18"/>
                <w:lang w:val="en-GB"/>
              </w:rPr>
              <w:t>FU1 to FU2</w:t>
            </w:r>
          </w:p>
        </w:tc>
        <w:tc>
          <w:tcPr>
            <w:tcW w:w="0" w:type="auto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80" w:type="nil"/>
              <w:right w:w="80" w:type="nil"/>
            </w:tcMar>
            <w:vAlign w:val="center"/>
          </w:tcPr>
          <w:p w14:paraId="305CBF6D" w14:textId="77777777" w:rsidR="00E52821" w:rsidRPr="00202638" w:rsidRDefault="00E52821" w:rsidP="008D7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  <w:r w:rsidRPr="00202638">
              <w:rPr>
                <w:rFonts w:ascii="Times New Roman" w:hAnsi="Times New Roman" w:cs="Times New Roman"/>
                <w:b/>
                <w:bCs/>
                <w:color w:val="262626"/>
                <w:sz w:val="18"/>
                <w:szCs w:val="18"/>
                <w:lang w:val="en-GB"/>
              </w:rPr>
              <w:t>BL to FU1</w:t>
            </w:r>
          </w:p>
        </w:tc>
        <w:tc>
          <w:tcPr>
            <w:tcW w:w="0" w:type="auto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FFFFFF"/>
            <w:tcMar>
              <w:top w:w="80" w:type="nil"/>
            </w:tcMar>
            <w:vAlign w:val="center"/>
          </w:tcPr>
          <w:p w14:paraId="712884CC" w14:textId="77777777" w:rsidR="00E52821" w:rsidRPr="00202638" w:rsidRDefault="00E52821" w:rsidP="008D7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  <w:r w:rsidRPr="00202638">
              <w:rPr>
                <w:rFonts w:ascii="Times New Roman" w:hAnsi="Times New Roman" w:cs="Times New Roman"/>
                <w:b/>
                <w:bCs/>
                <w:color w:val="262626"/>
                <w:sz w:val="18"/>
                <w:szCs w:val="18"/>
                <w:lang w:val="en-GB"/>
              </w:rPr>
              <w:t>FU1 to FU2</w:t>
            </w:r>
          </w:p>
        </w:tc>
      </w:tr>
      <w:tr w:rsidR="009609A5" w:rsidRPr="00202638" w14:paraId="4CC41580" w14:textId="77777777" w:rsidTr="00CD4F7A">
        <w:tblPrEx>
          <w:tblBorders>
            <w:top w:val="none" w:sz="0" w:space="0" w:color="auto"/>
          </w:tblBorders>
        </w:tblPrEx>
        <w:tc>
          <w:tcPr>
            <w:tcW w:w="0" w:type="auto"/>
            <w:vMerge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100" w:type="nil"/>
              <w:left w:w="100" w:type="nil"/>
              <w:bottom w:w="120" w:type="nil"/>
              <w:right w:w="100" w:type="nil"/>
            </w:tcMar>
            <w:vAlign w:val="bottom"/>
          </w:tcPr>
          <w:p w14:paraId="2E4CEEB6" w14:textId="77777777" w:rsidR="00E52821" w:rsidRPr="00202638" w:rsidRDefault="00E52821" w:rsidP="008D7C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100" w:type="nil"/>
              <w:left w:w="100" w:type="nil"/>
              <w:bottom w:w="120" w:type="nil"/>
              <w:right w:w="100" w:type="nil"/>
            </w:tcMar>
            <w:vAlign w:val="bottom"/>
          </w:tcPr>
          <w:p w14:paraId="586E92E2" w14:textId="77777777" w:rsidR="00E52821" w:rsidRPr="00202638" w:rsidRDefault="00E52821" w:rsidP="00CD4F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  <w:r w:rsidRPr="00202638"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t>no therapy</w:t>
            </w: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100" w:type="nil"/>
              <w:left w:w="100" w:type="nil"/>
              <w:bottom w:w="120" w:type="nil"/>
              <w:right w:w="100" w:type="nil"/>
            </w:tcMar>
            <w:vAlign w:val="bottom"/>
          </w:tcPr>
          <w:p w14:paraId="2505CEFB" w14:textId="77777777" w:rsidR="00E52821" w:rsidRPr="00202638" w:rsidRDefault="00E52821" w:rsidP="00CD4F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  <w:r w:rsidRPr="00202638"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t>Interferon</w:t>
            </w: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100" w:type="nil"/>
              <w:left w:w="100" w:type="nil"/>
              <w:bottom w:w="120" w:type="nil"/>
              <w:right w:w="100" w:type="nil"/>
            </w:tcMar>
            <w:vAlign w:val="bottom"/>
          </w:tcPr>
          <w:p w14:paraId="6AE235B8" w14:textId="77777777" w:rsidR="00E52821" w:rsidRPr="00202638" w:rsidRDefault="00E52821" w:rsidP="00CD4F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  <w:r w:rsidRPr="00202638"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t>no therapy</w:t>
            </w: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100" w:type="nil"/>
              <w:left w:w="100" w:type="nil"/>
              <w:bottom w:w="120" w:type="nil"/>
              <w:right w:w="100" w:type="nil"/>
            </w:tcMar>
            <w:vAlign w:val="bottom"/>
          </w:tcPr>
          <w:p w14:paraId="0333B913" w14:textId="77777777" w:rsidR="00E52821" w:rsidRPr="00202638" w:rsidRDefault="00E52821" w:rsidP="00CD4F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  <w:r w:rsidRPr="00202638"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t>Interferon</w:t>
            </w: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100" w:type="nil"/>
              <w:left w:w="100" w:type="nil"/>
              <w:bottom w:w="120" w:type="nil"/>
              <w:right w:w="100" w:type="nil"/>
            </w:tcMar>
            <w:vAlign w:val="bottom"/>
          </w:tcPr>
          <w:p w14:paraId="724FD0A9" w14:textId="77777777" w:rsidR="00E52821" w:rsidRPr="00202638" w:rsidRDefault="00E52821" w:rsidP="00CD4F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  <w:r w:rsidRPr="00202638"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t>no therapy</w:t>
            </w: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100" w:type="nil"/>
              <w:left w:w="100" w:type="nil"/>
              <w:bottom w:w="120" w:type="nil"/>
              <w:right w:w="100" w:type="nil"/>
            </w:tcMar>
            <w:vAlign w:val="bottom"/>
          </w:tcPr>
          <w:p w14:paraId="7B04DD87" w14:textId="77777777" w:rsidR="00E52821" w:rsidRPr="00202638" w:rsidRDefault="00E52821" w:rsidP="00CD4F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  <w:r w:rsidRPr="00202638"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t>Interferon</w:t>
            </w: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100" w:type="nil"/>
              <w:left w:w="100" w:type="nil"/>
              <w:bottom w:w="120" w:type="nil"/>
              <w:right w:w="100" w:type="nil"/>
            </w:tcMar>
            <w:vAlign w:val="bottom"/>
          </w:tcPr>
          <w:p w14:paraId="04B377D0" w14:textId="77777777" w:rsidR="00E52821" w:rsidRPr="00202638" w:rsidRDefault="00E52821" w:rsidP="00CD4F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  <w:r w:rsidRPr="00202638"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t>no therapy</w:t>
            </w: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100" w:type="nil"/>
              <w:left w:w="100" w:type="nil"/>
              <w:bottom w:w="120" w:type="nil"/>
              <w:right w:w="100" w:type="nil"/>
            </w:tcMar>
            <w:vAlign w:val="bottom"/>
          </w:tcPr>
          <w:p w14:paraId="74080C19" w14:textId="77777777" w:rsidR="00E52821" w:rsidRPr="00202638" w:rsidRDefault="00E52821" w:rsidP="00CD4F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  <w:r w:rsidRPr="00202638"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t>Interferon</w:t>
            </w: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100" w:type="nil"/>
              <w:left w:w="100" w:type="nil"/>
              <w:bottom w:w="120" w:type="nil"/>
              <w:right w:w="100" w:type="nil"/>
            </w:tcMar>
            <w:vAlign w:val="bottom"/>
          </w:tcPr>
          <w:p w14:paraId="73C51B5B" w14:textId="77777777" w:rsidR="00E52821" w:rsidRPr="00202638" w:rsidRDefault="00E52821" w:rsidP="00CD4F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  <w:r w:rsidRPr="00202638"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t>no therapy</w:t>
            </w: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100" w:type="nil"/>
              <w:left w:w="100" w:type="nil"/>
              <w:bottom w:w="120" w:type="nil"/>
              <w:right w:w="100" w:type="nil"/>
            </w:tcMar>
            <w:vAlign w:val="bottom"/>
          </w:tcPr>
          <w:p w14:paraId="6BB7710F" w14:textId="77777777" w:rsidR="00E52821" w:rsidRPr="00202638" w:rsidRDefault="00E52821" w:rsidP="00CD4F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  <w:r w:rsidRPr="00202638"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t>Interferon</w:t>
            </w: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100" w:type="nil"/>
              <w:left w:w="100" w:type="nil"/>
              <w:bottom w:w="120" w:type="nil"/>
              <w:right w:w="100" w:type="nil"/>
            </w:tcMar>
            <w:vAlign w:val="bottom"/>
          </w:tcPr>
          <w:p w14:paraId="77794827" w14:textId="77777777" w:rsidR="00E52821" w:rsidRPr="00202638" w:rsidRDefault="00E52821" w:rsidP="00CD4F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  <w:r w:rsidRPr="00202638"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t>no therapy</w:t>
            </w: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FFFFFF"/>
            <w:tcMar>
              <w:top w:w="100" w:type="nil"/>
              <w:left w:w="100" w:type="nil"/>
              <w:bottom w:w="120" w:type="nil"/>
              <w:right w:w="100" w:type="nil"/>
            </w:tcMar>
            <w:vAlign w:val="bottom"/>
          </w:tcPr>
          <w:p w14:paraId="02D1FC2E" w14:textId="77777777" w:rsidR="00E52821" w:rsidRPr="00202638" w:rsidRDefault="00E52821" w:rsidP="00CD4F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  <w:r w:rsidRPr="00202638"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t>Interferon</w:t>
            </w:r>
          </w:p>
        </w:tc>
      </w:tr>
      <w:tr w:rsidR="009609A5" w:rsidRPr="00202638" w14:paraId="5E10C59E" w14:textId="77777777" w:rsidTr="00CD4F7A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8" w:space="0" w:color="C9C9C9"/>
              <w:bottom w:val="none" w:sz="6" w:space="0" w:color="auto"/>
              <w:right w:val="none" w:sz="6" w:space="0" w:color="auto"/>
            </w:tcBorders>
            <w:tcMar>
              <w:top w:w="100" w:type="nil"/>
              <w:left w:w="160" w:type="nil"/>
              <w:bottom w:w="160" w:type="nil"/>
              <w:right w:w="100" w:type="nil"/>
            </w:tcMar>
            <w:vAlign w:val="center"/>
          </w:tcPr>
          <w:p w14:paraId="1979B076" w14:textId="59EBF55D" w:rsidR="00F57F2B" w:rsidRPr="00202638" w:rsidRDefault="00F57F2B" w:rsidP="00F57F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62626"/>
                <w:sz w:val="18"/>
                <w:szCs w:val="18"/>
                <w:lang w:val="en-GB"/>
              </w:rPr>
            </w:pPr>
            <w:r w:rsidRPr="00202638">
              <w:rPr>
                <w:rFonts w:ascii="Times New Roman" w:hAnsi="Times New Roman" w:cs="Times New Roman"/>
                <w:b/>
                <w:bCs/>
                <w:color w:val="262626"/>
                <w:sz w:val="18"/>
                <w:szCs w:val="18"/>
                <w:lang w:val="en-GB"/>
              </w:rPr>
              <w:t xml:space="preserve">Atrophy rate </w:t>
            </w:r>
            <w:r w:rsidR="00E550BA">
              <w:rPr>
                <w:rFonts w:ascii="Times New Roman" w:hAnsi="Times New Roman" w:cs="Times New Roman"/>
                <w:b/>
                <w:bCs/>
                <w:color w:val="262626"/>
                <w:sz w:val="18"/>
                <w:szCs w:val="18"/>
                <w:lang w:val="en-GB"/>
              </w:rPr>
              <w:br/>
            </w:r>
            <w:r w:rsidRPr="00202638">
              <w:rPr>
                <w:rFonts w:ascii="Times New Roman" w:hAnsi="Times New Roman" w:cs="Times New Roman"/>
                <w:b/>
                <w:bCs/>
                <w:color w:val="262626"/>
                <w:sz w:val="18"/>
                <w:szCs w:val="18"/>
                <w:lang w:val="en-GB"/>
              </w:rPr>
              <w:t>[%</w:t>
            </w:r>
            <w:r w:rsidR="009609A5">
              <w:rPr>
                <w:rFonts w:ascii="Times New Roman" w:hAnsi="Times New Roman" w:cs="Times New Roman"/>
                <w:b/>
                <w:bCs/>
                <w:color w:val="262626"/>
                <w:sz w:val="18"/>
                <w:szCs w:val="18"/>
                <w:lang w:val="en-GB"/>
              </w:rPr>
              <w:t xml:space="preserve"> / year</w:t>
            </w:r>
            <w:r w:rsidRPr="00202638">
              <w:rPr>
                <w:rFonts w:ascii="Times New Roman" w:hAnsi="Times New Roman" w:cs="Times New Roman"/>
                <w:b/>
                <w:bCs/>
                <w:color w:val="262626"/>
                <w:sz w:val="18"/>
                <w:szCs w:val="18"/>
                <w:lang w:val="en-GB"/>
              </w:rPr>
              <w:t>]</w:t>
            </w:r>
          </w:p>
        </w:tc>
        <w:tc>
          <w:tcPr>
            <w:tcW w:w="0" w:type="auto"/>
            <w:tcBorders>
              <w:top w:val="single" w:sz="8" w:space="0" w:color="C9C9C9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100" w:type="nil"/>
              <w:left w:w="160" w:type="nil"/>
              <w:bottom w:w="160" w:type="nil"/>
              <w:right w:w="100" w:type="nil"/>
            </w:tcMar>
            <w:vAlign w:val="center"/>
          </w:tcPr>
          <w:p w14:paraId="6C736AFE" w14:textId="36EACF6F" w:rsidR="00F57F2B" w:rsidRPr="00202638" w:rsidRDefault="00F57F2B" w:rsidP="00CD4F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  <w:r w:rsidRPr="00202638"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t xml:space="preserve">-0.31 </w:t>
            </w:r>
            <w:r w:rsidR="00CD4F7A" w:rsidRPr="00202638"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br/>
            </w:r>
            <w:r w:rsidRPr="00202638"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t>(-0.93, 0.88)</w:t>
            </w:r>
          </w:p>
        </w:tc>
        <w:tc>
          <w:tcPr>
            <w:tcW w:w="0" w:type="auto"/>
            <w:tcBorders>
              <w:top w:val="single" w:sz="8" w:space="0" w:color="C9C9C9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100" w:type="nil"/>
              <w:left w:w="160" w:type="nil"/>
              <w:bottom w:w="160" w:type="nil"/>
              <w:right w:w="100" w:type="nil"/>
            </w:tcMar>
            <w:vAlign w:val="center"/>
          </w:tcPr>
          <w:p w14:paraId="22DC8118" w14:textId="69249AB5" w:rsidR="00F57F2B" w:rsidRPr="00202638" w:rsidRDefault="00F57F2B" w:rsidP="00CD4F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  <w:r w:rsidRPr="00202638"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t xml:space="preserve">-1.34 </w:t>
            </w:r>
            <w:r w:rsidR="00CD4F7A" w:rsidRPr="00202638"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br/>
            </w:r>
            <w:r w:rsidRPr="00202638"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t>(-2.37, 0.00)</w:t>
            </w:r>
          </w:p>
        </w:tc>
        <w:tc>
          <w:tcPr>
            <w:tcW w:w="0" w:type="auto"/>
            <w:tcBorders>
              <w:top w:val="single" w:sz="8" w:space="0" w:color="C9C9C9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100" w:type="nil"/>
              <w:left w:w="160" w:type="nil"/>
              <w:bottom w:w="160" w:type="nil"/>
              <w:right w:w="100" w:type="nil"/>
            </w:tcMar>
            <w:vAlign w:val="center"/>
          </w:tcPr>
          <w:p w14:paraId="00514213" w14:textId="3C4FF33C" w:rsidR="00F57F2B" w:rsidRPr="00202638" w:rsidRDefault="00F57F2B" w:rsidP="00CD4F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  <w:r w:rsidRPr="00202638"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t xml:space="preserve">-0.48 </w:t>
            </w:r>
            <w:r w:rsidR="00CD4F7A" w:rsidRPr="00202638"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br/>
            </w:r>
            <w:r w:rsidRPr="00202638"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t>(-1.31, 0.61)</w:t>
            </w:r>
          </w:p>
        </w:tc>
        <w:tc>
          <w:tcPr>
            <w:tcW w:w="0" w:type="auto"/>
            <w:tcBorders>
              <w:top w:val="single" w:sz="8" w:space="0" w:color="C9C9C9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100" w:type="nil"/>
              <w:left w:w="160" w:type="nil"/>
              <w:bottom w:w="160" w:type="nil"/>
              <w:right w:w="100" w:type="nil"/>
            </w:tcMar>
            <w:vAlign w:val="center"/>
          </w:tcPr>
          <w:p w14:paraId="486089E6" w14:textId="62332AB3" w:rsidR="00F57F2B" w:rsidRPr="00202638" w:rsidRDefault="00F57F2B" w:rsidP="00CD4F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  <w:r w:rsidRPr="00202638"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t xml:space="preserve">-0.12 </w:t>
            </w:r>
            <w:r w:rsidR="00CD4F7A" w:rsidRPr="00202638"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br/>
            </w:r>
            <w:r w:rsidRPr="00202638"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t>(-1.24, 0.79)</w:t>
            </w:r>
          </w:p>
        </w:tc>
        <w:tc>
          <w:tcPr>
            <w:tcW w:w="0" w:type="auto"/>
            <w:tcBorders>
              <w:top w:val="single" w:sz="8" w:space="0" w:color="C9C9C9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100" w:type="nil"/>
              <w:left w:w="160" w:type="nil"/>
              <w:bottom w:w="160" w:type="nil"/>
              <w:right w:w="100" w:type="nil"/>
            </w:tcMar>
            <w:vAlign w:val="center"/>
          </w:tcPr>
          <w:p w14:paraId="3A9722D5" w14:textId="5FF9F010" w:rsidR="00F57F2B" w:rsidRPr="00202638" w:rsidRDefault="00F57F2B" w:rsidP="00CD4F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  <w:r w:rsidRPr="00202638"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t xml:space="preserve">-0.16 </w:t>
            </w:r>
            <w:r w:rsidR="00CD4F7A" w:rsidRPr="00202638"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br/>
            </w:r>
            <w:r w:rsidRPr="00202638"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t>(-1.27, 1.18)</w:t>
            </w:r>
          </w:p>
        </w:tc>
        <w:tc>
          <w:tcPr>
            <w:tcW w:w="0" w:type="auto"/>
            <w:tcBorders>
              <w:top w:val="single" w:sz="8" w:space="0" w:color="C9C9C9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100" w:type="nil"/>
              <w:left w:w="160" w:type="nil"/>
              <w:bottom w:w="160" w:type="nil"/>
              <w:right w:w="100" w:type="nil"/>
            </w:tcMar>
            <w:vAlign w:val="center"/>
          </w:tcPr>
          <w:p w14:paraId="53202B48" w14:textId="127B8A41" w:rsidR="00F57F2B" w:rsidRPr="00202638" w:rsidRDefault="00F57F2B" w:rsidP="00CD4F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  <w:r w:rsidRPr="00202638"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t xml:space="preserve">-1.40 </w:t>
            </w:r>
            <w:r w:rsidR="00CD4F7A" w:rsidRPr="00202638"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br/>
            </w:r>
            <w:r w:rsidRPr="00202638"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t>(-2.92, 0.18)</w:t>
            </w:r>
          </w:p>
        </w:tc>
        <w:tc>
          <w:tcPr>
            <w:tcW w:w="0" w:type="auto"/>
            <w:tcBorders>
              <w:top w:val="single" w:sz="8" w:space="0" w:color="C9C9C9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100" w:type="nil"/>
              <w:left w:w="160" w:type="nil"/>
              <w:bottom w:w="160" w:type="nil"/>
              <w:right w:w="100" w:type="nil"/>
            </w:tcMar>
            <w:vAlign w:val="center"/>
          </w:tcPr>
          <w:p w14:paraId="14294432" w14:textId="28739D6E" w:rsidR="00F57F2B" w:rsidRPr="00202638" w:rsidRDefault="00F57F2B" w:rsidP="00CD4F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  <w:r w:rsidRPr="00202638"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t xml:space="preserve">-0.95 </w:t>
            </w:r>
            <w:r w:rsidR="00CD4F7A" w:rsidRPr="00202638"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br/>
            </w:r>
            <w:r w:rsidRPr="00202638"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t>(-2.25, 0.56)</w:t>
            </w:r>
          </w:p>
        </w:tc>
        <w:tc>
          <w:tcPr>
            <w:tcW w:w="0" w:type="auto"/>
            <w:tcBorders>
              <w:top w:val="single" w:sz="8" w:space="0" w:color="C9C9C9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100" w:type="nil"/>
              <w:left w:w="160" w:type="nil"/>
              <w:bottom w:w="160" w:type="nil"/>
              <w:right w:w="100" w:type="nil"/>
            </w:tcMar>
            <w:vAlign w:val="center"/>
          </w:tcPr>
          <w:p w14:paraId="0E2A003E" w14:textId="766B592D" w:rsidR="00F57F2B" w:rsidRPr="00202638" w:rsidRDefault="00F57F2B" w:rsidP="00CD4F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  <w:r w:rsidRPr="00202638"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t xml:space="preserve">-0.21 </w:t>
            </w:r>
            <w:r w:rsidR="00CD4F7A" w:rsidRPr="00202638"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br/>
            </w:r>
            <w:r w:rsidRPr="00202638"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t>(-1.47, 1.01)</w:t>
            </w:r>
          </w:p>
        </w:tc>
        <w:tc>
          <w:tcPr>
            <w:tcW w:w="0" w:type="auto"/>
            <w:tcBorders>
              <w:top w:val="single" w:sz="8" w:space="0" w:color="C9C9C9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100" w:type="nil"/>
              <w:left w:w="160" w:type="nil"/>
              <w:bottom w:w="160" w:type="nil"/>
              <w:right w:w="100" w:type="nil"/>
            </w:tcMar>
            <w:vAlign w:val="center"/>
          </w:tcPr>
          <w:p w14:paraId="7C580856" w14:textId="0F4919D9" w:rsidR="00F57F2B" w:rsidRPr="00202638" w:rsidRDefault="00F57F2B" w:rsidP="00CD4F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  <w:r w:rsidRPr="00202638"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t xml:space="preserve">-0.30 </w:t>
            </w:r>
            <w:r w:rsidR="00CD4F7A" w:rsidRPr="00202638"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br/>
            </w:r>
            <w:r w:rsidRPr="00202638"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t>(-0.87, 0.38)</w:t>
            </w:r>
          </w:p>
        </w:tc>
        <w:tc>
          <w:tcPr>
            <w:tcW w:w="0" w:type="auto"/>
            <w:tcBorders>
              <w:top w:val="single" w:sz="8" w:space="0" w:color="C9C9C9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100" w:type="nil"/>
              <w:left w:w="160" w:type="nil"/>
              <w:bottom w:w="160" w:type="nil"/>
              <w:right w:w="100" w:type="nil"/>
            </w:tcMar>
            <w:vAlign w:val="center"/>
          </w:tcPr>
          <w:p w14:paraId="5844C5D3" w14:textId="02714F1C" w:rsidR="00F57F2B" w:rsidRPr="00202638" w:rsidRDefault="00F57F2B" w:rsidP="00CD4F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  <w:r w:rsidRPr="00202638"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t xml:space="preserve">-0.90 </w:t>
            </w:r>
            <w:r w:rsidR="00CD4F7A" w:rsidRPr="00202638"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br/>
            </w:r>
            <w:r w:rsidRPr="00202638"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t>(-1.92, -0.19)</w:t>
            </w:r>
          </w:p>
        </w:tc>
        <w:tc>
          <w:tcPr>
            <w:tcW w:w="0" w:type="auto"/>
            <w:tcBorders>
              <w:top w:val="single" w:sz="8" w:space="0" w:color="C9C9C9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100" w:type="nil"/>
              <w:left w:w="160" w:type="nil"/>
              <w:bottom w:w="160" w:type="nil"/>
              <w:right w:w="100" w:type="nil"/>
            </w:tcMar>
            <w:vAlign w:val="center"/>
          </w:tcPr>
          <w:p w14:paraId="61660FC9" w14:textId="4FF49E44" w:rsidR="00F57F2B" w:rsidRPr="00202638" w:rsidRDefault="00F57F2B" w:rsidP="00CD4F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  <w:r w:rsidRPr="00202638"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t xml:space="preserve">-0.10 </w:t>
            </w:r>
            <w:r w:rsidR="00CD4F7A" w:rsidRPr="00202638"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br/>
            </w:r>
            <w:r w:rsidRPr="00202638"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t>(-1.20, 1.07)</w:t>
            </w:r>
          </w:p>
        </w:tc>
        <w:tc>
          <w:tcPr>
            <w:tcW w:w="0" w:type="auto"/>
            <w:tcBorders>
              <w:top w:val="single" w:sz="8" w:space="0" w:color="C9C9C9"/>
              <w:left w:val="none" w:sz="6" w:space="0" w:color="auto"/>
              <w:bottom w:val="none" w:sz="6" w:space="0" w:color="auto"/>
            </w:tcBorders>
            <w:tcMar>
              <w:top w:w="100" w:type="nil"/>
              <w:left w:w="160" w:type="nil"/>
              <w:bottom w:w="160" w:type="nil"/>
              <w:right w:w="100" w:type="nil"/>
            </w:tcMar>
            <w:vAlign w:val="center"/>
          </w:tcPr>
          <w:p w14:paraId="23786D95" w14:textId="76688047" w:rsidR="00F57F2B" w:rsidRPr="00202638" w:rsidRDefault="00F57F2B" w:rsidP="00CD4F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  <w:r w:rsidRPr="00202638"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t xml:space="preserve">0.15 </w:t>
            </w:r>
            <w:r w:rsidR="00CD4F7A" w:rsidRPr="00202638"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br/>
            </w:r>
            <w:r w:rsidRPr="00202638"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t>(-1.17, 1.16)</w:t>
            </w:r>
          </w:p>
        </w:tc>
      </w:tr>
      <w:tr w:rsidR="00FE45A5" w:rsidRPr="00202638" w14:paraId="5E81B024" w14:textId="77777777" w:rsidTr="00E95F7A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8" w:space="0" w:color="C9C9C9"/>
              <w:bottom w:val="none" w:sz="6" w:space="0" w:color="auto"/>
              <w:right w:val="none" w:sz="6" w:space="0" w:color="auto"/>
            </w:tcBorders>
            <w:tcMar>
              <w:top w:w="100" w:type="nil"/>
              <w:left w:w="160" w:type="nil"/>
              <w:bottom w:w="160" w:type="nil"/>
              <w:right w:w="100" w:type="nil"/>
            </w:tcMar>
            <w:vAlign w:val="center"/>
          </w:tcPr>
          <w:p w14:paraId="7C566020" w14:textId="0E23AF8C" w:rsidR="00FE45A5" w:rsidRPr="00202638" w:rsidRDefault="00FE45A5" w:rsidP="00F57F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62626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262626"/>
                <w:sz w:val="18"/>
                <w:szCs w:val="18"/>
                <w:lang w:val="en-GB"/>
              </w:rPr>
              <w:t>p-value</w:t>
            </w:r>
            <w:r w:rsidRPr="00FE45A5">
              <w:rPr>
                <w:rFonts w:ascii="Times New Roman" w:hAnsi="Times New Roman" w:cs="Times New Roman"/>
                <w:b/>
                <w:bCs/>
                <w:color w:val="262626"/>
                <w:sz w:val="18"/>
                <w:szCs w:val="18"/>
                <w:vertAlign w:val="superscript"/>
                <w:lang w:val="en-GB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8" w:space="0" w:color="C9C9C9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100" w:type="nil"/>
              <w:left w:w="160" w:type="nil"/>
              <w:bottom w:w="160" w:type="nil"/>
              <w:right w:w="100" w:type="nil"/>
            </w:tcMar>
            <w:vAlign w:val="center"/>
          </w:tcPr>
          <w:p w14:paraId="16254BF2" w14:textId="462A8E27" w:rsidR="00FE45A5" w:rsidRPr="00202638" w:rsidRDefault="00FE45A5" w:rsidP="00417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t>0.007</w:t>
            </w:r>
          </w:p>
        </w:tc>
        <w:tc>
          <w:tcPr>
            <w:tcW w:w="0" w:type="auto"/>
            <w:gridSpan w:val="2"/>
            <w:tcBorders>
              <w:top w:val="single" w:sz="8" w:space="0" w:color="C9C9C9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100" w:type="nil"/>
              <w:left w:w="160" w:type="nil"/>
              <w:bottom w:w="160" w:type="nil"/>
              <w:right w:w="100" w:type="nil"/>
            </w:tcMar>
            <w:vAlign w:val="center"/>
          </w:tcPr>
          <w:p w14:paraId="2030D7C5" w14:textId="3C668A22" w:rsidR="00FE45A5" w:rsidRPr="00202638" w:rsidRDefault="00FE45A5" w:rsidP="00417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t>0.14</w:t>
            </w:r>
          </w:p>
        </w:tc>
        <w:tc>
          <w:tcPr>
            <w:tcW w:w="0" w:type="auto"/>
            <w:gridSpan w:val="2"/>
            <w:tcBorders>
              <w:top w:val="single" w:sz="8" w:space="0" w:color="C9C9C9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100" w:type="nil"/>
              <w:left w:w="160" w:type="nil"/>
              <w:bottom w:w="160" w:type="nil"/>
              <w:right w:w="100" w:type="nil"/>
            </w:tcMar>
            <w:vAlign w:val="center"/>
          </w:tcPr>
          <w:p w14:paraId="0052E91B" w14:textId="43F5D25C" w:rsidR="00FE45A5" w:rsidRPr="00202638" w:rsidRDefault="00FE45A5" w:rsidP="00417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t>0.0558</w:t>
            </w:r>
          </w:p>
        </w:tc>
        <w:tc>
          <w:tcPr>
            <w:tcW w:w="0" w:type="auto"/>
            <w:gridSpan w:val="2"/>
            <w:tcBorders>
              <w:top w:val="single" w:sz="8" w:space="0" w:color="C9C9C9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100" w:type="nil"/>
              <w:left w:w="160" w:type="nil"/>
              <w:bottom w:w="160" w:type="nil"/>
              <w:right w:w="100" w:type="nil"/>
            </w:tcMar>
            <w:vAlign w:val="center"/>
          </w:tcPr>
          <w:p w14:paraId="3A90F719" w14:textId="3CA21735" w:rsidR="00FE45A5" w:rsidRPr="00202638" w:rsidRDefault="00FE45A5" w:rsidP="00417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t>0.25</w:t>
            </w:r>
          </w:p>
        </w:tc>
        <w:tc>
          <w:tcPr>
            <w:tcW w:w="0" w:type="auto"/>
            <w:gridSpan w:val="2"/>
            <w:tcBorders>
              <w:top w:val="single" w:sz="8" w:space="0" w:color="C9C9C9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100" w:type="nil"/>
              <w:left w:w="160" w:type="nil"/>
              <w:bottom w:w="160" w:type="nil"/>
              <w:right w:w="100" w:type="nil"/>
            </w:tcMar>
            <w:vAlign w:val="center"/>
          </w:tcPr>
          <w:p w14:paraId="329D92C4" w14:textId="18548443" w:rsidR="00FE45A5" w:rsidRPr="00202638" w:rsidRDefault="00FE45A5" w:rsidP="00417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t>0.002</w:t>
            </w:r>
          </w:p>
        </w:tc>
        <w:tc>
          <w:tcPr>
            <w:tcW w:w="0" w:type="auto"/>
            <w:gridSpan w:val="2"/>
            <w:tcBorders>
              <w:top w:val="single" w:sz="8" w:space="0" w:color="C9C9C9"/>
              <w:left w:val="none" w:sz="6" w:space="0" w:color="auto"/>
              <w:bottom w:val="none" w:sz="6" w:space="0" w:color="auto"/>
            </w:tcBorders>
            <w:tcMar>
              <w:top w:w="100" w:type="nil"/>
              <w:left w:w="160" w:type="nil"/>
              <w:bottom w:w="160" w:type="nil"/>
              <w:right w:w="100" w:type="nil"/>
            </w:tcMar>
            <w:vAlign w:val="center"/>
          </w:tcPr>
          <w:p w14:paraId="3C09C970" w14:textId="4012BA4B" w:rsidR="00FE45A5" w:rsidRPr="00202638" w:rsidRDefault="00FE45A5" w:rsidP="004174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t>0.12</w:t>
            </w:r>
          </w:p>
        </w:tc>
      </w:tr>
      <w:tr w:rsidR="009609A5" w:rsidRPr="00202638" w14:paraId="7D980A9B" w14:textId="77777777" w:rsidTr="00CD4F7A">
        <w:tblPrEx>
          <w:tblBorders>
            <w:top w:val="none" w:sz="0" w:space="0" w:color="auto"/>
          </w:tblBorders>
        </w:tblPrEx>
        <w:tc>
          <w:tcPr>
            <w:tcW w:w="0" w:type="auto"/>
            <w:tcBorders>
              <w:top w:val="single" w:sz="8" w:space="0" w:color="C9C9C9"/>
              <w:bottom w:val="none" w:sz="6" w:space="0" w:color="auto"/>
              <w:right w:val="none" w:sz="6" w:space="0" w:color="auto"/>
            </w:tcBorders>
            <w:tcMar>
              <w:top w:w="100" w:type="nil"/>
              <w:left w:w="160" w:type="nil"/>
              <w:bottom w:w="160" w:type="nil"/>
              <w:right w:w="100" w:type="nil"/>
            </w:tcMar>
            <w:vAlign w:val="center"/>
          </w:tcPr>
          <w:p w14:paraId="768A9B30" w14:textId="77777777" w:rsidR="00E52821" w:rsidRPr="00202638" w:rsidRDefault="00E52821" w:rsidP="008D7C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262626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single" w:sz="8" w:space="0" w:color="C9C9C9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100" w:type="nil"/>
              <w:left w:w="160" w:type="nil"/>
              <w:bottom w:w="160" w:type="nil"/>
              <w:right w:w="100" w:type="nil"/>
            </w:tcMar>
            <w:vAlign w:val="center"/>
          </w:tcPr>
          <w:p w14:paraId="3E70715B" w14:textId="77777777" w:rsidR="00E52821" w:rsidRPr="00202638" w:rsidRDefault="00E52821" w:rsidP="008D7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single" w:sz="8" w:space="0" w:color="C9C9C9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100" w:type="nil"/>
              <w:left w:w="160" w:type="nil"/>
              <w:bottom w:w="160" w:type="nil"/>
              <w:right w:w="100" w:type="nil"/>
            </w:tcMar>
            <w:vAlign w:val="center"/>
          </w:tcPr>
          <w:p w14:paraId="7AB97FB4" w14:textId="77777777" w:rsidR="00E52821" w:rsidRPr="00202638" w:rsidRDefault="00E52821" w:rsidP="008D7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single" w:sz="8" w:space="0" w:color="C9C9C9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100" w:type="nil"/>
              <w:left w:w="160" w:type="nil"/>
              <w:bottom w:w="160" w:type="nil"/>
              <w:right w:w="100" w:type="nil"/>
            </w:tcMar>
            <w:vAlign w:val="center"/>
          </w:tcPr>
          <w:p w14:paraId="39651FD1" w14:textId="77777777" w:rsidR="00E52821" w:rsidRPr="00202638" w:rsidRDefault="00E52821" w:rsidP="008D7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single" w:sz="8" w:space="0" w:color="C9C9C9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100" w:type="nil"/>
              <w:left w:w="160" w:type="nil"/>
              <w:bottom w:w="160" w:type="nil"/>
              <w:right w:w="100" w:type="nil"/>
            </w:tcMar>
            <w:vAlign w:val="center"/>
          </w:tcPr>
          <w:p w14:paraId="77825F7A" w14:textId="77777777" w:rsidR="00E52821" w:rsidRPr="00202638" w:rsidRDefault="00E52821" w:rsidP="008D7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single" w:sz="8" w:space="0" w:color="C9C9C9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100" w:type="nil"/>
              <w:left w:w="160" w:type="nil"/>
              <w:bottom w:w="160" w:type="nil"/>
              <w:right w:w="100" w:type="nil"/>
            </w:tcMar>
            <w:vAlign w:val="center"/>
          </w:tcPr>
          <w:p w14:paraId="5F95C141" w14:textId="77777777" w:rsidR="00E52821" w:rsidRPr="00202638" w:rsidRDefault="00E52821" w:rsidP="008D7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single" w:sz="8" w:space="0" w:color="C9C9C9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100" w:type="nil"/>
              <w:left w:w="160" w:type="nil"/>
              <w:bottom w:w="160" w:type="nil"/>
              <w:right w:w="100" w:type="nil"/>
            </w:tcMar>
            <w:vAlign w:val="center"/>
          </w:tcPr>
          <w:p w14:paraId="0F23D739" w14:textId="77777777" w:rsidR="00E52821" w:rsidRPr="00202638" w:rsidRDefault="00E52821" w:rsidP="008D7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single" w:sz="8" w:space="0" w:color="C9C9C9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100" w:type="nil"/>
              <w:left w:w="160" w:type="nil"/>
              <w:bottom w:w="160" w:type="nil"/>
              <w:right w:w="100" w:type="nil"/>
            </w:tcMar>
            <w:vAlign w:val="center"/>
          </w:tcPr>
          <w:p w14:paraId="6D045BCE" w14:textId="77777777" w:rsidR="00E52821" w:rsidRPr="00202638" w:rsidRDefault="00E52821" w:rsidP="008D7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single" w:sz="8" w:space="0" w:color="C9C9C9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100" w:type="nil"/>
              <w:left w:w="160" w:type="nil"/>
              <w:bottom w:w="160" w:type="nil"/>
              <w:right w:w="100" w:type="nil"/>
            </w:tcMar>
            <w:vAlign w:val="center"/>
          </w:tcPr>
          <w:p w14:paraId="5B42CD38" w14:textId="77777777" w:rsidR="00E52821" w:rsidRPr="00202638" w:rsidRDefault="00E52821" w:rsidP="008D7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single" w:sz="8" w:space="0" w:color="C9C9C9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100" w:type="nil"/>
              <w:left w:w="160" w:type="nil"/>
              <w:bottom w:w="160" w:type="nil"/>
              <w:right w:w="100" w:type="nil"/>
            </w:tcMar>
            <w:vAlign w:val="center"/>
          </w:tcPr>
          <w:p w14:paraId="2CC7C007" w14:textId="77777777" w:rsidR="00E52821" w:rsidRPr="00202638" w:rsidRDefault="00E52821" w:rsidP="008D7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single" w:sz="8" w:space="0" w:color="C9C9C9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100" w:type="nil"/>
              <w:left w:w="160" w:type="nil"/>
              <w:bottom w:w="160" w:type="nil"/>
              <w:right w:w="100" w:type="nil"/>
            </w:tcMar>
            <w:vAlign w:val="center"/>
          </w:tcPr>
          <w:p w14:paraId="061E887D" w14:textId="77777777" w:rsidR="00E52821" w:rsidRPr="00202638" w:rsidRDefault="00E52821" w:rsidP="008D7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single" w:sz="8" w:space="0" w:color="C9C9C9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100" w:type="nil"/>
              <w:left w:w="160" w:type="nil"/>
              <w:bottom w:w="160" w:type="nil"/>
              <w:right w:w="100" w:type="nil"/>
            </w:tcMar>
            <w:vAlign w:val="center"/>
          </w:tcPr>
          <w:p w14:paraId="5C66E2DF" w14:textId="77777777" w:rsidR="00E52821" w:rsidRPr="00202638" w:rsidRDefault="00E52821" w:rsidP="008D7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</w:p>
        </w:tc>
        <w:tc>
          <w:tcPr>
            <w:tcW w:w="0" w:type="auto"/>
            <w:tcBorders>
              <w:top w:val="single" w:sz="8" w:space="0" w:color="C9C9C9"/>
              <w:left w:val="none" w:sz="6" w:space="0" w:color="auto"/>
              <w:bottom w:val="none" w:sz="6" w:space="0" w:color="auto"/>
            </w:tcBorders>
            <w:tcMar>
              <w:top w:w="100" w:type="nil"/>
              <w:left w:w="160" w:type="nil"/>
              <w:bottom w:w="160" w:type="nil"/>
              <w:right w:w="100" w:type="nil"/>
            </w:tcMar>
            <w:vAlign w:val="center"/>
          </w:tcPr>
          <w:p w14:paraId="721A7F71" w14:textId="77777777" w:rsidR="00E52821" w:rsidRPr="00202638" w:rsidRDefault="00E52821" w:rsidP="008D7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</w:p>
        </w:tc>
      </w:tr>
      <w:tr w:rsidR="00E52821" w:rsidRPr="00FE45A5" w14:paraId="1DFA6B90" w14:textId="77777777" w:rsidTr="00CD4F7A">
        <w:tblPrEx>
          <w:tblBorders>
            <w:top w:val="none" w:sz="0" w:space="0" w:color="auto"/>
            <w:bottom w:val="single" w:sz="16" w:space="0" w:color="979797"/>
          </w:tblBorders>
        </w:tblPrEx>
        <w:tc>
          <w:tcPr>
            <w:tcW w:w="0" w:type="auto"/>
            <w:gridSpan w:val="13"/>
            <w:tcBorders>
              <w:top w:val="none" w:sz="6" w:space="0" w:color="auto"/>
              <w:bottom w:val="none" w:sz="6" w:space="0" w:color="auto"/>
            </w:tcBorders>
            <w:shd w:val="clear" w:color="auto" w:fill="FFFFFF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CF368C9" w14:textId="77777777" w:rsidR="00E52821" w:rsidRDefault="00E52821" w:rsidP="008D7C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  <w:r w:rsidRPr="00202638"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t xml:space="preserve">Median (IQR) </w:t>
            </w:r>
            <w:r w:rsidR="00C14266" w:rsidRPr="00202638"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br/>
            </w:r>
            <w:r w:rsidRPr="00202638"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t>no therapy: N =42; Interferon: N = 79</w:t>
            </w:r>
          </w:p>
          <w:p w14:paraId="447A2C18" w14:textId="3EF85B94" w:rsidR="00FE45A5" w:rsidRPr="00202638" w:rsidRDefault="00FE45A5" w:rsidP="008D7C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</w:pPr>
            <w:r w:rsidRPr="00FE45A5">
              <w:rPr>
                <w:rFonts w:ascii="Times New Roman" w:hAnsi="Times New Roman" w:cs="Times New Roman"/>
                <w:color w:val="262626"/>
                <w:sz w:val="18"/>
                <w:szCs w:val="18"/>
                <w:vertAlign w:val="superscript"/>
                <w:lang w:val="en-GB"/>
              </w:rPr>
              <w:t>1</w:t>
            </w:r>
            <w:r>
              <w:rPr>
                <w:rFonts w:ascii="Times New Roman" w:hAnsi="Times New Roman" w:cs="Times New Roman"/>
                <w:color w:val="262626"/>
                <w:sz w:val="18"/>
                <w:szCs w:val="18"/>
                <w:lang w:val="en-GB"/>
              </w:rPr>
              <w:t xml:space="preserve"> comparison between “no therapy” and “interferon” groups by linear mixed-model analysis</w:t>
            </w:r>
          </w:p>
        </w:tc>
      </w:tr>
    </w:tbl>
    <w:p w14:paraId="2AFD3ACC" w14:textId="77777777" w:rsidR="00E52821" w:rsidRPr="006E5159" w:rsidRDefault="00E52821" w:rsidP="00E52821">
      <w:pPr>
        <w:rPr>
          <w:lang w:val="en-GB"/>
        </w:rPr>
      </w:pPr>
    </w:p>
    <w:p w14:paraId="5D7B27A5" w14:textId="77777777" w:rsidR="00202638" w:rsidRDefault="00E52821" w:rsidP="00202638">
      <w:pPr>
        <w:keepNext/>
        <w:ind w:right="-903"/>
      </w:pPr>
      <w:r w:rsidRPr="006E5159">
        <w:rPr>
          <w:noProof/>
          <w:lang w:eastAsia="de-DE"/>
        </w:rPr>
        <w:lastRenderedPageBreak/>
        <w:drawing>
          <wp:inline distT="0" distB="0" distL="0" distR="0" wp14:anchorId="548273AF" wp14:editId="52341779">
            <wp:extent cx="8649050" cy="5437779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41524" cy="549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722B6" w14:textId="13A42778" w:rsidR="008F0691" w:rsidRPr="009E2968" w:rsidRDefault="00202638" w:rsidP="008F0691">
      <w:pPr>
        <w:pStyle w:val="Beschriftung"/>
        <w:rPr>
          <w:lang w:val="en-GB"/>
        </w:rPr>
      </w:pPr>
      <w:r w:rsidRPr="00BD198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 xml:space="preserve">Figure </w:t>
      </w:r>
      <w:r w:rsidR="00231523" w:rsidRPr="00BD198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t>S</w:t>
      </w:r>
      <w:r w:rsidRPr="00BD198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begin"/>
      </w:r>
      <w:r w:rsidRPr="00BD198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en-US"/>
        </w:rPr>
        <w:instrText xml:space="preserve"> SEQ Figure \* ARABIC </w:instrText>
      </w:r>
      <w:r w:rsidRPr="00BD198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separate"/>
      </w:r>
      <w:r w:rsidRPr="00BD198B">
        <w:rPr>
          <w:rFonts w:ascii="Times New Roman" w:hAnsi="Times New Roman" w:cs="Times New Roman"/>
          <w:b/>
          <w:bCs/>
          <w:i w:val="0"/>
          <w:iCs w:val="0"/>
          <w:noProof/>
          <w:color w:val="auto"/>
          <w:sz w:val="24"/>
          <w:szCs w:val="24"/>
          <w:lang w:val="en-US"/>
        </w:rPr>
        <w:t>1</w:t>
      </w:r>
      <w:r w:rsidRPr="00BD198B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fldChar w:fldCharType="end"/>
      </w:r>
      <w:r w:rsidRPr="00BD198B">
        <w:rPr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  <w:t>Visualisation of a</w:t>
      </w:r>
      <w:r w:rsidRPr="0020263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  <w:t>trophy rates for total brain</w:t>
      </w:r>
      <w:r w:rsidR="00E10A0F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  <w:t xml:space="preserve"> (TBV)</w:t>
      </w:r>
      <w:r w:rsidRPr="0020263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  <w:t>, grey matter</w:t>
      </w:r>
      <w:r w:rsidR="00E10A0F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  <w:t xml:space="preserve"> (GM)</w:t>
      </w:r>
      <w:r w:rsidRPr="0020263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  <w:t xml:space="preserve"> and white matter</w:t>
      </w:r>
      <w:r w:rsidR="00E10A0F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  <w:t xml:space="preserve"> (WM)</w:t>
      </w:r>
      <w:r w:rsidRPr="0020263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  <w:t xml:space="preserve"> volumes calculated from cross-sectional analysis (FSL-SIENAX)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  <w:lang w:val="en-GB"/>
        </w:rPr>
        <w:t xml:space="preserve"> compared between untreated patients and patients treated with interferon-beta during the first and the second years. </w:t>
      </w:r>
    </w:p>
    <w:sectPr w:rsidR="008F0691" w:rsidRPr="009E2968" w:rsidSect="00E52821">
      <w:pgSz w:w="16840" w:h="11900" w:orient="landscape"/>
      <w:pgMar w:top="984" w:right="1134" w:bottom="731" w:left="1417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91"/>
    <w:rsid w:val="000661C7"/>
    <w:rsid w:val="00202638"/>
    <w:rsid w:val="00231523"/>
    <w:rsid w:val="00242488"/>
    <w:rsid w:val="0025148C"/>
    <w:rsid w:val="004174D9"/>
    <w:rsid w:val="004D75EA"/>
    <w:rsid w:val="00501096"/>
    <w:rsid w:val="006252A7"/>
    <w:rsid w:val="006E5159"/>
    <w:rsid w:val="006F1D26"/>
    <w:rsid w:val="007C37B7"/>
    <w:rsid w:val="008128DE"/>
    <w:rsid w:val="008F0691"/>
    <w:rsid w:val="009609A5"/>
    <w:rsid w:val="00987F44"/>
    <w:rsid w:val="009E2968"/>
    <w:rsid w:val="00A67F8B"/>
    <w:rsid w:val="00A81EA9"/>
    <w:rsid w:val="00B30B35"/>
    <w:rsid w:val="00B33965"/>
    <w:rsid w:val="00BD198B"/>
    <w:rsid w:val="00C14266"/>
    <w:rsid w:val="00CB551A"/>
    <w:rsid w:val="00CD4F7A"/>
    <w:rsid w:val="00DE1812"/>
    <w:rsid w:val="00E10A0F"/>
    <w:rsid w:val="00E52821"/>
    <w:rsid w:val="00E550BA"/>
    <w:rsid w:val="00EB497F"/>
    <w:rsid w:val="00ED0682"/>
    <w:rsid w:val="00ED7892"/>
    <w:rsid w:val="00F57F2B"/>
    <w:rsid w:val="00FD5C3D"/>
    <w:rsid w:val="00F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A13CD2"/>
  <w14:defaultImageDpi w14:val="32767"/>
  <w15:docId w15:val="{4D48CB81-B0D9-7B40-A2CA-97A2B142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8F0691"/>
    <w:pPr>
      <w:spacing w:after="200"/>
    </w:pPr>
    <w:rPr>
      <w:i/>
      <w:iCs/>
      <w:color w:val="44546A" w:themeColor="text2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181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1812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D78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789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789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78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7892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55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package" Target="embeddings/Microsoft_Word-Dok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</Words>
  <Characters>1173</Characters>
  <Application>Microsoft Office Word</Application>
  <DocSecurity>0</DocSecurity>
  <Lines>16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 Matusche</dc:creator>
  <cp:lastModifiedBy>Britta Matusche</cp:lastModifiedBy>
  <cp:revision>2</cp:revision>
  <dcterms:created xsi:type="dcterms:W3CDTF">2022-10-10T09:37:00Z</dcterms:created>
  <dcterms:modified xsi:type="dcterms:W3CDTF">2022-10-10T09:37:00Z</dcterms:modified>
</cp:coreProperties>
</file>