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54D378" w14:textId="678FE5E2" w:rsidR="00994A3D" w:rsidRPr="0028372C" w:rsidRDefault="0028372C" w:rsidP="0028372C">
      <w:pPr>
        <w:pStyle w:val="SupplementaryMaterial"/>
        <w:rPr>
          <w:b w:val="0"/>
        </w:rPr>
      </w:pPr>
      <w:bookmarkStart w:id="0" w:name="_GoBack"/>
      <w:bookmarkEnd w:id="0"/>
      <w:r>
        <w:t>Supplementary Figures</w:t>
      </w:r>
    </w:p>
    <w:p w14:paraId="3C419443" w14:textId="7106E294" w:rsidR="00994A3D" w:rsidRPr="001549D3" w:rsidRDefault="0028372C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de-DE" w:eastAsia="de-DE"/>
        </w:rPr>
        <w:drawing>
          <wp:inline distT="0" distB="0" distL="0" distR="0" wp14:anchorId="302F2B0C" wp14:editId="03B0B7E3">
            <wp:extent cx="6268974" cy="61341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 Fig 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38"/>
                    <a:stretch/>
                  </pic:blipFill>
                  <pic:spPr bwMode="auto">
                    <a:xfrm>
                      <a:off x="0" y="0"/>
                      <a:ext cx="6281164" cy="614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5BC41" w14:textId="5EA52584" w:rsidR="00DE23E8" w:rsidRDefault="0028372C" w:rsidP="00654E8F">
      <w:pPr>
        <w:spacing w:before="240"/>
        <w:rPr>
          <w:rFonts w:cs="Times New Roman"/>
          <w:szCs w:val="24"/>
          <w:u w:val="single"/>
        </w:rPr>
      </w:pPr>
      <w:r w:rsidRPr="00FC4976">
        <w:rPr>
          <w:b/>
          <w:szCs w:val="24"/>
        </w:rPr>
        <w:t>Supplementary Figure 1.</w:t>
      </w:r>
      <w:r>
        <w:rPr>
          <w:b/>
          <w:szCs w:val="24"/>
        </w:rPr>
        <w:t xml:space="preserve"> </w:t>
      </w:r>
      <w:r w:rsidRPr="00CD1F4E">
        <w:rPr>
          <w:rFonts w:cs="Times New Roman"/>
          <w:b/>
          <w:szCs w:val="24"/>
        </w:rPr>
        <w:t>RORc</w:t>
      </w:r>
      <w:r w:rsidRPr="00CD1F4E">
        <w:rPr>
          <w:rFonts w:cs="Times New Roman"/>
          <w:b/>
          <w:szCs w:val="24"/>
          <w:vertAlign w:val="superscript"/>
        </w:rPr>
        <w:t xml:space="preserve">fm+ </w:t>
      </w:r>
      <w:r>
        <w:rPr>
          <w:rFonts w:cs="Times New Roman"/>
          <w:b/>
          <w:szCs w:val="24"/>
        </w:rPr>
        <w:t>expression in</w:t>
      </w:r>
      <w:r w:rsidRPr="00CD1F4E">
        <w:rPr>
          <w:rFonts w:cs="Times New Roman"/>
          <w:b/>
          <w:szCs w:val="24"/>
        </w:rPr>
        <w:t xml:space="preserve"> liver ILC1s</w:t>
      </w:r>
      <w:r>
        <w:rPr>
          <w:rFonts w:cs="Times New Roman"/>
          <w:b/>
          <w:szCs w:val="24"/>
        </w:rPr>
        <w:t xml:space="preserve"> and examination of ILC3s in the CNS compartments using the RORgt reporter mouse (RORgt-GFP)</w:t>
      </w:r>
      <w:r w:rsidRPr="00CD1F4E"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(A) Contour plots show the expression of YFP in ILC1s (CD3</w:t>
      </w:r>
      <w:r w:rsidR="00A012B8" w:rsidRPr="00A012B8">
        <w:rPr>
          <w:rFonts w:cs="Times New Roman"/>
          <w:szCs w:val="24"/>
          <w:vertAlign w:val="superscript"/>
        </w:rPr>
        <w:t>+</w:t>
      </w:r>
      <w:r>
        <w:rPr>
          <w:rFonts w:cs="Times New Roman"/>
          <w:szCs w:val="24"/>
        </w:rPr>
        <w:t>NK1.1</w:t>
      </w:r>
      <w:r w:rsidRPr="00A012B8">
        <w:rPr>
          <w:rFonts w:cs="Times New Roman"/>
          <w:szCs w:val="24"/>
          <w:vertAlign w:val="superscript"/>
        </w:rPr>
        <w:t>+</w:t>
      </w:r>
      <w:r>
        <w:rPr>
          <w:rFonts w:cs="Times New Roman"/>
          <w:szCs w:val="24"/>
        </w:rPr>
        <w:t>CD49a</w:t>
      </w:r>
      <w:r w:rsidRPr="00A012B8">
        <w:rPr>
          <w:rFonts w:cs="Times New Roman"/>
          <w:szCs w:val="24"/>
          <w:vertAlign w:val="superscript"/>
        </w:rPr>
        <w:t>+</w:t>
      </w:r>
      <w:r>
        <w:rPr>
          <w:rFonts w:cs="Times New Roman"/>
          <w:szCs w:val="24"/>
        </w:rPr>
        <w:t>CD49b</w:t>
      </w:r>
      <w:r w:rsidRPr="00A012B8">
        <w:rPr>
          <w:rFonts w:cs="Times New Roman"/>
          <w:szCs w:val="24"/>
          <w:vertAlign w:val="superscript"/>
        </w:rPr>
        <w:t>-</w:t>
      </w:r>
      <w:r>
        <w:rPr>
          <w:rFonts w:cs="Times New Roman"/>
          <w:szCs w:val="24"/>
        </w:rPr>
        <w:t>) and NK cells (CD3</w:t>
      </w:r>
      <w:r w:rsidRPr="00A012B8">
        <w:rPr>
          <w:rFonts w:cs="Times New Roman"/>
          <w:szCs w:val="24"/>
          <w:vertAlign w:val="superscript"/>
        </w:rPr>
        <w:t>-</w:t>
      </w:r>
      <w:r>
        <w:rPr>
          <w:rFonts w:cs="Times New Roman"/>
          <w:szCs w:val="24"/>
        </w:rPr>
        <w:t>NK1.1</w:t>
      </w:r>
      <w:r w:rsidRPr="00A012B8">
        <w:rPr>
          <w:rFonts w:cs="Times New Roman"/>
          <w:szCs w:val="24"/>
          <w:vertAlign w:val="superscript"/>
        </w:rPr>
        <w:t>+</w:t>
      </w:r>
      <w:r>
        <w:rPr>
          <w:rFonts w:cs="Times New Roman"/>
          <w:szCs w:val="24"/>
        </w:rPr>
        <w:t>CD49a</w:t>
      </w:r>
      <w:r w:rsidRPr="00A012B8">
        <w:rPr>
          <w:rFonts w:cs="Times New Roman"/>
          <w:szCs w:val="24"/>
          <w:vertAlign w:val="superscript"/>
        </w:rPr>
        <w:t>-</w:t>
      </w:r>
      <w:r>
        <w:rPr>
          <w:rFonts w:cs="Times New Roman"/>
          <w:szCs w:val="24"/>
        </w:rPr>
        <w:t>CD49b</w:t>
      </w:r>
      <w:r w:rsidRPr="00A012B8">
        <w:rPr>
          <w:rFonts w:cs="Times New Roman"/>
          <w:szCs w:val="24"/>
          <w:vertAlign w:val="superscript"/>
        </w:rPr>
        <w:t>-</w:t>
      </w:r>
      <w:r>
        <w:rPr>
          <w:rFonts w:cs="Times New Roman"/>
          <w:szCs w:val="24"/>
        </w:rPr>
        <w:t xml:space="preserve">) of the liver of RORc-fate mapping mice. Numbers represent the mean percentage of 3 mice. </w:t>
      </w:r>
      <w:r w:rsidRPr="00AD4416">
        <w:rPr>
          <w:rFonts w:cs="Times New Roman"/>
          <w:szCs w:val="24"/>
          <w:u w:val="single"/>
        </w:rPr>
        <w:t>(B) Contour plot showing the gating strategy to identify ILC3s in the CNS (brain + spinal cord), choroid plexus (CP) and meninges (men) of healthy RORgt-GFP mice. ILC3s were identified as Lin</w:t>
      </w:r>
      <w:r w:rsidRPr="00A012B8">
        <w:rPr>
          <w:rFonts w:cs="Times New Roman"/>
          <w:szCs w:val="24"/>
          <w:u w:val="single"/>
          <w:vertAlign w:val="superscript"/>
        </w:rPr>
        <w:t xml:space="preserve">- </w:t>
      </w:r>
      <w:r w:rsidRPr="00AD4416">
        <w:rPr>
          <w:rFonts w:cs="Times New Roman"/>
          <w:szCs w:val="24"/>
          <w:u w:val="single"/>
        </w:rPr>
        <w:t>(</w:t>
      </w:r>
      <w:r w:rsidR="00F462E9">
        <w:rPr>
          <w:rFonts w:cs="Times New Roman"/>
          <w:szCs w:val="24"/>
          <w:u w:val="single"/>
        </w:rPr>
        <w:t>B220, CD11c, Ly6G/D, F4/80, FcεR1α</w:t>
      </w:r>
      <w:r w:rsidRPr="00AD4416">
        <w:rPr>
          <w:rFonts w:cs="Times New Roman"/>
          <w:szCs w:val="24"/>
          <w:u w:val="single"/>
        </w:rPr>
        <w:t>) CD45</w:t>
      </w:r>
      <w:r w:rsidRPr="00A012B8">
        <w:rPr>
          <w:rFonts w:cs="Times New Roman"/>
          <w:szCs w:val="24"/>
          <w:u w:val="single"/>
          <w:vertAlign w:val="superscript"/>
        </w:rPr>
        <w:t>+</w:t>
      </w:r>
      <w:r w:rsidRPr="00AD4416">
        <w:rPr>
          <w:rFonts w:cs="Times New Roman"/>
          <w:szCs w:val="24"/>
          <w:u w:val="single"/>
        </w:rPr>
        <w:t>CD3</w:t>
      </w:r>
      <w:r w:rsidRPr="00A012B8">
        <w:rPr>
          <w:rFonts w:cs="Times New Roman"/>
          <w:szCs w:val="24"/>
          <w:u w:val="single"/>
          <w:vertAlign w:val="superscript"/>
        </w:rPr>
        <w:t>-</w:t>
      </w:r>
      <w:r w:rsidRPr="00AD4416">
        <w:rPr>
          <w:rFonts w:cs="Times New Roman"/>
          <w:szCs w:val="24"/>
          <w:u w:val="single"/>
        </w:rPr>
        <w:t>CD4</w:t>
      </w:r>
      <w:r w:rsidRPr="00A012B8">
        <w:rPr>
          <w:rFonts w:cs="Times New Roman"/>
          <w:szCs w:val="24"/>
          <w:u w:val="single"/>
          <w:vertAlign w:val="superscript"/>
        </w:rPr>
        <w:t>-</w:t>
      </w:r>
      <w:r w:rsidRPr="00AD4416">
        <w:rPr>
          <w:rFonts w:cs="Times New Roman"/>
          <w:szCs w:val="24"/>
          <w:u w:val="single"/>
        </w:rPr>
        <w:t>CD90.2</w:t>
      </w:r>
      <w:r w:rsidRPr="00A012B8">
        <w:rPr>
          <w:rFonts w:cs="Times New Roman"/>
          <w:szCs w:val="24"/>
          <w:u w:val="single"/>
          <w:vertAlign w:val="superscript"/>
        </w:rPr>
        <w:t>+</w:t>
      </w:r>
      <w:r w:rsidRPr="00AD4416">
        <w:rPr>
          <w:rFonts w:cs="Times New Roman"/>
          <w:szCs w:val="24"/>
          <w:u w:val="single"/>
        </w:rPr>
        <w:t>GFP</w:t>
      </w:r>
      <w:r w:rsidRPr="00A012B8">
        <w:rPr>
          <w:rFonts w:cs="Times New Roman"/>
          <w:szCs w:val="24"/>
          <w:u w:val="single"/>
          <w:vertAlign w:val="superscript"/>
        </w:rPr>
        <w:t>+</w:t>
      </w:r>
      <w:r w:rsidRPr="00AD4416">
        <w:rPr>
          <w:rFonts w:cs="Times New Roman"/>
          <w:szCs w:val="24"/>
          <w:u w:val="single"/>
        </w:rPr>
        <w:t xml:space="preserve"> cells. Representative plots of 2 mice, pooled CP and meninges.</w:t>
      </w:r>
    </w:p>
    <w:p w14:paraId="5378BF0A" w14:textId="2EBB2AFD" w:rsidR="0028372C" w:rsidRDefault="0028372C" w:rsidP="00654E8F">
      <w:pPr>
        <w:spacing w:before="240"/>
      </w:pPr>
      <w:r>
        <w:rPr>
          <w:noProof/>
          <w:lang w:val="de-DE" w:eastAsia="de-DE"/>
        </w:rPr>
        <w:lastRenderedPageBreak/>
        <w:drawing>
          <wp:inline distT="0" distB="0" distL="0" distR="0" wp14:anchorId="3F711A70" wp14:editId="7C69CABD">
            <wp:extent cx="6262487" cy="3419475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 Fig 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65" b="43368"/>
                    <a:stretch/>
                  </pic:blipFill>
                  <pic:spPr bwMode="auto">
                    <a:xfrm>
                      <a:off x="0" y="0"/>
                      <a:ext cx="6270099" cy="3423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55CBB" w14:textId="31D0938C" w:rsidR="0028372C" w:rsidRDefault="0028372C" w:rsidP="0028372C">
      <w:r>
        <w:rPr>
          <w:b/>
        </w:rPr>
        <w:t>Supplementary Figure 2</w:t>
      </w:r>
      <w:r w:rsidRPr="00BD6D39">
        <w:rPr>
          <w:b/>
        </w:rPr>
        <w:t>.</w:t>
      </w:r>
      <w:r>
        <w:rPr>
          <w:b/>
        </w:rPr>
        <w:t xml:space="preserve"> </w:t>
      </w:r>
      <w:r w:rsidRPr="00CD1F4E">
        <w:rPr>
          <w:b/>
        </w:rPr>
        <w:t>Phenotypic profile of intILC1s of the healthy CNS.</w:t>
      </w:r>
      <w:r>
        <w:t xml:space="preserve"> Histogram overlay of intILC1s and ILC1s showing the expression of the indicated markers. </w:t>
      </w:r>
      <w:r w:rsidRPr="00D12867">
        <w:t xml:space="preserve">Representative histograms </w:t>
      </w:r>
      <w:r>
        <w:t>showing concatenated samples of 3 mice</w:t>
      </w:r>
      <w:r w:rsidRPr="00D12867">
        <w:t>.</w:t>
      </w:r>
      <w:r>
        <w:t xml:space="preserve"> The expression of each marker was analyzed in at least 4 different mice performed in at least 2 independent experiments.</w:t>
      </w:r>
    </w:p>
    <w:p w14:paraId="02CD63F7" w14:textId="5D21089E" w:rsidR="0028372C" w:rsidRDefault="0028372C" w:rsidP="0028372C">
      <w:pPr>
        <w:tabs>
          <w:tab w:val="left" w:pos="945"/>
        </w:tabs>
      </w:pPr>
    </w:p>
    <w:p w14:paraId="57548E1B" w14:textId="7BE9D6CE" w:rsidR="0028372C" w:rsidRDefault="0028372C" w:rsidP="0028372C">
      <w:pPr>
        <w:tabs>
          <w:tab w:val="left" w:pos="945"/>
        </w:tabs>
      </w:pPr>
    </w:p>
    <w:p w14:paraId="54E28788" w14:textId="181389E6" w:rsidR="0028372C" w:rsidRDefault="0028372C" w:rsidP="0028372C">
      <w:pPr>
        <w:tabs>
          <w:tab w:val="left" w:pos="945"/>
        </w:tabs>
      </w:pPr>
    </w:p>
    <w:p w14:paraId="409E0995" w14:textId="63E0A6B2" w:rsidR="0028372C" w:rsidRDefault="0028372C" w:rsidP="0028372C">
      <w:pPr>
        <w:tabs>
          <w:tab w:val="left" w:pos="945"/>
        </w:tabs>
      </w:pPr>
    </w:p>
    <w:p w14:paraId="3C67E536" w14:textId="4ABFCDAE" w:rsidR="0028372C" w:rsidRDefault="0028372C" w:rsidP="0028372C">
      <w:pPr>
        <w:tabs>
          <w:tab w:val="left" w:pos="945"/>
        </w:tabs>
      </w:pPr>
    </w:p>
    <w:p w14:paraId="3B426F1E" w14:textId="4480E6BA" w:rsidR="0028372C" w:rsidRDefault="0028372C" w:rsidP="0028372C">
      <w:pPr>
        <w:tabs>
          <w:tab w:val="left" w:pos="945"/>
        </w:tabs>
      </w:pPr>
    </w:p>
    <w:p w14:paraId="202052A7" w14:textId="7A9DA417" w:rsidR="0028372C" w:rsidRDefault="0028372C" w:rsidP="0028372C">
      <w:pPr>
        <w:tabs>
          <w:tab w:val="left" w:pos="945"/>
        </w:tabs>
      </w:pPr>
    </w:p>
    <w:p w14:paraId="0CAD00CB" w14:textId="0C81BB7E" w:rsidR="0028372C" w:rsidRDefault="0028372C" w:rsidP="0028372C">
      <w:pPr>
        <w:tabs>
          <w:tab w:val="left" w:pos="945"/>
        </w:tabs>
      </w:pPr>
    </w:p>
    <w:p w14:paraId="68028BF7" w14:textId="020E2CE6" w:rsidR="0028372C" w:rsidRDefault="0028372C" w:rsidP="0028372C">
      <w:pPr>
        <w:tabs>
          <w:tab w:val="left" w:pos="945"/>
        </w:tabs>
      </w:pPr>
    </w:p>
    <w:p w14:paraId="74DD18CB" w14:textId="72F55C97" w:rsidR="0028372C" w:rsidRDefault="0028372C" w:rsidP="0028372C">
      <w:pPr>
        <w:tabs>
          <w:tab w:val="left" w:pos="945"/>
        </w:tabs>
      </w:pPr>
    </w:p>
    <w:p w14:paraId="49EE0737" w14:textId="0DFBF157" w:rsidR="0028372C" w:rsidRDefault="0028372C" w:rsidP="0028372C">
      <w:pPr>
        <w:tabs>
          <w:tab w:val="left" w:pos="945"/>
        </w:tabs>
      </w:pPr>
    </w:p>
    <w:p w14:paraId="141DD9FC" w14:textId="1D74DB04" w:rsidR="0028372C" w:rsidRPr="0028372C" w:rsidRDefault="0028372C" w:rsidP="0028372C">
      <w:pPr>
        <w:tabs>
          <w:tab w:val="left" w:pos="945"/>
        </w:tabs>
      </w:pPr>
    </w:p>
    <w:sectPr w:rsidR="0028372C" w:rsidRPr="0028372C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8AC48F" w14:textId="77777777" w:rsidR="00497C95" w:rsidRDefault="00497C95" w:rsidP="00117666">
      <w:pPr>
        <w:spacing w:after="0"/>
      </w:pPr>
      <w:r>
        <w:separator/>
      </w:r>
    </w:p>
  </w:endnote>
  <w:endnote w:type="continuationSeparator" w:id="0">
    <w:p w14:paraId="33298B07" w14:textId="77777777" w:rsidR="00497C95" w:rsidRDefault="00497C9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980A656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57C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980A656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57C5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4616BD06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012B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4616BD06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012B8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2497B5" w14:textId="77777777" w:rsidR="00497C95" w:rsidRDefault="00497C95" w:rsidP="00117666">
      <w:pPr>
        <w:spacing w:after="0"/>
      </w:pPr>
      <w:r>
        <w:separator/>
      </w:r>
    </w:p>
  </w:footnote>
  <w:footnote w:type="continuationSeparator" w:id="0">
    <w:p w14:paraId="6E9ED8E5" w14:textId="77777777" w:rsidR="00497C95" w:rsidRDefault="00497C9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372C"/>
    <w:rsid w:val="002868E2"/>
    <w:rsid w:val="002869C3"/>
    <w:rsid w:val="002936E4"/>
    <w:rsid w:val="002B4A57"/>
    <w:rsid w:val="002B57C5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97C95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E06F6"/>
    <w:rsid w:val="00817DD6"/>
    <w:rsid w:val="0083759F"/>
    <w:rsid w:val="00885156"/>
    <w:rsid w:val="009151AA"/>
    <w:rsid w:val="00922E30"/>
    <w:rsid w:val="0093429D"/>
    <w:rsid w:val="00943573"/>
    <w:rsid w:val="00964134"/>
    <w:rsid w:val="00970F7D"/>
    <w:rsid w:val="00994A3D"/>
    <w:rsid w:val="009C2B12"/>
    <w:rsid w:val="00A012B8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2E9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24054833-148F-4E97-BF3E-D5766F0B5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FD3C2E1-59A7-409D-A7BE-DDBB844FA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2</Pages>
  <Words>145</Words>
  <Characters>919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Infante Duarte, Carmen</cp:lastModifiedBy>
  <cp:revision>2</cp:revision>
  <cp:lastPrinted>2013-10-03T12:51:00Z</cp:lastPrinted>
  <dcterms:created xsi:type="dcterms:W3CDTF">2019-10-03T10:40:00Z</dcterms:created>
  <dcterms:modified xsi:type="dcterms:W3CDTF">2019-10-03T10:40:00Z</dcterms:modified>
</cp:coreProperties>
</file>