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CC6462" w14:textId="77777777" w:rsidR="003D3B2C" w:rsidRDefault="003D3B2C"/>
    <w:p w14:paraId="4333CE15" w14:textId="77777777" w:rsidR="007B5167" w:rsidRPr="007B5167" w:rsidRDefault="00222E32" w:rsidP="00222E32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>Table S1. Clinical details for the pairs A-</w:t>
      </w:r>
      <w:r w:rsidR="007B5167">
        <w:rPr>
          <w:rFonts w:asciiTheme="majorHAnsi" w:hAnsiTheme="majorHAnsi" w:cstheme="majorHAnsi"/>
          <w:b/>
          <w:bCs/>
          <w:lang w:val="en-US"/>
        </w:rPr>
        <w:t>E</w:t>
      </w:r>
      <w:r w:rsidRPr="00D84087">
        <w:rPr>
          <w:rFonts w:asciiTheme="majorHAnsi" w:hAnsiTheme="majorHAnsi" w:cstheme="majorHAnsi"/>
          <w:b/>
          <w:bCs/>
          <w:lang w:val="en-US"/>
        </w:rPr>
        <w:t>.</w:t>
      </w:r>
    </w:p>
    <w:p w14:paraId="3575C43C" w14:textId="77777777" w:rsidR="007B5167" w:rsidRDefault="007B5167" w:rsidP="00222E32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  <w:r>
        <w:rPr>
          <w:noProof/>
        </w:rPr>
        <w:drawing>
          <wp:inline distT="0" distB="0" distL="0" distR="0" wp14:anchorId="20BCA490" wp14:editId="0001E6CF">
            <wp:extent cx="5756910" cy="264795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60C04" w14:textId="77777777" w:rsidR="009C55E6" w:rsidRDefault="009C55E6" w:rsidP="00222E32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</w:p>
    <w:p w14:paraId="57379D3D" w14:textId="77777777" w:rsidR="00222E32" w:rsidRPr="00D84087" w:rsidRDefault="00222E32" w:rsidP="00222E32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Donor A </w:t>
      </w:r>
      <w:r w:rsidRPr="00D84087">
        <w:rPr>
          <w:rFonts w:asciiTheme="majorHAnsi" w:hAnsiTheme="majorHAnsi" w:cstheme="majorHAnsi"/>
          <w:lang w:val="en-US"/>
        </w:rPr>
        <w:t>was 50 years of age at the time of mobilization and apheresis. The transplant included 6x10</w:t>
      </w:r>
      <w:r w:rsidRPr="00D84087">
        <w:rPr>
          <w:rFonts w:asciiTheme="majorHAnsi" w:hAnsiTheme="majorHAnsi" w:cstheme="majorHAnsi"/>
          <w:vertAlign w:val="superscript"/>
          <w:lang w:val="en-US"/>
        </w:rPr>
        <w:t>6</w:t>
      </w:r>
      <w:r w:rsidRPr="00D84087">
        <w:rPr>
          <w:rFonts w:asciiTheme="majorHAnsi" w:hAnsiTheme="majorHAnsi" w:cstheme="majorHAnsi"/>
          <w:lang w:val="en-US"/>
        </w:rPr>
        <w:t xml:space="preserve"> CD34+ cells per kg bodyweight of the recipient. Recipient A (53 years) showed leukocyte reconstitution on day +10 post transplantation and bone marrow chimerism was 100% beyond day +30. </w:t>
      </w:r>
      <w:r w:rsidRPr="00D84087">
        <w:rPr>
          <w:rFonts w:asciiTheme="majorHAnsi" w:hAnsiTheme="majorHAnsi" w:cstheme="majorHAnsi"/>
          <w:b/>
          <w:bCs/>
          <w:lang w:val="en-US"/>
        </w:rPr>
        <w:t>Recipient A</w:t>
      </w:r>
      <w:r w:rsidRPr="00D84087">
        <w:rPr>
          <w:rFonts w:asciiTheme="majorHAnsi" w:hAnsiTheme="majorHAnsi" w:cstheme="majorHAnsi"/>
          <w:lang w:val="en-US"/>
        </w:rPr>
        <w:t xml:space="preserve"> developed overall acute G</w:t>
      </w:r>
      <w:r w:rsidR="007C5D4F" w:rsidRPr="00D84087">
        <w:rPr>
          <w:rFonts w:asciiTheme="majorHAnsi" w:hAnsiTheme="majorHAnsi" w:cstheme="majorHAnsi"/>
          <w:lang w:val="en-US"/>
        </w:rPr>
        <w:t>v</w:t>
      </w:r>
      <w:r w:rsidRPr="00D84087">
        <w:rPr>
          <w:rFonts w:asciiTheme="majorHAnsi" w:hAnsiTheme="majorHAnsi" w:cstheme="majorHAnsi"/>
          <w:lang w:val="en-US"/>
        </w:rPr>
        <w:t>HD (</w:t>
      </w:r>
      <w:proofErr w:type="spellStart"/>
      <w:r w:rsidRPr="00D84087">
        <w:rPr>
          <w:rFonts w:asciiTheme="majorHAnsi" w:hAnsiTheme="majorHAnsi" w:cstheme="majorHAnsi"/>
          <w:lang w:val="en-US"/>
        </w:rPr>
        <w:t>aGvHD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) grade II with and onset of grade III skin </w:t>
      </w:r>
      <w:proofErr w:type="spellStart"/>
      <w:r w:rsidRPr="00D84087">
        <w:rPr>
          <w:rFonts w:asciiTheme="majorHAnsi" w:hAnsiTheme="majorHAnsi" w:cstheme="majorHAnsi"/>
          <w:lang w:val="en-US"/>
        </w:rPr>
        <w:t>aGvHD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on day +27</w:t>
      </w:r>
      <w:r w:rsidR="00D34A56" w:rsidRPr="00D84087">
        <w:rPr>
          <w:rFonts w:asciiTheme="majorHAnsi" w:hAnsiTheme="majorHAnsi" w:cstheme="majorHAnsi"/>
          <w:lang w:val="en-US"/>
        </w:rPr>
        <w:t xml:space="preserve"> and m</w:t>
      </w:r>
      <w:r w:rsidRPr="00D84087">
        <w:rPr>
          <w:rFonts w:asciiTheme="majorHAnsi" w:hAnsiTheme="majorHAnsi" w:cstheme="majorHAnsi"/>
          <w:lang w:val="en-US"/>
        </w:rPr>
        <w:t xml:space="preserve">ild CMV reactivation within first month posttransplant. </w:t>
      </w:r>
    </w:p>
    <w:p w14:paraId="0B981850" w14:textId="77777777" w:rsidR="00222E32" w:rsidRPr="00D84087" w:rsidRDefault="00222E32" w:rsidP="00222E32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Donor B </w:t>
      </w:r>
      <w:r w:rsidRPr="00D84087">
        <w:rPr>
          <w:rFonts w:asciiTheme="majorHAnsi" w:hAnsiTheme="majorHAnsi" w:cstheme="majorHAnsi"/>
          <w:lang w:val="en-US"/>
        </w:rPr>
        <w:t>was 23 years of age at the time of mobilization and apheresis. The transplant included 5.4x10</w:t>
      </w:r>
      <w:r w:rsidRPr="00D84087">
        <w:rPr>
          <w:rFonts w:asciiTheme="majorHAnsi" w:hAnsiTheme="majorHAnsi" w:cstheme="majorHAnsi"/>
          <w:vertAlign w:val="superscript"/>
          <w:lang w:val="en-US"/>
        </w:rPr>
        <w:t>6</w:t>
      </w:r>
      <w:r w:rsidRPr="00D84087">
        <w:rPr>
          <w:rFonts w:asciiTheme="majorHAnsi" w:hAnsiTheme="majorHAnsi" w:cstheme="majorHAnsi"/>
          <w:lang w:val="en-US"/>
        </w:rPr>
        <w:t xml:space="preserve"> CD34+ cells per kg bodyweight of the recipient. </w:t>
      </w:r>
      <w:r w:rsidRPr="00D84087">
        <w:rPr>
          <w:rFonts w:asciiTheme="majorHAnsi" w:hAnsiTheme="majorHAnsi" w:cstheme="majorHAnsi"/>
          <w:b/>
          <w:bCs/>
          <w:lang w:val="en-US"/>
        </w:rPr>
        <w:t>Recipient B</w:t>
      </w:r>
      <w:r w:rsidRPr="00D84087">
        <w:rPr>
          <w:rFonts w:asciiTheme="majorHAnsi" w:hAnsiTheme="majorHAnsi" w:cstheme="majorHAnsi"/>
          <w:lang w:val="en-US"/>
        </w:rPr>
        <w:t xml:space="preserve"> (56 years) showed leukocyte reconstitution on day +20 post transplantation and bone marrow chimerism was 100% beyond day +30. Recipient B developed overall </w:t>
      </w:r>
      <w:proofErr w:type="spellStart"/>
      <w:r w:rsidRPr="00D84087">
        <w:rPr>
          <w:rFonts w:asciiTheme="majorHAnsi" w:hAnsiTheme="majorHAnsi" w:cstheme="majorHAnsi"/>
          <w:lang w:val="en-US"/>
        </w:rPr>
        <w:t>aGvHD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grade I with onset of grade I skin </w:t>
      </w:r>
      <w:proofErr w:type="spellStart"/>
      <w:r w:rsidRPr="00D84087">
        <w:rPr>
          <w:rFonts w:asciiTheme="majorHAnsi" w:hAnsiTheme="majorHAnsi" w:cstheme="majorHAnsi"/>
          <w:lang w:val="en-US"/>
        </w:rPr>
        <w:t>aGvHD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on day +12 and moderate chronic GvHD mainly of the skin with onset on day +240. There was no relevant EBV or CMV reactivation in the observation period. </w:t>
      </w:r>
    </w:p>
    <w:p w14:paraId="64E975CC" w14:textId="77777777" w:rsidR="00222E32" w:rsidRPr="00D84087" w:rsidRDefault="00222E32" w:rsidP="00222E32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Donor C </w:t>
      </w:r>
      <w:r w:rsidRPr="00D84087">
        <w:rPr>
          <w:rFonts w:asciiTheme="majorHAnsi" w:hAnsiTheme="majorHAnsi" w:cstheme="majorHAnsi"/>
          <w:lang w:val="en-US"/>
        </w:rPr>
        <w:t>was 59 years of age at the time of mobilization and apheresis. The transplant included 5.3x10</w:t>
      </w:r>
      <w:r w:rsidRPr="00D84087">
        <w:rPr>
          <w:rFonts w:asciiTheme="majorHAnsi" w:hAnsiTheme="majorHAnsi" w:cstheme="majorHAnsi"/>
          <w:vertAlign w:val="superscript"/>
          <w:lang w:val="en-US"/>
        </w:rPr>
        <w:t>6</w:t>
      </w:r>
      <w:r w:rsidRPr="00D84087">
        <w:rPr>
          <w:rFonts w:asciiTheme="majorHAnsi" w:hAnsiTheme="majorHAnsi" w:cstheme="majorHAnsi"/>
          <w:lang w:val="en-US"/>
        </w:rPr>
        <w:t xml:space="preserve"> CD34+ cells per kg bodyweight of the recipient. </w:t>
      </w:r>
      <w:r w:rsidRPr="00D84087">
        <w:rPr>
          <w:rFonts w:asciiTheme="majorHAnsi" w:hAnsiTheme="majorHAnsi" w:cstheme="majorHAnsi"/>
          <w:b/>
          <w:bCs/>
          <w:lang w:val="en-US"/>
        </w:rPr>
        <w:t>Recipient C</w:t>
      </w:r>
      <w:r w:rsidRPr="00D84087">
        <w:rPr>
          <w:rFonts w:asciiTheme="majorHAnsi" w:hAnsiTheme="majorHAnsi" w:cstheme="majorHAnsi"/>
          <w:lang w:val="en-US"/>
        </w:rPr>
        <w:t xml:space="preserve"> (65 years) showed leukocyte reconstitution on day +14 post transplantation and bone marrow chimerism was 100% beyond day +30. Recipient C developed overall </w:t>
      </w:r>
      <w:proofErr w:type="spellStart"/>
      <w:r w:rsidRPr="00D84087">
        <w:rPr>
          <w:rFonts w:asciiTheme="majorHAnsi" w:hAnsiTheme="majorHAnsi" w:cstheme="majorHAnsi"/>
          <w:lang w:val="en-US"/>
        </w:rPr>
        <w:t>aGvHD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grade I with and onset of grade I skin GvHD on day +20. There was no relevant EBV or CMV reactivation in the observation period. </w:t>
      </w:r>
    </w:p>
    <w:p w14:paraId="6B5910E9" w14:textId="77777777" w:rsidR="00222E32" w:rsidRPr="00D84087" w:rsidRDefault="00222E32" w:rsidP="00222E32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Donor D </w:t>
      </w:r>
      <w:r w:rsidRPr="00D84087">
        <w:rPr>
          <w:rFonts w:asciiTheme="majorHAnsi" w:hAnsiTheme="majorHAnsi" w:cstheme="majorHAnsi"/>
          <w:lang w:val="en-US"/>
        </w:rPr>
        <w:t>was 66 years of age at the time of mobilization and apheresis. The transplant included 6.2x10</w:t>
      </w:r>
      <w:r w:rsidRPr="00D84087">
        <w:rPr>
          <w:rFonts w:asciiTheme="majorHAnsi" w:hAnsiTheme="majorHAnsi" w:cstheme="majorHAnsi"/>
          <w:vertAlign w:val="superscript"/>
          <w:lang w:val="en-US"/>
        </w:rPr>
        <w:t>6</w:t>
      </w:r>
      <w:r w:rsidRPr="00D84087">
        <w:rPr>
          <w:rFonts w:asciiTheme="majorHAnsi" w:hAnsiTheme="majorHAnsi" w:cstheme="majorHAnsi"/>
          <w:lang w:val="en-US"/>
        </w:rPr>
        <w:t xml:space="preserve"> CD34+ cells per kg bodyweight of the recipient. </w:t>
      </w:r>
      <w:r w:rsidRPr="00D84087">
        <w:rPr>
          <w:rFonts w:asciiTheme="majorHAnsi" w:hAnsiTheme="majorHAnsi" w:cstheme="majorHAnsi"/>
          <w:b/>
          <w:bCs/>
          <w:lang w:val="en-US"/>
        </w:rPr>
        <w:t>Recipient D</w:t>
      </w:r>
      <w:r w:rsidRPr="00D84087">
        <w:rPr>
          <w:rFonts w:asciiTheme="majorHAnsi" w:hAnsiTheme="majorHAnsi" w:cstheme="majorHAnsi"/>
          <w:lang w:val="en-US"/>
        </w:rPr>
        <w:t xml:space="preserve"> (54 years) showed leukocyte reconstitution on day +13 post transplantation and bone marrow chimerism was </w:t>
      </w:r>
      <w:r w:rsidRPr="00D84087">
        <w:rPr>
          <w:rFonts w:asciiTheme="majorHAnsi" w:hAnsiTheme="majorHAnsi" w:cstheme="majorHAnsi"/>
          <w:lang w:val="en-US"/>
        </w:rPr>
        <w:lastRenderedPageBreak/>
        <w:t xml:space="preserve">100% up until day +120 when chimerism fell to 63%. A total of five donor lymphocyte infusions were administered until day +308. </w:t>
      </w:r>
      <w:proofErr w:type="spellStart"/>
      <w:r w:rsidRPr="00D84087">
        <w:rPr>
          <w:rFonts w:asciiTheme="majorHAnsi" w:hAnsiTheme="majorHAnsi" w:cstheme="majorHAnsi"/>
          <w:lang w:val="en-US"/>
        </w:rPr>
        <w:t>Chimersim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was 10% on day +309. Recipient C did not show signs of </w:t>
      </w:r>
      <w:proofErr w:type="spellStart"/>
      <w:r w:rsidRPr="00D84087">
        <w:rPr>
          <w:rFonts w:asciiTheme="majorHAnsi" w:hAnsiTheme="majorHAnsi" w:cstheme="majorHAnsi"/>
          <w:lang w:val="en-US"/>
        </w:rPr>
        <w:t>aGvHD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. There was no relevant CMV reactivation in the observation period. Recipient C developed minor EBV reactivation on day +40 which did not require treatment. </w:t>
      </w:r>
    </w:p>
    <w:p w14:paraId="52EAB9DF" w14:textId="77777777" w:rsidR="00222E32" w:rsidRPr="00D84087" w:rsidRDefault="00222E32" w:rsidP="00222E32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Donor </w:t>
      </w:r>
      <w:r w:rsidR="007B5167">
        <w:rPr>
          <w:rFonts w:asciiTheme="majorHAnsi" w:hAnsiTheme="majorHAnsi" w:cstheme="majorHAnsi"/>
          <w:b/>
          <w:bCs/>
          <w:lang w:val="en-US"/>
        </w:rPr>
        <w:t>E</w:t>
      </w:r>
      <w:r w:rsidRPr="00D84087">
        <w:rPr>
          <w:rFonts w:asciiTheme="majorHAnsi" w:hAnsiTheme="majorHAnsi" w:cstheme="majorHAnsi"/>
          <w:b/>
          <w:bCs/>
          <w:lang w:val="en-US"/>
        </w:rPr>
        <w:t xml:space="preserve"> </w:t>
      </w:r>
      <w:r w:rsidRPr="00D84087">
        <w:rPr>
          <w:rFonts w:asciiTheme="majorHAnsi" w:hAnsiTheme="majorHAnsi" w:cstheme="majorHAnsi"/>
          <w:lang w:val="en-US"/>
        </w:rPr>
        <w:t>was 29 years of age at the time of mobilization and apheresis. The transplant included 4.6x10</w:t>
      </w:r>
      <w:r w:rsidRPr="00D84087">
        <w:rPr>
          <w:rFonts w:asciiTheme="majorHAnsi" w:hAnsiTheme="majorHAnsi" w:cstheme="majorHAnsi"/>
          <w:vertAlign w:val="superscript"/>
          <w:lang w:val="en-US"/>
        </w:rPr>
        <w:t>6</w:t>
      </w:r>
      <w:r w:rsidRPr="00D84087">
        <w:rPr>
          <w:rFonts w:asciiTheme="majorHAnsi" w:hAnsiTheme="majorHAnsi" w:cstheme="majorHAnsi"/>
          <w:lang w:val="en-US"/>
        </w:rPr>
        <w:t xml:space="preserve"> CD34+ cells per kg bodyweight of the recipient. </w:t>
      </w:r>
      <w:r w:rsidRPr="00D84087">
        <w:rPr>
          <w:rFonts w:asciiTheme="majorHAnsi" w:hAnsiTheme="majorHAnsi" w:cstheme="majorHAnsi"/>
          <w:b/>
          <w:bCs/>
          <w:lang w:val="en-US"/>
        </w:rPr>
        <w:t xml:space="preserve">Recipient </w:t>
      </w:r>
      <w:r w:rsidR="00FF418E">
        <w:rPr>
          <w:rFonts w:asciiTheme="majorHAnsi" w:hAnsiTheme="majorHAnsi" w:cstheme="majorHAnsi"/>
          <w:b/>
          <w:bCs/>
          <w:lang w:val="en-US"/>
        </w:rPr>
        <w:t>E</w:t>
      </w:r>
      <w:r w:rsidRPr="00D84087">
        <w:rPr>
          <w:rFonts w:asciiTheme="majorHAnsi" w:hAnsiTheme="majorHAnsi" w:cstheme="majorHAnsi"/>
          <w:lang w:val="en-US"/>
        </w:rPr>
        <w:t xml:space="preserve"> (43 years) showed leukocyte reconstitution on day +18 post transplantation and bone marrow chimerism was 100% beyond day +30. Recipient F developed overall </w:t>
      </w:r>
      <w:proofErr w:type="spellStart"/>
      <w:r w:rsidRPr="00D84087">
        <w:rPr>
          <w:rFonts w:asciiTheme="majorHAnsi" w:hAnsiTheme="majorHAnsi" w:cstheme="majorHAnsi"/>
          <w:lang w:val="en-US"/>
        </w:rPr>
        <w:t>aG</w:t>
      </w:r>
      <w:r w:rsidR="007C5D4F" w:rsidRPr="00D84087">
        <w:rPr>
          <w:rFonts w:asciiTheme="majorHAnsi" w:hAnsiTheme="majorHAnsi" w:cstheme="majorHAnsi"/>
          <w:lang w:val="en-US"/>
        </w:rPr>
        <w:t>v</w:t>
      </w:r>
      <w:r w:rsidRPr="00D84087">
        <w:rPr>
          <w:rFonts w:asciiTheme="majorHAnsi" w:hAnsiTheme="majorHAnsi" w:cstheme="majorHAnsi"/>
          <w:lang w:val="en-US"/>
        </w:rPr>
        <w:t>HD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grade I with and onset of grade I skin GvHD on day +29. Mild EBV reactivation in the observation period. On day +300 Recipient </w:t>
      </w:r>
      <w:r w:rsidR="00610857">
        <w:rPr>
          <w:rFonts w:asciiTheme="majorHAnsi" w:hAnsiTheme="majorHAnsi" w:cstheme="majorHAnsi"/>
          <w:lang w:val="en-US"/>
        </w:rPr>
        <w:t>E</w:t>
      </w:r>
      <w:r w:rsidRPr="00D84087">
        <w:rPr>
          <w:rFonts w:asciiTheme="majorHAnsi" w:hAnsiTheme="majorHAnsi" w:cstheme="majorHAnsi"/>
          <w:lang w:val="en-US"/>
        </w:rPr>
        <w:t xml:space="preserve"> showed Herpes zoster lesions that required antiviral treatment. </w:t>
      </w:r>
    </w:p>
    <w:p w14:paraId="11E98A57" w14:textId="77777777" w:rsidR="008D7E28" w:rsidRPr="00D84087" w:rsidRDefault="008D7E28">
      <w:pPr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lang w:val="en-US"/>
        </w:rPr>
        <w:br w:type="page"/>
      </w:r>
    </w:p>
    <w:p w14:paraId="476CD56A" w14:textId="77777777" w:rsidR="00222E32" w:rsidRDefault="009C55E6" w:rsidP="00222E32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6400330B" wp14:editId="76B30E67">
            <wp:extent cx="5598000" cy="3726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8000" cy="372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42AFC" w14:textId="77777777" w:rsidR="00D84087" w:rsidRDefault="00D84087" w:rsidP="00222E32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</w:p>
    <w:p w14:paraId="1331D978" w14:textId="77777777" w:rsidR="00E12C6A" w:rsidRPr="00D84087" w:rsidRDefault="00222E32" w:rsidP="00222E32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>Suppl. Figure S1. (A)</w:t>
      </w:r>
      <w:r w:rsidRPr="00D84087">
        <w:rPr>
          <w:rFonts w:asciiTheme="majorHAnsi" w:hAnsiTheme="majorHAnsi" w:cstheme="majorHAnsi"/>
          <w:lang w:val="en-US"/>
        </w:rPr>
        <w:t xml:space="preserve"> QC metrics for each sample. Violin and box plots show counts of UMIs per cell (</w:t>
      </w:r>
      <w:proofErr w:type="spellStart"/>
      <w:r w:rsidRPr="00D84087">
        <w:rPr>
          <w:rFonts w:asciiTheme="majorHAnsi" w:hAnsiTheme="majorHAnsi" w:cstheme="majorHAnsi"/>
          <w:lang w:val="en-US"/>
        </w:rPr>
        <w:t>nCount_RNA</w:t>
      </w:r>
      <w:proofErr w:type="spellEnd"/>
      <w:r w:rsidRPr="00D84087">
        <w:rPr>
          <w:rFonts w:asciiTheme="majorHAnsi" w:hAnsiTheme="majorHAnsi" w:cstheme="majorHAnsi"/>
          <w:lang w:val="en-US"/>
        </w:rPr>
        <w:t>), counts of genes per cell (</w:t>
      </w:r>
      <w:proofErr w:type="spellStart"/>
      <w:r w:rsidRPr="00D84087">
        <w:rPr>
          <w:rFonts w:asciiTheme="majorHAnsi" w:hAnsiTheme="majorHAnsi" w:cstheme="majorHAnsi"/>
          <w:lang w:val="en-US"/>
        </w:rPr>
        <w:t>nFeature_RNA</w:t>
      </w:r>
      <w:proofErr w:type="spellEnd"/>
      <w:r w:rsidRPr="00D84087">
        <w:rPr>
          <w:rFonts w:asciiTheme="majorHAnsi" w:hAnsiTheme="majorHAnsi" w:cstheme="majorHAnsi"/>
          <w:lang w:val="en-US"/>
        </w:rPr>
        <w:t>), mitochondrial content (</w:t>
      </w:r>
      <w:proofErr w:type="spellStart"/>
      <w:r w:rsidRPr="00D84087">
        <w:rPr>
          <w:rFonts w:asciiTheme="majorHAnsi" w:hAnsiTheme="majorHAnsi" w:cstheme="majorHAnsi"/>
          <w:lang w:val="en-US"/>
        </w:rPr>
        <w:t>pct.mito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) and prediction score for label transfer from the PBMC reference (predicted.celltype.l1.score). </w:t>
      </w:r>
      <w:r w:rsidRPr="00D84087">
        <w:rPr>
          <w:rFonts w:asciiTheme="majorHAnsi" w:hAnsiTheme="majorHAnsi" w:cstheme="majorHAnsi"/>
          <w:b/>
          <w:bCs/>
          <w:lang w:val="en-US"/>
        </w:rPr>
        <w:t xml:space="preserve">(B) </w:t>
      </w:r>
      <w:r w:rsidRPr="00D84087">
        <w:rPr>
          <w:rFonts w:asciiTheme="majorHAnsi" w:hAnsiTheme="majorHAnsi" w:cstheme="majorHAnsi"/>
          <w:lang w:val="en-US"/>
        </w:rPr>
        <w:t xml:space="preserve">Enrichment of antibody-derived tags of </w:t>
      </w:r>
      <w:proofErr w:type="spellStart"/>
      <w:r w:rsidRPr="00D84087">
        <w:rPr>
          <w:rFonts w:asciiTheme="majorHAnsi" w:hAnsiTheme="majorHAnsi" w:cstheme="majorHAnsi"/>
          <w:lang w:val="en-US"/>
        </w:rPr>
        <w:t>CITEseq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for canonical markers in the associated immune populations. </w:t>
      </w:r>
      <w:r w:rsidRPr="00D84087">
        <w:rPr>
          <w:rFonts w:asciiTheme="majorHAnsi" w:hAnsiTheme="majorHAnsi" w:cstheme="majorHAnsi"/>
          <w:b/>
          <w:bCs/>
          <w:lang w:val="en-US"/>
        </w:rPr>
        <w:t>(C)</w:t>
      </w:r>
      <w:r w:rsidRPr="00D84087">
        <w:rPr>
          <w:rFonts w:asciiTheme="majorHAnsi" w:hAnsiTheme="majorHAnsi" w:cstheme="majorHAnsi"/>
          <w:lang w:val="en-US"/>
        </w:rPr>
        <w:t xml:space="preserve"> Cell type composition of the different samples. TCM = central memory T-cells; TEM = effector memory T-cells; DC = dendritic cells; Mono = monocytes; NK = natural killer cells; Treg = regulatory T-cells; pre = </w:t>
      </w:r>
      <w:proofErr w:type="gramStart"/>
      <w:r w:rsidRPr="00D84087">
        <w:rPr>
          <w:rFonts w:asciiTheme="majorHAnsi" w:hAnsiTheme="majorHAnsi" w:cstheme="majorHAnsi"/>
          <w:lang w:val="en-US"/>
        </w:rPr>
        <w:t>pre G</w:t>
      </w:r>
      <w:proofErr w:type="gramEnd"/>
      <w:r w:rsidRPr="00D84087">
        <w:rPr>
          <w:rFonts w:asciiTheme="majorHAnsi" w:hAnsiTheme="majorHAnsi" w:cstheme="majorHAnsi"/>
          <w:lang w:val="en-US"/>
        </w:rPr>
        <w:t>-CSF; post = post G-CSF; d90 = day +90 post transplantation; d180 = day +180 post transplantation</w:t>
      </w:r>
      <w:r w:rsidR="00621F09" w:rsidRPr="00D84087">
        <w:rPr>
          <w:rFonts w:asciiTheme="majorHAnsi" w:hAnsiTheme="majorHAnsi" w:cstheme="majorHAnsi"/>
          <w:lang w:val="en-US"/>
        </w:rPr>
        <w:t>.</w:t>
      </w:r>
    </w:p>
    <w:p w14:paraId="7A7094DA" w14:textId="77777777" w:rsidR="00621F09" w:rsidRDefault="00621F09" w:rsidP="00222E32">
      <w:pPr>
        <w:spacing w:line="360" w:lineRule="auto"/>
        <w:jc w:val="both"/>
        <w:rPr>
          <w:rFonts w:ascii="Times New Roman" w:hAnsi="Times New Roman" w:cs="Times New Roman"/>
          <w:lang w:val="en-US"/>
        </w:rPr>
      </w:pPr>
    </w:p>
    <w:p w14:paraId="4C0B5B3E" w14:textId="77777777" w:rsidR="00621F09" w:rsidRDefault="00621F09" w:rsidP="00621F09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p w14:paraId="6AB830AA" w14:textId="77777777" w:rsidR="00222E32" w:rsidRDefault="009C55E6" w:rsidP="00222E32">
      <w:pPr>
        <w:spacing w:line="360" w:lineRule="auto"/>
        <w:jc w:val="both"/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noProof/>
          <w:lang w:val="en-US"/>
        </w:rPr>
        <w:lastRenderedPageBreak/>
        <w:drawing>
          <wp:inline distT="0" distB="0" distL="0" distR="0" wp14:anchorId="4E3C7237" wp14:editId="7FF677ED">
            <wp:extent cx="4557600" cy="3315600"/>
            <wp:effectExtent l="0" t="0" r="190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7600" cy="331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2FCD1D" w14:textId="77777777" w:rsidR="009C55E6" w:rsidRDefault="009C55E6" w:rsidP="00E12C6A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</w:p>
    <w:p w14:paraId="3FDCA5D4" w14:textId="77777777" w:rsidR="00621F09" w:rsidRPr="00D84087" w:rsidRDefault="00E12C6A" w:rsidP="00E12C6A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>Suppl. Figure S2. (A)</w:t>
      </w:r>
      <w:r w:rsidRPr="00D84087">
        <w:rPr>
          <w:rFonts w:asciiTheme="majorHAnsi" w:hAnsiTheme="majorHAnsi" w:cstheme="majorHAnsi"/>
          <w:lang w:val="en-US"/>
        </w:rPr>
        <w:t xml:space="preserve"> UMAP embedding showing clonotype abundance (hyperexpanded: &gt; 1%, large: &gt; 0.1%, medium: &gt; 0.01%, small &lt;= 0.01%). </w:t>
      </w:r>
      <w:r w:rsidRPr="00D84087">
        <w:rPr>
          <w:rFonts w:asciiTheme="majorHAnsi" w:hAnsiTheme="majorHAnsi" w:cstheme="majorHAnsi"/>
          <w:b/>
          <w:bCs/>
          <w:lang w:val="en-US"/>
        </w:rPr>
        <w:t>(B)</w:t>
      </w:r>
      <w:r w:rsidRPr="00D84087">
        <w:rPr>
          <w:rFonts w:asciiTheme="majorHAnsi" w:hAnsiTheme="majorHAnsi" w:cstheme="majorHAnsi"/>
          <w:lang w:val="en-US"/>
        </w:rPr>
        <w:t xml:space="preserve"> Top genes differentially expressed between recipients and donors for each cell type and associated with pathways shown in Figure 2C</w:t>
      </w:r>
    </w:p>
    <w:p w14:paraId="0ED29D1F" w14:textId="77777777" w:rsidR="00621F09" w:rsidRDefault="00621F09">
      <w:p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br w:type="page"/>
      </w:r>
    </w:p>
    <w:p w14:paraId="40E25F57" w14:textId="77777777" w:rsidR="00621F09" w:rsidRDefault="00C04875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  <w:r>
        <w:rPr>
          <w:rFonts w:asciiTheme="majorHAnsi" w:hAnsiTheme="majorHAnsi" w:cstheme="majorHAnsi"/>
          <w:b/>
          <w:bCs/>
          <w:noProof/>
          <w:lang w:val="en-US"/>
        </w:rPr>
        <w:lastRenderedPageBreak/>
        <w:drawing>
          <wp:inline distT="0" distB="0" distL="0" distR="0" wp14:anchorId="2D63B809" wp14:editId="6597EB56">
            <wp:extent cx="5654434" cy="3558012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2019" cy="3569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706578" w14:textId="77777777" w:rsidR="009C55E6" w:rsidRPr="00D75284" w:rsidRDefault="009C55E6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</w:p>
    <w:p w14:paraId="3DF196C5" w14:textId="5EA9EBC7" w:rsidR="00621F09" w:rsidRPr="00D84087" w:rsidRDefault="00621F09" w:rsidP="00621F09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Suppl. Figure S3. (A) </w:t>
      </w:r>
      <w:r w:rsidRPr="00D84087">
        <w:rPr>
          <w:rFonts w:asciiTheme="majorHAnsi" w:hAnsiTheme="majorHAnsi" w:cstheme="majorHAnsi"/>
          <w:lang w:val="en-US"/>
        </w:rPr>
        <w:t>Clonal overlap (</w:t>
      </w:r>
      <w:proofErr w:type="spellStart"/>
      <w:r w:rsidRPr="00D84087">
        <w:rPr>
          <w:rFonts w:asciiTheme="majorHAnsi" w:hAnsiTheme="majorHAnsi" w:cstheme="majorHAnsi"/>
          <w:lang w:val="en-US"/>
        </w:rPr>
        <w:t>Morisita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score) between different samples.</w:t>
      </w:r>
      <w:r w:rsidRPr="00D84087">
        <w:rPr>
          <w:rFonts w:asciiTheme="majorHAnsi" w:hAnsiTheme="majorHAnsi" w:cstheme="majorHAnsi"/>
          <w:b/>
          <w:bCs/>
          <w:lang w:val="en-US"/>
        </w:rPr>
        <w:t xml:space="preserve"> (B) </w:t>
      </w:r>
      <w:r w:rsidRPr="00D84087">
        <w:rPr>
          <w:rFonts w:asciiTheme="majorHAnsi" w:hAnsiTheme="majorHAnsi" w:cstheme="majorHAnsi"/>
          <w:lang w:val="en-US"/>
        </w:rPr>
        <w:t xml:space="preserve">Fraction of cells with the majority phenotype across different samples for each persisting clonotype from Figure 3B. </w:t>
      </w:r>
      <w:r w:rsidRPr="00D84087">
        <w:rPr>
          <w:rFonts w:asciiTheme="majorHAnsi" w:hAnsiTheme="majorHAnsi" w:cstheme="majorHAnsi"/>
          <w:b/>
          <w:bCs/>
          <w:lang w:val="en-US"/>
        </w:rPr>
        <w:t>(C)</w:t>
      </w:r>
      <w:r w:rsidRPr="00D84087">
        <w:rPr>
          <w:rFonts w:asciiTheme="majorHAnsi" w:hAnsiTheme="majorHAnsi" w:cstheme="majorHAnsi"/>
          <w:lang w:val="en-US"/>
        </w:rPr>
        <w:t xml:space="preserve"> Frequency of clonotypes with known CMV or EBV specificity.</w:t>
      </w:r>
      <w:r w:rsidRPr="00D84087">
        <w:rPr>
          <w:rFonts w:asciiTheme="majorHAnsi" w:hAnsiTheme="majorHAnsi" w:cstheme="majorHAnsi"/>
          <w:b/>
          <w:bCs/>
          <w:lang w:val="en-US"/>
        </w:rPr>
        <w:t xml:space="preserve"> (D) </w:t>
      </w:r>
      <w:r w:rsidRPr="00D84087">
        <w:rPr>
          <w:rFonts w:asciiTheme="majorHAnsi" w:hAnsiTheme="majorHAnsi" w:cstheme="majorHAnsi"/>
          <w:lang w:val="en-US"/>
        </w:rPr>
        <w:t>Frequencies of top donor clon</w:t>
      </w:r>
      <w:r w:rsidR="00682F59">
        <w:rPr>
          <w:rFonts w:asciiTheme="majorHAnsi" w:hAnsiTheme="majorHAnsi" w:cstheme="majorHAnsi"/>
          <w:lang w:val="en-US"/>
        </w:rPr>
        <w:t>otypes</w:t>
      </w:r>
      <w:r w:rsidRPr="00D84087">
        <w:rPr>
          <w:rFonts w:asciiTheme="majorHAnsi" w:hAnsiTheme="majorHAnsi" w:cstheme="majorHAnsi"/>
          <w:lang w:val="en-US"/>
        </w:rPr>
        <w:t xml:space="preserve"> are shown at different time points for each pair.</w:t>
      </w:r>
    </w:p>
    <w:p w14:paraId="7831C5CD" w14:textId="77777777" w:rsidR="008064F6" w:rsidRPr="00D84087" w:rsidRDefault="008064F6">
      <w:pPr>
        <w:rPr>
          <w:rFonts w:asciiTheme="majorHAnsi" w:hAnsiTheme="majorHAnsi" w:cstheme="majorHAnsi"/>
          <w:b/>
          <w:bCs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br w:type="page"/>
      </w:r>
    </w:p>
    <w:p w14:paraId="287E3931" w14:textId="77777777" w:rsidR="00621F09" w:rsidRDefault="009C55E6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  <w:r>
        <w:rPr>
          <w:rFonts w:ascii="Times New Roman" w:hAnsi="Times New Roman" w:cs="Times New Roman"/>
          <w:b/>
          <w:bCs/>
          <w:noProof/>
          <w:lang w:val="en-US"/>
        </w:rPr>
        <w:lastRenderedPageBreak/>
        <w:drawing>
          <wp:inline distT="0" distB="0" distL="0" distR="0" wp14:anchorId="102C39AE" wp14:editId="0BAD9038">
            <wp:extent cx="4968000" cy="3726000"/>
            <wp:effectExtent l="0" t="0" r="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8000" cy="372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4E00D" w14:textId="611337E7" w:rsidR="008064F6" w:rsidRPr="00D84087" w:rsidRDefault="008064F6" w:rsidP="008064F6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Suppl. Figure S4. </w:t>
      </w:r>
      <w:r w:rsidRPr="00D84087">
        <w:rPr>
          <w:rFonts w:asciiTheme="majorHAnsi" w:hAnsiTheme="majorHAnsi" w:cstheme="majorHAnsi"/>
          <w:lang w:val="en-US"/>
        </w:rPr>
        <w:t>Selected genes differentially expressed between persisting and other CD8TEM cells at adjusted p-value &lt; 0.01 and abs. log2 fold change &gt; 0.5. Cluster membership is indicated.</w:t>
      </w:r>
    </w:p>
    <w:p w14:paraId="71F3FEA1" w14:textId="77777777" w:rsidR="008064F6" w:rsidRDefault="008064F6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</w:p>
    <w:p w14:paraId="387C5143" w14:textId="4797C677" w:rsidR="008064F6" w:rsidRDefault="008064F6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</w:p>
    <w:p w14:paraId="24A5AF0E" w14:textId="03396E2D" w:rsidR="006959EA" w:rsidRDefault="006959EA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</w:p>
    <w:p w14:paraId="4D446FC4" w14:textId="77777777" w:rsidR="006959EA" w:rsidRDefault="006959EA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</w:p>
    <w:p w14:paraId="14464B0A" w14:textId="77777777" w:rsidR="008064F6" w:rsidRDefault="008064F6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</w:p>
    <w:p w14:paraId="65A11AFE" w14:textId="55808D9E" w:rsidR="009C55E6" w:rsidRPr="006959EA" w:rsidRDefault="006959EA" w:rsidP="008064F6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  <w:r>
        <w:rPr>
          <w:rFonts w:asciiTheme="majorHAnsi" w:hAnsiTheme="majorHAnsi" w:cstheme="majorHAnsi"/>
          <w:b/>
          <w:bCs/>
          <w:noProof/>
          <w:lang w:val="en-US"/>
        </w:rPr>
        <w:drawing>
          <wp:inline distT="0" distB="0" distL="0" distR="0" wp14:anchorId="771D1EDE" wp14:editId="79B4708C">
            <wp:extent cx="5015376" cy="166687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4239" cy="1669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57643" w14:textId="30110024" w:rsidR="008064F6" w:rsidRDefault="008064F6" w:rsidP="008064F6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D84087">
        <w:rPr>
          <w:rFonts w:asciiTheme="majorHAnsi" w:hAnsiTheme="majorHAnsi" w:cstheme="majorHAnsi"/>
          <w:b/>
          <w:bCs/>
          <w:lang w:val="en-US"/>
        </w:rPr>
        <w:t xml:space="preserve">Suppl. Figure S5. (A) </w:t>
      </w:r>
      <w:r w:rsidRPr="00D84087">
        <w:rPr>
          <w:rFonts w:asciiTheme="majorHAnsi" w:hAnsiTheme="majorHAnsi" w:cstheme="majorHAnsi"/>
          <w:lang w:val="en-US"/>
        </w:rPr>
        <w:t>Single CD8TEM cells projected into the PCA of Fig. 4A.</w:t>
      </w:r>
      <w:r w:rsidRPr="00D84087">
        <w:rPr>
          <w:rFonts w:asciiTheme="majorHAnsi" w:hAnsiTheme="majorHAnsi" w:cstheme="majorHAnsi"/>
          <w:b/>
          <w:bCs/>
          <w:lang w:val="en-US"/>
        </w:rPr>
        <w:t xml:space="preserve"> (B) </w:t>
      </w:r>
      <w:r w:rsidRPr="00D84087">
        <w:rPr>
          <w:rFonts w:asciiTheme="majorHAnsi" w:hAnsiTheme="majorHAnsi" w:cstheme="majorHAnsi"/>
          <w:lang w:val="en-US"/>
        </w:rPr>
        <w:t xml:space="preserve">TCRβ bulk sequencing of sorted ADGRG1+CD8TEM from one </w:t>
      </w:r>
      <w:proofErr w:type="spellStart"/>
      <w:r w:rsidRPr="00D84087">
        <w:rPr>
          <w:rFonts w:asciiTheme="majorHAnsi" w:hAnsiTheme="majorHAnsi" w:cstheme="majorHAnsi"/>
          <w:lang w:val="en-US"/>
        </w:rPr>
        <w:t>alloHSCT</w:t>
      </w:r>
      <w:proofErr w:type="spellEnd"/>
      <w:r w:rsidRPr="00D84087">
        <w:rPr>
          <w:rFonts w:asciiTheme="majorHAnsi" w:hAnsiTheme="majorHAnsi" w:cstheme="majorHAnsi"/>
          <w:lang w:val="en-US"/>
        </w:rPr>
        <w:t xml:space="preserve"> donor (pair B). 54 TCRβ chains both in single-cell and bulk TCR data were detected, 26 of which were among the persistent T cell clon</w:t>
      </w:r>
      <w:r w:rsidR="00682F59">
        <w:rPr>
          <w:rFonts w:asciiTheme="majorHAnsi" w:hAnsiTheme="majorHAnsi" w:cstheme="majorHAnsi"/>
          <w:lang w:val="en-US"/>
        </w:rPr>
        <w:t>otypes</w:t>
      </w:r>
      <w:r w:rsidRPr="00D84087">
        <w:rPr>
          <w:rFonts w:asciiTheme="majorHAnsi" w:hAnsiTheme="majorHAnsi" w:cstheme="majorHAnsi"/>
          <w:lang w:val="en-US"/>
        </w:rPr>
        <w:t>.</w:t>
      </w:r>
    </w:p>
    <w:p w14:paraId="173F412B" w14:textId="70B3CB29" w:rsidR="00B07181" w:rsidRDefault="00B07181" w:rsidP="008064F6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</w:p>
    <w:p w14:paraId="37F6B1C6" w14:textId="6CDF9564" w:rsidR="00B07181" w:rsidRDefault="00B07181" w:rsidP="00B07181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</w:p>
    <w:p w14:paraId="4F5E28E6" w14:textId="5BAE51B1" w:rsidR="0060719F" w:rsidRDefault="0060719F" w:rsidP="00B07181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</w:p>
    <w:p w14:paraId="2FB912FE" w14:textId="6935F0AC" w:rsidR="0060719F" w:rsidRDefault="0060719F" w:rsidP="00B07181">
      <w:pPr>
        <w:spacing w:line="360" w:lineRule="auto"/>
        <w:jc w:val="both"/>
        <w:rPr>
          <w:rFonts w:asciiTheme="majorHAnsi" w:hAnsiTheme="majorHAnsi" w:cstheme="majorHAnsi"/>
          <w:b/>
          <w:bCs/>
          <w:lang w:val="en-US"/>
        </w:rPr>
      </w:pPr>
      <w:r>
        <w:rPr>
          <w:rFonts w:asciiTheme="majorHAnsi" w:hAnsiTheme="majorHAnsi" w:cstheme="majorHAnsi"/>
          <w:noProof/>
          <w:lang w:val="en-US"/>
        </w:rPr>
        <w:drawing>
          <wp:inline distT="0" distB="0" distL="0" distR="0" wp14:anchorId="555EF470" wp14:editId="73AC1758">
            <wp:extent cx="5756910" cy="2611224"/>
            <wp:effectExtent l="0" t="0" r="0" b="5080"/>
            <wp:docPr id="7" name="Picture 7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, engineering drawing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334"/>
                    <a:stretch/>
                  </pic:blipFill>
                  <pic:spPr bwMode="auto">
                    <a:xfrm>
                      <a:off x="0" y="0"/>
                      <a:ext cx="5756910" cy="26112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0ECA88" w14:textId="6A53E65B" w:rsidR="00B07181" w:rsidRPr="002A1074" w:rsidRDefault="00B07181" w:rsidP="00B07181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  <w:r w:rsidRPr="0080002B">
        <w:rPr>
          <w:rFonts w:asciiTheme="majorHAnsi" w:hAnsiTheme="majorHAnsi" w:cstheme="majorHAnsi"/>
          <w:b/>
          <w:bCs/>
          <w:lang w:val="en-US"/>
        </w:rPr>
        <w:t xml:space="preserve">Suppl. </w:t>
      </w:r>
      <w:r>
        <w:rPr>
          <w:rFonts w:asciiTheme="majorHAnsi" w:hAnsiTheme="majorHAnsi" w:cstheme="majorHAnsi"/>
          <w:b/>
          <w:bCs/>
          <w:lang w:val="en-US"/>
        </w:rPr>
        <w:t xml:space="preserve">Figure S6. (A) </w:t>
      </w:r>
      <w:r w:rsidRPr="002A1074">
        <w:rPr>
          <w:rFonts w:asciiTheme="majorHAnsi" w:hAnsiTheme="majorHAnsi" w:cstheme="majorHAnsi"/>
          <w:lang w:val="en-US"/>
        </w:rPr>
        <w:t xml:space="preserve">Representative example of sorting </w:t>
      </w:r>
      <w:r>
        <w:rPr>
          <w:rFonts w:asciiTheme="majorHAnsi" w:hAnsiTheme="majorHAnsi" w:cstheme="majorHAnsi"/>
          <w:lang w:val="en-US"/>
        </w:rPr>
        <w:t xml:space="preserve">strategy for all single-cell sequencing experiments. </w:t>
      </w:r>
      <w:r w:rsidRPr="0060719F">
        <w:rPr>
          <w:rFonts w:asciiTheme="majorHAnsi" w:hAnsiTheme="majorHAnsi" w:cstheme="majorHAnsi"/>
          <w:b/>
          <w:bCs/>
          <w:lang w:val="en-US"/>
        </w:rPr>
        <w:t>(B)</w:t>
      </w:r>
      <w:r>
        <w:rPr>
          <w:rFonts w:asciiTheme="majorHAnsi" w:hAnsiTheme="majorHAnsi" w:cstheme="majorHAnsi"/>
          <w:lang w:val="en-US"/>
        </w:rPr>
        <w:t xml:space="preserve"> Representative example of sorting strategy for </w:t>
      </w:r>
      <w:r w:rsidRPr="00BB1F88">
        <w:rPr>
          <w:rFonts w:asciiTheme="majorHAnsi" w:hAnsiTheme="majorHAnsi" w:cstheme="majorHAnsi"/>
          <w:lang w:val="en-US"/>
        </w:rPr>
        <w:t xml:space="preserve">functional </w:t>
      </w:r>
      <w:r>
        <w:rPr>
          <w:rFonts w:asciiTheme="majorHAnsi" w:hAnsiTheme="majorHAnsi" w:cstheme="majorHAnsi"/>
          <w:lang w:val="en-US"/>
        </w:rPr>
        <w:t>experiments</w:t>
      </w:r>
      <w:r w:rsidRPr="00BB1F88">
        <w:rPr>
          <w:rFonts w:asciiTheme="majorHAnsi" w:hAnsiTheme="majorHAnsi" w:cstheme="majorHAnsi"/>
          <w:lang w:val="en-US"/>
        </w:rPr>
        <w:t xml:space="preserve"> and TCRβ bulk sequencing analysis</w:t>
      </w:r>
      <w:r>
        <w:rPr>
          <w:rFonts w:asciiTheme="majorHAnsi" w:hAnsiTheme="majorHAnsi" w:cstheme="majorHAnsi"/>
          <w:lang w:val="en-US"/>
        </w:rPr>
        <w:t>, both shown in Figure 5 of the manuscript.</w:t>
      </w:r>
    </w:p>
    <w:p w14:paraId="3C85DB1B" w14:textId="76337458" w:rsidR="00B07181" w:rsidRDefault="00B07181" w:rsidP="008064F6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</w:p>
    <w:p w14:paraId="2F03567F" w14:textId="307A538B" w:rsidR="00B07181" w:rsidRPr="00D84087" w:rsidRDefault="00B07181" w:rsidP="008064F6">
      <w:pPr>
        <w:spacing w:line="360" w:lineRule="auto"/>
        <w:jc w:val="both"/>
        <w:rPr>
          <w:rFonts w:asciiTheme="majorHAnsi" w:hAnsiTheme="majorHAnsi" w:cstheme="majorHAnsi"/>
          <w:lang w:val="en-US"/>
        </w:rPr>
      </w:pPr>
    </w:p>
    <w:p w14:paraId="30E6C913" w14:textId="77777777" w:rsidR="008064F6" w:rsidRPr="00E12C6A" w:rsidRDefault="008064F6" w:rsidP="00E12C6A">
      <w:pPr>
        <w:spacing w:line="360" w:lineRule="auto"/>
        <w:jc w:val="both"/>
        <w:rPr>
          <w:rFonts w:ascii="Times New Roman" w:hAnsi="Times New Roman" w:cs="Times New Roman"/>
          <w:b/>
          <w:bCs/>
          <w:lang w:val="en-US"/>
        </w:rPr>
      </w:pPr>
    </w:p>
    <w:sectPr w:rsidR="008064F6" w:rsidRPr="00E12C6A" w:rsidSect="00B4314C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A18"/>
    <w:multiLevelType w:val="hybridMultilevel"/>
    <w:tmpl w:val="2CFAFDA0"/>
    <w:lvl w:ilvl="0" w:tplc="6AF81974">
      <w:start w:val="1"/>
      <w:numFmt w:val="upperLetter"/>
      <w:lvlText w:val="(%1)"/>
      <w:lvlJc w:val="left"/>
      <w:pPr>
        <w:tabs>
          <w:tab w:val="num" w:pos="720"/>
        </w:tabs>
        <w:ind w:left="720" w:hanging="360"/>
      </w:pPr>
    </w:lvl>
    <w:lvl w:ilvl="1" w:tplc="C79C1F84" w:tentative="1">
      <w:start w:val="1"/>
      <w:numFmt w:val="upperLetter"/>
      <w:lvlText w:val="(%2)"/>
      <w:lvlJc w:val="left"/>
      <w:pPr>
        <w:tabs>
          <w:tab w:val="num" w:pos="1440"/>
        </w:tabs>
        <w:ind w:left="1440" w:hanging="360"/>
      </w:pPr>
    </w:lvl>
    <w:lvl w:ilvl="2" w:tplc="5D087A4E" w:tentative="1">
      <w:start w:val="1"/>
      <w:numFmt w:val="upperLetter"/>
      <w:lvlText w:val="(%3)"/>
      <w:lvlJc w:val="left"/>
      <w:pPr>
        <w:tabs>
          <w:tab w:val="num" w:pos="2160"/>
        </w:tabs>
        <w:ind w:left="2160" w:hanging="360"/>
      </w:pPr>
    </w:lvl>
    <w:lvl w:ilvl="3" w:tplc="9DDEE15E" w:tentative="1">
      <w:start w:val="1"/>
      <w:numFmt w:val="upperLetter"/>
      <w:lvlText w:val="(%4)"/>
      <w:lvlJc w:val="left"/>
      <w:pPr>
        <w:tabs>
          <w:tab w:val="num" w:pos="2880"/>
        </w:tabs>
        <w:ind w:left="2880" w:hanging="360"/>
      </w:pPr>
    </w:lvl>
    <w:lvl w:ilvl="4" w:tplc="92288610" w:tentative="1">
      <w:start w:val="1"/>
      <w:numFmt w:val="upperLetter"/>
      <w:lvlText w:val="(%5)"/>
      <w:lvlJc w:val="left"/>
      <w:pPr>
        <w:tabs>
          <w:tab w:val="num" w:pos="3600"/>
        </w:tabs>
        <w:ind w:left="3600" w:hanging="360"/>
      </w:pPr>
    </w:lvl>
    <w:lvl w:ilvl="5" w:tplc="ACD865E4" w:tentative="1">
      <w:start w:val="1"/>
      <w:numFmt w:val="upperLetter"/>
      <w:lvlText w:val="(%6)"/>
      <w:lvlJc w:val="left"/>
      <w:pPr>
        <w:tabs>
          <w:tab w:val="num" w:pos="4320"/>
        </w:tabs>
        <w:ind w:left="4320" w:hanging="360"/>
      </w:pPr>
    </w:lvl>
    <w:lvl w:ilvl="6" w:tplc="3B58EEDE" w:tentative="1">
      <w:start w:val="1"/>
      <w:numFmt w:val="upperLetter"/>
      <w:lvlText w:val="(%7)"/>
      <w:lvlJc w:val="left"/>
      <w:pPr>
        <w:tabs>
          <w:tab w:val="num" w:pos="5040"/>
        </w:tabs>
        <w:ind w:left="5040" w:hanging="360"/>
      </w:pPr>
    </w:lvl>
    <w:lvl w:ilvl="7" w:tplc="5CA231CA" w:tentative="1">
      <w:start w:val="1"/>
      <w:numFmt w:val="upperLetter"/>
      <w:lvlText w:val="(%8)"/>
      <w:lvlJc w:val="left"/>
      <w:pPr>
        <w:tabs>
          <w:tab w:val="num" w:pos="5760"/>
        </w:tabs>
        <w:ind w:left="5760" w:hanging="360"/>
      </w:pPr>
    </w:lvl>
    <w:lvl w:ilvl="8" w:tplc="61D8250A" w:tentative="1">
      <w:start w:val="1"/>
      <w:numFmt w:val="upperLetter"/>
      <w:lvlText w:val="(%9)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CF514D7"/>
    <w:multiLevelType w:val="hybridMultilevel"/>
    <w:tmpl w:val="6FCED00A"/>
    <w:lvl w:ilvl="0" w:tplc="929E56A6">
      <w:start w:val="1"/>
      <w:numFmt w:val="upperLetter"/>
      <w:lvlText w:val="(%1)"/>
      <w:lvlJc w:val="left"/>
      <w:pPr>
        <w:tabs>
          <w:tab w:val="num" w:pos="720"/>
        </w:tabs>
        <w:ind w:left="720" w:hanging="360"/>
      </w:pPr>
    </w:lvl>
    <w:lvl w:ilvl="1" w:tplc="B2923044" w:tentative="1">
      <w:start w:val="1"/>
      <w:numFmt w:val="upperLetter"/>
      <w:lvlText w:val="(%2)"/>
      <w:lvlJc w:val="left"/>
      <w:pPr>
        <w:tabs>
          <w:tab w:val="num" w:pos="1440"/>
        </w:tabs>
        <w:ind w:left="1440" w:hanging="360"/>
      </w:pPr>
    </w:lvl>
    <w:lvl w:ilvl="2" w:tplc="1F08C374" w:tentative="1">
      <w:start w:val="1"/>
      <w:numFmt w:val="upperLetter"/>
      <w:lvlText w:val="(%3)"/>
      <w:lvlJc w:val="left"/>
      <w:pPr>
        <w:tabs>
          <w:tab w:val="num" w:pos="2160"/>
        </w:tabs>
        <w:ind w:left="2160" w:hanging="360"/>
      </w:pPr>
    </w:lvl>
    <w:lvl w:ilvl="3" w:tplc="CFCC6312" w:tentative="1">
      <w:start w:val="1"/>
      <w:numFmt w:val="upperLetter"/>
      <w:lvlText w:val="(%4)"/>
      <w:lvlJc w:val="left"/>
      <w:pPr>
        <w:tabs>
          <w:tab w:val="num" w:pos="2880"/>
        </w:tabs>
        <w:ind w:left="2880" w:hanging="360"/>
      </w:pPr>
    </w:lvl>
    <w:lvl w:ilvl="4" w:tplc="02306120" w:tentative="1">
      <w:start w:val="1"/>
      <w:numFmt w:val="upperLetter"/>
      <w:lvlText w:val="(%5)"/>
      <w:lvlJc w:val="left"/>
      <w:pPr>
        <w:tabs>
          <w:tab w:val="num" w:pos="3600"/>
        </w:tabs>
        <w:ind w:left="3600" w:hanging="360"/>
      </w:pPr>
    </w:lvl>
    <w:lvl w:ilvl="5" w:tplc="A4D653E6" w:tentative="1">
      <w:start w:val="1"/>
      <w:numFmt w:val="upperLetter"/>
      <w:lvlText w:val="(%6)"/>
      <w:lvlJc w:val="left"/>
      <w:pPr>
        <w:tabs>
          <w:tab w:val="num" w:pos="4320"/>
        </w:tabs>
        <w:ind w:left="4320" w:hanging="360"/>
      </w:pPr>
    </w:lvl>
    <w:lvl w:ilvl="6" w:tplc="F70AEFD2" w:tentative="1">
      <w:start w:val="1"/>
      <w:numFmt w:val="upperLetter"/>
      <w:lvlText w:val="(%7)"/>
      <w:lvlJc w:val="left"/>
      <w:pPr>
        <w:tabs>
          <w:tab w:val="num" w:pos="5040"/>
        </w:tabs>
        <w:ind w:left="5040" w:hanging="360"/>
      </w:pPr>
    </w:lvl>
    <w:lvl w:ilvl="7" w:tplc="E3166476" w:tentative="1">
      <w:start w:val="1"/>
      <w:numFmt w:val="upperLetter"/>
      <w:lvlText w:val="(%8)"/>
      <w:lvlJc w:val="left"/>
      <w:pPr>
        <w:tabs>
          <w:tab w:val="num" w:pos="5760"/>
        </w:tabs>
        <w:ind w:left="5760" w:hanging="360"/>
      </w:pPr>
    </w:lvl>
    <w:lvl w:ilvl="8" w:tplc="7C34331E" w:tentative="1">
      <w:start w:val="1"/>
      <w:numFmt w:val="upperLetter"/>
      <w:lvlText w:val="(%9)"/>
      <w:lvlJc w:val="left"/>
      <w:pPr>
        <w:tabs>
          <w:tab w:val="num" w:pos="6480"/>
        </w:tabs>
        <w:ind w:left="6480" w:hanging="360"/>
      </w:pPr>
    </w:lvl>
  </w:abstractNum>
  <w:num w:numId="1" w16cid:durableId="346177345">
    <w:abstractNumId w:val="0"/>
  </w:num>
  <w:num w:numId="2" w16cid:durableId="13575792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152E"/>
    <w:rsid w:val="00023F17"/>
    <w:rsid w:val="00025520"/>
    <w:rsid w:val="00042EC8"/>
    <w:rsid w:val="00093AF7"/>
    <w:rsid w:val="000A41B2"/>
    <w:rsid w:val="000A775C"/>
    <w:rsid w:val="000C482F"/>
    <w:rsid w:val="000D37B4"/>
    <w:rsid w:val="000E6CD1"/>
    <w:rsid w:val="00100E3F"/>
    <w:rsid w:val="00135653"/>
    <w:rsid w:val="00167257"/>
    <w:rsid w:val="0017400A"/>
    <w:rsid w:val="0018365C"/>
    <w:rsid w:val="00192246"/>
    <w:rsid w:val="001D119E"/>
    <w:rsid w:val="00222E32"/>
    <w:rsid w:val="00283C35"/>
    <w:rsid w:val="002A4F43"/>
    <w:rsid w:val="002C1B2C"/>
    <w:rsid w:val="002F76ED"/>
    <w:rsid w:val="0037152E"/>
    <w:rsid w:val="003A326E"/>
    <w:rsid w:val="003A7361"/>
    <w:rsid w:val="003D3B2C"/>
    <w:rsid w:val="003E659E"/>
    <w:rsid w:val="00403CE3"/>
    <w:rsid w:val="00436A8C"/>
    <w:rsid w:val="004B2FC0"/>
    <w:rsid w:val="004B313E"/>
    <w:rsid w:val="00516480"/>
    <w:rsid w:val="00525FE1"/>
    <w:rsid w:val="005F3AF8"/>
    <w:rsid w:val="0060719F"/>
    <w:rsid w:val="00610857"/>
    <w:rsid w:val="00621F09"/>
    <w:rsid w:val="00682F59"/>
    <w:rsid w:val="00682FD5"/>
    <w:rsid w:val="006921A5"/>
    <w:rsid w:val="006959EA"/>
    <w:rsid w:val="0071428A"/>
    <w:rsid w:val="007953EB"/>
    <w:rsid w:val="007A1C63"/>
    <w:rsid w:val="007B4F82"/>
    <w:rsid w:val="007B5167"/>
    <w:rsid w:val="007B7F1A"/>
    <w:rsid w:val="007C5D4F"/>
    <w:rsid w:val="007F3F25"/>
    <w:rsid w:val="008064F6"/>
    <w:rsid w:val="008D7E28"/>
    <w:rsid w:val="0093075E"/>
    <w:rsid w:val="009B3F4C"/>
    <w:rsid w:val="009C55E6"/>
    <w:rsid w:val="009E2D1D"/>
    <w:rsid w:val="009F05AF"/>
    <w:rsid w:val="009F1147"/>
    <w:rsid w:val="00A060C5"/>
    <w:rsid w:val="00A10A65"/>
    <w:rsid w:val="00A207C5"/>
    <w:rsid w:val="00A851C9"/>
    <w:rsid w:val="00A96370"/>
    <w:rsid w:val="00AB4203"/>
    <w:rsid w:val="00B07181"/>
    <w:rsid w:val="00B4314C"/>
    <w:rsid w:val="00B8369F"/>
    <w:rsid w:val="00B847F3"/>
    <w:rsid w:val="00B971A5"/>
    <w:rsid w:val="00BD6A80"/>
    <w:rsid w:val="00BF4DC0"/>
    <w:rsid w:val="00C04875"/>
    <w:rsid w:val="00C07816"/>
    <w:rsid w:val="00C117B5"/>
    <w:rsid w:val="00C41D5F"/>
    <w:rsid w:val="00C55FD1"/>
    <w:rsid w:val="00CE7221"/>
    <w:rsid w:val="00CF31E7"/>
    <w:rsid w:val="00CF3D7F"/>
    <w:rsid w:val="00CF4B45"/>
    <w:rsid w:val="00D33323"/>
    <w:rsid w:val="00D34A56"/>
    <w:rsid w:val="00D75284"/>
    <w:rsid w:val="00D84087"/>
    <w:rsid w:val="00D90747"/>
    <w:rsid w:val="00DD5ED5"/>
    <w:rsid w:val="00E03BCD"/>
    <w:rsid w:val="00E061A3"/>
    <w:rsid w:val="00E12C6A"/>
    <w:rsid w:val="00E36A67"/>
    <w:rsid w:val="00E6620B"/>
    <w:rsid w:val="00EC5B65"/>
    <w:rsid w:val="00ED737D"/>
    <w:rsid w:val="00F205B0"/>
    <w:rsid w:val="00F23577"/>
    <w:rsid w:val="00F60905"/>
    <w:rsid w:val="00F622B4"/>
    <w:rsid w:val="00F977A0"/>
    <w:rsid w:val="00FA371E"/>
    <w:rsid w:val="00FC7383"/>
    <w:rsid w:val="00FF41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E09C7D"/>
  <w15:chartTrackingRefBased/>
  <w15:docId w15:val="{B74AF94A-FAA1-9948-AB82-E48A795DE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12C6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B071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161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4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8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89954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864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193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35013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66342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0617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154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37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706</Words>
  <Characters>4030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il-kang na</dc:creator>
  <cp:keywords/>
  <dc:description/>
  <cp:lastModifiedBy>Wittenbecher, Friedrich</cp:lastModifiedBy>
  <cp:revision>4</cp:revision>
  <dcterms:created xsi:type="dcterms:W3CDTF">2023-01-12T08:39:00Z</dcterms:created>
  <dcterms:modified xsi:type="dcterms:W3CDTF">2023-01-12T19:49:00Z</dcterms:modified>
</cp:coreProperties>
</file>