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026E" w:rsidRPr="003C492A" w:rsidRDefault="00CA026E" w:rsidP="00CA026E">
      <w:pPr>
        <w:widowControl w:val="0"/>
        <w:pBdr>
          <w:top w:val="nil"/>
          <w:left w:val="nil"/>
          <w:bottom w:val="nil"/>
          <w:right w:val="nil"/>
          <w:between w:val="nil"/>
        </w:pBdr>
        <w:spacing w:after="0" w:line="276" w:lineRule="auto"/>
        <w:rPr>
          <w:rFonts w:ascii="Arial" w:eastAsia="Arial" w:hAnsi="Arial" w:cs="Arial"/>
          <w:b/>
        </w:rPr>
      </w:pPr>
      <w:r w:rsidRPr="003C492A">
        <w:rPr>
          <w:rFonts w:ascii="Arial" w:eastAsia="Arial" w:hAnsi="Arial" w:cs="Arial"/>
          <w:b/>
        </w:rPr>
        <w:t>Supplement</w:t>
      </w:r>
    </w:p>
    <w:p w:rsidR="00CA026E" w:rsidRPr="003C492A" w:rsidRDefault="00CA026E" w:rsidP="00CA026E">
      <w:pPr>
        <w:widowControl w:val="0"/>
        <w:pBdr>
          <w:top w:val="nil"/>
          <w:left w:val="nil"/>
          <w:bottom w:val="nil"/>
          <w:right w:val="nil"/>
          <w:between w:val="nil"/>
        </w:pBdr>
        <w:spacing w:after="0" w:line="276" w:lineRule="auto"/>
        <w:rPr>
          <w:rFonts w:ascii="Arial" w:eastAsia="Arial" w:hAnsi="Arial" w:cs="Arial"/>
          <w:b/>
        </w:rPr>
      </w:pPr>
    </w:p>
    <w:p w:rsidR="00CA026E" w:rsidRPr="003C492A" w:rsidRDefault="00CA026E" w:rsidP="00CA026E">
      <w:pPr>
        <w:widowControl w:val="0"/>
        <w:pBdr>
          <w:top w:val="nil"/>
          <w:left w:val="nil"/>
          <w:bottom w:val="nil"/>
          <w:right w:val="nil"/>
          <w:between w:val="nil"/>
        </w:pBdr>
        <w:spacing w:after="0" w:line="276" w:lineRule="auto"/>
        <w:rPr>
          <w:rFonts w:ascii="Arial" w:eastAsia="Arial" w:hAnsi="Arial" w:cs="Arial"/>
          <w:b/>
        </w:rPr>
      </w:pPr>
      <w:r w:rsidRPr="003C492A">
        <w:rPr>
          <w:rFonts w:ascii="Arial" w:eastAsia="Arial" w:hAnsi="Arial" w:cs="Arial"/>
          <w:b/>
        </w:rPr>
        <w:t>Supplemental Methods</w:t>
      </w:r>
    </w:p>
    <w:p w:rsidR="00CA026E" w:rsidRPr="003C492A" w:rsidRDefault="00CA026E" w:rsidP="00CA026E">
      <w:pPr>
        <w:widowControl w:val="0"/>
        <w:pBdr>
          <w:top w:val="nil"/>
          <w:left w:val="nil"/>
          <w:bottom w:val="nil"/>
          <w:right w:val="nil"/>
          <w:between w:val="nil"/>
        </w:pBdr>
        <w:spacing w:after="0" w:line="276" w:lineRule="auto"/>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Analysis of Single Cell RNA-Sequencing Data of PBMCs</w:t>
      </w:r>
    </w:p>
    <w:p w:rsidR="00CA026E" w:rsidRPr="003C492A" w:rsidRDefault="00CA026E" w:rsidP="00CA026E">
      <w:pPr>
        <w:spacing w:after="0" w:line="480" w:lineRule="auto"/>
        <w:jc w:val="both"/>
        <w:rPr>
          <w:rFonts w:ascii="Arial" w:eastAsia="Arial" w:hAnsi="Arial" w:cs="Arial"/>
        </w:rPr>
      </w:pPr>
      <w:proofErr w:type="spellStart"/>
      <w:r w:rsidRPr="003C492A">
        <w:rPr>
          <w:rFonts w:ascii="Arial" w:eastAsia="Arial" w:hAnsi="Arial" w:cs="Arial"/>
        </w:rPr>
        <w:t>Analyzed</w:t>
      </w:r>
      <w:proofErr w:type="spellEnd"/>
      <w:r w:rsidRPr="003C492A">
        <w:rPr>
          <w:rFonts w:ascii="Arial" w:eastAsia="Arial" w:hAnsi="Arial" w:cs="Arial"/>
        </w:rPr>
        <w:t xml:space="preserve"> single cell RNA-sequencing (</w:t>
      </w:r>
      <w:proofErr w:type="spellStart"/>
      <w:r w:rsidRPr="003C492A">
        <w:rPr>
          <w:rFonts w:ascii="Arial" w:eastAsia="Arial" w:hAnsi="Arial" w:cs="Arial"/>
        </w:rPr>
        <w:t>scRNA-seq</w:t>
      </w:r>
      <w:proofErr w:type="spellEnd"/>
      <w:r w:rsidRPr="003C492A">
        <w:rPr>
          <w:rFonts w:ascii="Arial" w:eastAsia="Arial" w:hAnsi="Arial" w:cs="Arial"/>
        </w:rPr>
        <w:t xml:space="preserve">) data from PBMCs originate from a published Dual </w:t>
      </w:r>
      <w:proofErr w:type="spellStart"/>
      <w:r w:rsidRPr="003C492A">
        <w:rPr>
          <w:rFonts w:ascii="Arial" w:eastAsia="Arial" w:hAnsi="Arial" w:cs="Arial"/>
        </w:rPr>
        <w:t>Center</w:t>
      </w:r>
      <w:proofErr w:type="spellEnd"/>
      <w:r w:rsidRPr="003C492A">
        <w:rPr>
          <w:rFonts w:ascii="Arial" w:eastAsia="Arial" w:hAnsi="Arial" w:cs="Arial"/>
        </w:rPr>
        <w:t xml:space="preserve"> Cohort Study </w:t>
      </w:r>
      <w:hyperlink r:id="rId4">
        <w:r w:rsidRPr="003C492A">
          <w:rPr>
            <w:rFonts w:ascii="Arial" w:eastAsia="Arial" w:hAnsi="Arial" w:cs="Arial"/>
            <w:color w:val="000000"/>
          </w:rPr>
          <w:t>[33]</w:t>
        </w:r>
      </w:hyperlink>
      <w:r w:rsidRPr="003C492A">
        <w:rPr>
          <w:rFonts w:ascii="Arial" w:eastAsia="Arial" w:hAnsi="Arial" w:cs="Arial"/>
        </w:rPr>
        <w:t xml:space="preserve">. Two independent patient cohorts had previously been recruited between March and July 2020 at two university medical </w:t>
      </w:r>
      <w:proofErr w:type="spellStart"/>
      <w:r w:rsidRPr="003C492A">
        <w:rPr>
          <w:rFonts w:ascii="Arial" w:eastAsia="Arial" w:hAnsi="Arial" w:cs="Arial"/>
        </w:rPr>
        <w:t>centers</w:t>
      </w:r>
      <w:proofErr w:type="spellEnd"/>
      <w:r w:rsidRPr="003C492A">
        <w:rPr>
          <w:rFonts w:ascii="Arial" w:eastAsia="Arial" w:hAnsi="Arial" w:cs="Arial"/>
        </w:rPr>
        <w:t xml:space="preserve"> in Germany. Cohort A comprises PBMC samples from </w:t>
      </w:r>
      <w:proofErr w:type="spellStart"/>
      <w:r w:rsidRPr="003C492A">
        <w:rPr>
          <w:rFonts w:ascii="Arial" w:eastAsia="Arial" w:hAnsi="Arial" w:cs="Arial"/>
        </w:rPr>
        <w:t>Charité</w:t>
      </w:r>
      <w:proofErr w:type="spellEnd"/>
      <w:r w:rsidRPr="003C492A">
        <w:rPr>
          <w:rFonts w:ascii="Arial" w:eastAsia="Arial" w:hAnsi="Arial" w:cs="Arial"/>
        </w:rPr>
        <w:t xml:space="preserve"> - </w:t>
      </w:r>
      <w:proofErr w:type="spellStart"/>
      <w:r w:rsidRPr="003C492A">
        <w:rPr>
          <w:rFonts w:ascii="Arial" w:eastAsia="Arial" w:hAnsi="Arial" w:cs="Arial"/>
        </w:rPr>
        <w:t>Universitätsmedizin</w:t>
      </w:r>
      <w:proofErr w:type="spellEnd"/>
      <w:r w:rsidRPr="003C492A">
        <w:rPr>
          <w:rFonts w:ascii="Arial" w:eastAsia="Arial" w:hAnsi="Arial" w:cs="Arial"/>
        </w:rPr>
        <w:t xml:space="preserve"> Berlin collected within the </w:t>
      </w:r>
      <w:r w:rsidRPr="003C492A">
        <w:rPr>
          <w:rFonts w:ascii="Arial" w:eastAsia="Arial" w:hAnsi="Arial" w:cs="Arial"/>
          <w:i/>
        </w:rPr>
        <w:t>Pa-COVID-19</w:t>
      </w:r>
      <w:r w:rsidRPr="003C492A">
        <w:rPr>
          <w:rFonts w:ascii="Arial" w:eastAsia="Arial" w:hAnsi="Arial" w:cs="Arial"/>
        </w:rPr>
        <w:t xml:space="preserve"> study </w:t>
      </w:r>
      <w:hyperlink r:id="rId5">
        <w:r w:rsidRPr="003C492A">
          <w:rPr>
            <w:rFonts w:ascii="Arial" w:eastAsia="Arial" w:hAnsi="Arial" w:cs="Arial"/>
            <w:color w:val="000000"/>
          </w:rPr>
          <w:t>[18]</w:t>
        </w:r>
      </w:hyperlink>
      <w:r w:rsidRPr="003C492A">
        <w:rPr>
          <w:rFonts w:ascii="Arial" w:eastAsia="Arial" w:hAnsi="Arial" w:cs="Arial"/>
        </w:rPr>
        <w:t xml:space="preserve"> (27 samples from 18 SARS-CoV-2 patients - mild (WHO 2-4): n=8, severe (WHO 5-7): n=10, and 22 healthy controls). Data had been generated by </w:t>
      </w:r>
      <w:proofErr w:type="spellStart"/>
      <w:r w:rsidRPr="003C492A">
        <w:rPr>
          <w:rFonts w:ascii="Arial" w:eastAsia="Arial" w:hAnsi="Arial" w:cs="Arial"/>
        </w:rPr>
        <w:t>scRNA-seq</w:t>
      </w:r>
      <w:proofErr w:type="spellEnd"/>
      <w:r w:rsidRPr="003C492A">
        <w:rPr>
          <w:rFonts w:ascii="Arial" w:eastAsia="Arial" w:hAnsi="Arial" w:cs="Arial"/>
        </w:rPr>
        <w:t xml:space="preserve"> with a droplet-based platform. </w:t>
      </w:r>
      <w:proofErr w:type="spellStart"/>
      <w:r w:rsidRPr="003C492A">
        <w:rPr>
          <w:rFonts w:ascii="Arial" w:eastAsia="Arial" w:hAnsi="Arial" w:cs="Arial"/>
        </w:rPr>
        <w:t>CellRanger</w:t>
      </w:r>
      <w:proofErr w:type="spellEnd"/>
      <w:r w:rsidRPr="003C492A">
        <w:rPr>
          <w:rFonts w:ascii="Arial" w:eastAsia="Arial" w:hAnsi="Arial" w:cs="Arial"/>
        </w:rPr>
        <w:t xml:space="preserve"> v3.1.0 (10x Genomics) was used to process </w:t>
      </w:r>
      <w:proofErr w:type="spellStart"/>
      <w:r w:rsidRPr="003C492A">
        <w:rPr>
          <w:rFonts w:ascii="Arial" w:eastAsia="Arial" w:hAnsi="Arial" w:cs="Arial"/>
        </w:rPr>
        <w:t>scRNA</w:t>
      </w:r>
      <w:proofErr w:type="spellEnd"/>
      <w:r w:rsidRPr="003C492A">
        <w:rPr>
          <w:rFonts w:ascii="Arial" w:eastAsia="Arial" w:hAnsi="Arial" w:cs="Arial"/>
        </w:rPr>
        <w:t xml:space="preserve">-seq. To generate a digital gene expression (DGE) matrix for each sample, we mapped their reads to a combined reference of GRCh38 genome and SARS-CoV-2 genome and recorded the number of UMIs for each gene in each cell </w:t>
      </w:r>
      <w:hyperlink r:id="rId6">
        <w:r w:rsidRPr="003C492A">
          <w:rPr>
            <w:rFonts w:ascii="Arial" w:eastAsia="Arial" w:hAnsi="Arial" w:cs="Arial"/>
            <w:color w:val="000000"/>
          </w:rPr>
          <w:t>[33]</w:t>
        </w:r>
      </w:hyperlink>
      <w:r w:rsidRPr="003C492A">
        <w:rPr>
          <w:rFonts w:ascii="Arial" w:eastAsia="Arial" w:hAnsi="Arial" w:cs="Arial"/>
        </w:rPr>
        <w:t xml:space="preserve">. Cohort B comprises PBMC </w:t>
      </w:r>
      <w:proofErr w:type="gramStart"/>
      <w:r w:rsidRPr="003C492A">
        <w:rPr>
          <w:rFonts w:ascii="Arial" w:eastAsia="Arial" w:hAnsi="Arial" w:cs="Arial"/>
        </w:rPr>
        <w:t>samples  collected</w:t>
      </w:r>
      <w:proofErr w:type="gramEnd"/>
      <w:r w:rsidRPr="003C492A">
        <w:rPr>
          <w:rFonts w:ascii="Arial" w:eastAsia="Arial" w:hAnsi="Arial" w:cs="Arial"/>
        </w:rPr>
        <w:t xml:space="preserve"> at University Hospital Bonn (50 samples from 17 SARS-CoV-2 patients - mild: n=8, severe: n=9, 13 healthy controls) and </w:t>
      </w:r>
      <w:proofErr w:type="spellStart"/>
      <w:r w:rsidRPr="003C492A">
        <w:rPr>
          <w:rFonts w:ascii="Arial" w:eastAsia="Arial" w:hAnsi="Arial" w:cs="Arial"/>
        </w:rPr>
        <w:t>scRNA-seq</w:t>
      </w:r>
      <w:proofErr w:type="spellEnd"/>
      <w:r w:rsidRPr="003C492A">
        <w:rPr>
          <w:rFonts w:ascii="Arial" w:eastAsia="Arial" w:hAnsi="Arial" w:cs="Arial"/>
        </w:rPr>
        <w:t xml:space="preserve"> data had been generated by a </w:t>
      </w:r>
      <w:proofErr w:type="spellStart"/>
      <w:r w:rsidRPr="003C492A">
        <w:rPr>
          <w:rFonts w:ascii="Arial" w:eastAsia="Arial" w:hAnsi="Arial" w:cs="Arial"/>
        </w:rPr>
        <w:t>microwell</w:t>
      </w:r>
      <w:proofErr w:type="spellEnd"/>
      <w:r w:rsidRPr="003C492A">
        <w:rPr>
          <w:rFonts w:ascii="Arial" w:eastAsia="Arial" w:hAnsi="Arial" w:cs="Arial"/>
        </w:rPr>
        <w:t xml:space="preserve">-based system. STAR 2.6.1b was used for alignment against the </w:t>
      </w:r>
      <w:proofErr w:type="spellStart"/>
      <w:r w:rsidRPr="003C492A">
        <w:rPr>
          <w:rFonts w:ascii="Arial" w:eastAsia="Arial" w:hAnsi="Arial" w:cs="Arial"/>
        </w:rPr>
        <w:t>Gencode</w:t>
      </w:r>
      <w:proofErr w:type="spellEnd"/>
      <w:r w:rsidRPr="003C492A">
        <w:rPr>
          <w:rFonts w:ascii="Arial" w:eastAsia="Arial" w:hAnsi="Arial" w:cs="Arial"/>
        </w:rPr>
        <w:t xml:space="preserve"> v27 reference genome </w:t>
      </w:r>
      <w:hyperlink r:id="rId7">
        <w:r w:rsidRPr="003C492A">
          <w:rPr>
            <w:rFonts w:ascii="Arial" w:eastAsia="Arial" w:hAnsi="Arial" w:cs="Arial"/>
            <w:color w:val="000000"/>
          </w:rPr>
          <w:t>[50]</w:t>
        </w:r>
      </w:hyperlink>
      <w:r w:rsidRPr="003C492A">
        <w:rPr>
          <w:rFonts w:ascii="Arial" w:eastAsia="Arial" w:hAnsi="Arial" w:cs="Arial"/>
        </w:rPr>
        <w:t xml:space="preserve">. </w:t>
      </w:r>
      <w:proofErr w:type="spellStart"/>
      <w:r w:rsidRPr="003C492A">
        <w:rPr>
          <w:rFonts w:ascii="Arial" w:eastAsia="Arial" w:hAnsi="Arial" w:cs="Arial"/>
        </w:rPr>
        <w:t>Dropseq</w:t>
      </w:r>
      <w:proofErr w:type="spellEnd"/>
      <w:r w:rsidRPr="003C492A">
        <w:rPr>
          <w:rFonts w:ascii="Arial" w:eastAsia="Arial" w:hAnsi="Arial" w:cs="Arial"/>
        </w:rPr>
        <w:t>-tools 2.0.0 were used to quantify gene expression and collapse to UMI count data (</w:t>
      </w:r>
      <w:hyperlink r:id="rId8">
        <w:r w:rsidRPr="003C492A">
          <w:rPr>
            <w:rFonts w:ascii="Arial" w:eastAsia="Arial" w:hAnsi="Arial" w:cs="Arial"/>
            <w:color w:val="1155CC"/>
            <w:u w:val="single"/>
          </w:rPr>
          <w:t>https://github.com/broadinstitute/Drop-seq/</w:t>
        </w:r>
      </w:hyperlink>
      <w:r w:rsidRPr="003C492A">
        <w:rPr>
          <w:rFonts w:ascii="Arial" w:eastAsia="Arial" w:hAnsi="Arial" w:cs="Arial"/>
        </w:rPr>
        <w:t xml:space="preserve">). For hashtag-oligo based </w:t>
      </w:r>
      <w:proofErr w:type="spellStart"/>
      <w:r w:rsidRPr="003C492A">
        <w:rPr>
          <w:rFonts w:ascii="Arial" w:eastAsia="Arial" w:hAnsi="Arial" w:cs="Arial"/>
        </w:rPr>
        <w:t>demultiplexing</w:t>
      </w:r>
      <w:proofErr w:type="spellEnd"/>
      <w:r w:rsidRPr="003C492A">
        <w:rPr>
          <w:rFonts w:ascii="Arial" w:eastAsia="Arial" w:hAnsi="Arial" w:cs="Arial"/>
        </w:rPr>
        <w:t xml:space="preserve"> of single-cell transcriptomes and subsequent assignment of cell barcodes to their sample of origin the respective multiplexing tag sequences were added to the reference genome and quantified as well </w:t>
      </w:r>
      <w:hyperlink r:id="rId9">
        <w:r w:rsidRPr="003C492A">
          <w:rPr>
            <w:rFonts w:ascii="Arial" w:eastAsia="Arial" w:hAnsi="Arial" w:cs="Arial"/>
            <w:color w:val="000000"/>
          </w:rPr>
          <w:t>[33]</w:t>
        </w:r>
      </w:hyperlink>
      <w:r w:rsidRPr="003C492A">
        <w:rPr>
          <w:rFonts w:ascii="Arial" w:eastAsia="Arial" w:hAnsi="Arial" w:cs="Arial"/>
        </w:rPr>
        <w:t xml:space="preserve">. As the </w:t>
      </w:r>
      <w:proofErr w:type="spellStart"/>
      <w:r w:rsidRPr="003C492A">
        <w:rPr>
          <w:rFonts w:ascii="Arial" w:eastAsia="Arial" w:hAnsi="Arial" w:cs="Arial"/>
        </w:rPr>
        <w:t>scRNA-seq</w:t>
      </w:r>
      <w:proofErr w:type="spellEnd"/>
      <w:r w:rsidRPr="003C492A">
        <w:rPr>
          <w:rFonts w:ascii="Arial" w:eastAsia="Arial" w:hAnsi="Arial" w:cs="Arial"/>
        </w:rPr>
        <w:t xml:space="preserve"> data of both cohorts had been generated by different experimental approaches, we </w:t>
      </w:r>
      <w:proofErr w:type="spellStart"/>
      <w:r w:rsidRPr="003C492A">
        <w:rPr>
          <w:rFonts w:ascii="Arial" w:eastAsia="Arial" w:hAnsi="Arial" w:cs="Arial"/>
        </w:rPr>
        <w:t>analyzed</w:t>
      </w:r>
      <w:proofErr w:type="spellEnd"/>
      <w:r w:rsidRPr="003C492A">
        <w:rPr>
          <w:rFonts w:ascii="Arial" w:eastAsia="Arial" w:hAnsi="Arial" w:cs="Arial"/>
        </w:rPr>
        <w:t xml:space="preserve"> each cohort separately in this study. Pre-processed </w:t>
      </w:r>
      <w:proofErr w:type="spellStart"/>
      <w:r w:rsidRPr="003C492A">
        <w:rPr>
          <w:rFonts w:ascii="Arial" w:eastAsia="Arial" w:hAnsi="Arial" w:cs="Arial"/>
        </w:rPr>
        <w:t>scRNA-seq</w:t>
      </w:r>
      <w:proofErr w:type="spellEnd"/>
      <w:r w:rsidRPr="003C492A">
        <w:rPr>
          <w:rFonts w:ascii="Arial" w:eastAsia="Arial" w:hAnsi="Arial" w:cs="Arial"/>
        </w:rPr>
        <w:t xml:space="preserve"> datasets were obtained from the European Genome Archive (EGA) under access number EGAS00001004571 and data were extracted using the </w:t>
      </w:r>
      <w:proofErr w:type="spellStart"/>
      <w:r w:rsidRPr="003C492A">
        <w:rPr>
          <w:rFonts w:ascii="Arial" w:eastAsia="Arial" w:hAnsi="Arial" w:cs="Arial"/>
        </w:rPr>
        <w:t>FetchData</w:t>
      </w:r>
      <w:proofErr w:type="spellEnd"/>
      <w:r w:rsidRPr="003C492A">
        <w:rPr>
          <w:rFonts w:ascii="Arial" w:eastAsia="Arial" w:hAnsi="Arial" w:cs="Arial"/>
          <w:i/>
        </w:rPr>
        <w:t xml:space="preserve"> </w:t>
      </w:r>
      <w:r w:rsidRPr="003C492A">
        <w:rPr>
          <w:rFonts w:ascii="Arial" w:eastAsia="Arial" w:hAnsi="Arial" w:cs="Arial"/>
        </w:rPr>
        <w:t xml:space="preserve">function of the R package Seurat </w:t>
      </w:r>
      <w:hyperlink r:id="rId10">
        <w:r w:rsidRPr="003C492A">
          <w:rPr>
            <w:rFonts w:ascii="Arial" w:eastAsia="Arial" w:hAnsi="Arial" w:cs="Arial"/>
            <w:color w:val="000000"/>
          </w:rPr>
          <w:t>[51]</w:t>
        </w:r>
      </w:hyperlink>
      <w:r w:rsidRPr="003C492A">
        <w:rPr>
          <w:rFonts w:ascii="Arial" w:eastAsia="Arial" w:hAnsi="Arial" w:cs="Arial"/>
        </w:rPr>
        <w:t xml:space="preserve">. </w:t>
      </w:r>
    </w:p>
    <w:p w:rsidR="00CA026E" w:rsidRPr="003C492A" w:rsidRDefault="00CA026E" w:rsidP="00CA026E">
      <w:pPr>
        <w:tabs>
          <w:tab w:val="left" w:pos="6773"/>
        </w:tabs>
        <w:spacing w:after="0" w:line="480" w:lineRule="auto"/>
        <w:jc w:val="both"/>
        <w:rPr>
          <w:rFonts w:ascii="Arial" w:eastAsia="Arial" w:hAnsi="Arial" w:cs="Arial"/>
        </w:rPr>
      </w:pPr>
      <w:r w:rsidRPr="003C492A">
        <w:rPr>
          <w:rFonts w:ascii="Arial" w:eastAsia="Arial" w:hAnsi="Arial" w:cs="Arial"/>
        </w:rPr>
        <w:tab/>
      </w:r>
    </w:p>
    <w:p w:rsidR="00CA026E" w:rsidRPr="003C492A" w:rsidRDefault="00CA026E" w:rsidP="00CA026E">
      <w:pPr>
        <w:tabs>
          <w:tab w:val="left" w:pos="6773"/>
        </w:tabs>
        <w:spacing w:after="0" w:line="480" w:lineRule="auto"/>
        <w:jc w:val="both"/>
        <w:rPr>
          <w:rFonts w:ascii="Arial" w:eastAsia="Arial" w:hAnsi="Arial" w:cs="Arial"/>
        </w:rPr>
      </w:pPr>
    </w:p>
    <w:p w:rsidR="00CA026E" w:rsidRPr="003C492A" w:rsidRDefault="00CA026E" w:rsidP="00CA026E">
      <w:pPr>
        <w:tabs>
          <w:tab w:val="left" w:pos="6773"/>
        </w:tabs>
        <w:spacing w:after="0" w:line="480" w:lineRule="auto"/>
        <w:jc w:val="both"/>
        <w:rPr>
          <w:rFonts w:ascii="Arial" w:eastAsia="Arial" w:hAnsi="Arial" w:cs="Arial"/>
        </w:rPr>
      </w:pPr>
    </w:p>
    <w:p w:rsidR="00CA026E" w:rsidRPr="003C492A" w:rsidRDefault="00CA026E" w:rsidP="00CA026E">
      <w:pPr>
        <w:tabs>
          <w:tab w:val="left" w:pos="6773"/>
        </w:tabs>
        <w:spacing w:after="0" w:line="480" w:lineRule="auto"/>
        <w:jc w:val="both"/>
        <w:rPr>
          <w:rFonts w:ascii="Arial" w:eastAsia="Arial" w:hAnsi="Arial" w:cs="Arial"/>
        </w:rPr>
      </w:pPr>
      <w:r w:rsidRPr="003C492A">
        <w:rPr>
          <w:rFonts w:ascii="Arial" w:eastAsia="Arial" w:hAnsi="Arial" w:cs="Arial"/>
          <w:b/>
        </w:rPr>
        <w:t>Analysis of Single Cell RNA-Sequencing Data of Respiratory Samples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We </w:t>
      </w:r>
      <w:proofErr w:type="spellStart"/>
      <w:r w:rsidRPr="003C492A">
        <w:rPr>
          <w:rFonts w:ascii="Arial" w:eastAsia="Arial" w:hAnsi="Arial" w:cs="Arial"/>
        </w:rPr>
        <w:t>analyzed</w:t>
      </w:r>
      <w:proofErr w:type="spellEnd"/>
      <w:r w:rsidRPr="003C492A">
        <w:rPr>
          <w:rFonts w:ascii="Arial" w:eastAsia="Arial" w:hAnsi="Arial" w:cs="Arial"/>
        </w:rPr>
        <w:t xml:space="preserve"> a published dataset of 32 respiratory samples from 19 hospitalized COVID-19 patients and five healthy controls for </w:t>
      </w:r>
      <w:r w:rsidRPr="003C492A">
        <w:rPr>
          <w:rFonts w:ascii="Arial" w:eastAsia="Arial" w:hAnsi="Arial" w:cs="Arial"/>
          <w:i/>
        </w:rPr>
        <w:t xml:space="preserve">LGALS3BP </w:t>
      </w:r>
      <w:r w:rsidRPr="003C492A">
        <w:rPr>
          <w:rFonts w:ascii="Arial" w:eastAsia="Arial" w:hAnsi="Arial" w:cs="Arial"/>
        </w:rPr>
        <w:t xml:space="preserve">expression, originating from a published </w:t>
      </w:r>
      <w:proofErr w:type="spellStart"/>
      <w:r w:rsidRPr="003C492A">
        <w:rPr>
          <w:rFonts w:ascii="Arial" w:eastAsia="Arial" w:hAnsi="Arial" w:cs="Arial"/>
        </w:rPr>
        <w:t>scRNA-seq</w:t>
      </w:r>
      <w:proofErr w:type="spellEnd"/>
      <w:r w:rsidRPr="003C492A">
        <w:rPr>
          <w:rFonts w:ascii="Arial" w:eastAsia="Arial" w:hAnsi="Arial" w:cs="Arial"/>
        </w:rPr>
        <w:t xml:space="preserve"> study </w:t>
      </w:r>
      <w:hyperlink r:id="rId11">
        <w:r w:rsidRPr="003C492A">
          <w:rPr>
            <w:rFonts w:ascii="Arial" w:eastAsia="Arial" w:hAnsi="Arial" w:cs="Arial"/>
            <w:color w:val="000000"/>
          </w:rPr>
          <w:t>[34]</w:t>
        </w:r>
      </w:hyperlink>
      <w:r w:rsidRPr="003C492A">
        <w:rPr>
          <w:rFonts w:ascii="Arial" w:eastAsia="Arial" w:hAnsi="Arial" w:cs="Arial"/>
        </w:rPr>
        <w:t xml:space="preserve">. The study was designed to investigate the immune response in patients with COVID-19 by </w:t>
      </w:r>
      <w:proofErr w:type="spellStart"/>
      <w:r w:rsidRPr="003C492A">
        <w:rPr>
          <w:rFonts w:ascii="Arial" w:eastAsia="Arial" w:hAnsi="Arial" w:cs="Arial"/>
        </w:rPr>
        <w:t>scRNA-seq</w:t>
      </w:r>
      <w:proofErr w:type="spellEnd"/>
      <w:r w:rsidRPr="003C492A">
        <w:rPr>
          <w:rFonts w:ascii="Arial" w:eastAsia="Arial" w:hAnsi="Arial" w:cs="Arial"/>
        </w:rPr>
        <w:t xml:space="preserve"> of nasopharyngeal and bronchial samples to identify molecular correlates of disease severity. All patients were enrolled either in the Pa-COVID-19 study at </w:t>
      </w:r>
      <w:proofErr w:type="spellStart"/>
      <w:r w:rsidRPr="003C492A">
        <w:rPr>
          <w:rFonts w:ascii="Arial" w:eastAsia="Arial" w:hAnsi="Arial" w:cs="Arial"/>
        </w:rPr>
        <w:t>Charité</w:t>
      </w:r>
      <w:proofErr w:type="spellEnd"/>
      <w:r w:rsidRPr="003C492A">
        <w:rPr>
          <w:rFonts w:ascii="Arial" w:eastAsia="Arial" w:hAnsi="Arial" w:cs="Arial"/>
        </w:rPr>
        <w:t xml:space="preserve"> - </w:t>
      </w:r>
      <w:proofErr w:type="spellStart"/>
      <w:r w:rsidRPr="003C492A">
        <w:rPr>
          <w:rFonts w:ascii="Arial" w:eastAsia="Arial" w:hAnsi="Arial" w:cs="Arial"/>
        </w:rPr>
        <w:t>Universitätsmedizin</w:t>
      </w:r>
      <w:proofErr w:type="spellEnd"/>
      <w:r w:rsidRPr="003C492A">
        <w:rPr>
          <w:rFonts w:ascii="Arial" w:eastAsia="Arial" w:hAnsi="Arial" w:cs="Arial"/>
        </w:rPr>
        <w:t xml:space="preserve"> Berlin </w:t>
      </w:r>
      <w:hyperlink r:id="rId12">
        <w:r w:rsidRPr="003C492A">
          <w:rPr>
            <w:rFonts w:ascii="Arial" w:eastAsia="Arial" w:hAnsi="Arial" w:cs="Arial"/>
            <w:color w:val="000000"/>
          </w:rPr>
          <w:t>[18]</w:t>
        </w:r>
      </w:hyperlink>
      <w:r w:rsidRPr="003C492A">
        <w:rPr>
          <w:rFonts w:ascii="Arial" w:eastAsia="Arial" w:hAnsi="Arial" w:cs="Arial"/>
        </w:rPr>
        <w:t xml:space="preserve"> or the prospective SC2-Study at University Hospital Leipzig </w:t>
      </w:r>
      <w:hyperlink r:id="rId13">
        <w:r w:rsidRPr="003C492A">
          <w:rPr>
            <w:rFonts w:ascii="Arial" w:eastAsia="Arial" w:hAnsi="Arial" w:cs="Arial"/>
            <w:color w:val="000000"/>
          </w:rPr>
          <w:t>[34]</w:t>
        </w:r>
      </w:hyperlink>
      <w:r w:rsidRPr="003C492A">
        <w:rPr>
          <w:rFonts w:ascii="Arial" w:eastAsia="Arial" w:hAnsi="Arial" w:cs="Arial"/>
        </w:rPr>
        <w:t xml:space="preserve">, which both included all patients with COVID-19 who were hospitalized between March 11 and May 7, 2020, at either hospital. </w:t>
      </w:r>
      <w:proofErr w:type="spellStart"/>
      <w:r w:rsidRPr="003C492A">
        <w:rPr>
          <w:rFonts w:ascii="Arial" w:eastAsia="Arial" w:hAnsi="Arial" w:cs="Arial"/>
        </w:rPr>
        <w:t>Analyzed</w:t>
      </w:r>
      <w:proofErr w:type="spellEnd"/>
      <w:r w:rsidRPr="003C492A">
        <w:rPr>
          <w:rFonts w:ascii="Arial" w:eastAsia="Arial" w:hAnsi="Arial" w:cs="Arial"/>
        </w:rPr>
        <w:t xml:space="preserve"> samples had been obtained through nasopharyngeal swabs, bronchial protected specimen brushes, and </w:t>
      </w:r>
      <w:proofErr w:type="spellStart"/>
      <w:r w:rsidRPr="003C492A">
        <w:rPr>
          <w:rFonts w:ascii="Arial" w:eastAsia="Arial" w:hAnsi="Arial" w:cs="Arial"/>
        </w:rPr>
        <w:t>bronchoalveolar</w:t>
      </w:r>
      <w:proofErr w:type="spellEnd"/>
      <w:r w:rsidRPr="003C492A">
        <w:rPr>
          <w:rFonts w:ascii="Arial" w:eastAsia="Arial" w:hAnsi="Arial" w:cs="Arial"/>
        </w:rPr>
        <w:t xml:space="preserve"> lavages and had been processed with a droplet-based system. Amongst the 19 COVID-19 patients, eight had a moderate disease course (WHO 3), while eleven had a critical disease course (WHO 6-7). The transcripts were aligned to a customized reference genome in which the SARS-CoV-2 genome (</w:t>
      </w:r>
      <w:proofErr w:type="spellStart"/>
      <w:r w:rsidRPr="003C492A">
        <w:rPr>
          <w:rFonts w:ascii="Arial" w:eastAsia="Arial" w:hAnsi="Arial" w:cs="Arial"/>
        </w:rPr>
        <w:t>Refseq</w:t>
      </w:r>
      <w:proofErr w:type="spellEnd"/>
      <w:r w:rsidRPr="003C492A">
        <w:rPr>
          <w:rFonts w:ascii="Arial" w:eastAsia="Arial" w:hAnsi="Arial" w:cs="Arial"/>
        </w:rPr>
        <w:t xml:space="preserve">-ID: NC_045512) was added as an additional chromosome to the human reference genome hg19 (10X Genomics, version 3.0.0). An entry summarizing the entire SARS-CoV-2 genome as one ‘gene’ was appended to the hg19 annotation </w:t>
      </w:r>
      <w:proofErr w:type="spellStart"/>
      <w:r w:rsidRPr="003C492A">
        <w:rPr>
          <w:rFonts w:ascii="Arial" w:eastAsia="Arial" w:hAnsi="Arial" w:cs="Arial"/>
        </w:rPr>
        <w:t>gtf</w:t>
      </w:r>
      <w:proofErr w:type="spellEnd"/>
      <w:r w:rsidRPr="003C492A">
        <w:rPr>
          <w:rFonts w:ascii="Arial" w:eastAsia="Arial" w:hAnsi="Arial" w:cs="Arial"/>
        </w:rPr>
        <w:t xml:space="preserve"> file, and the genome was indexed using ‘</w:t>
      </w:r>
      <w:proofErr w:type="spellStart"/>
      <w:r w:rsidRPr="003C492A">
        <w:rPr>
          <w:rFonts w:ascii="Arial" w:eastAsia="Arial" w:hAnsi="Arial" w:cs="Arial"/>
        </w:rPr>
        <w:t>cellranger_</w:t>
      </w:r>
      <w:proofErr w:type="gramStart"/>
      <w:r w:rsidRPr="003C492A">
        <w:rPr>
          <w:rFonts w:ascii="Arial" w:eastAsia="Arial" w:hAnsi="Arial" w:cs="Arial"/>
        </w:rPr>
        <w:t>mkref</w:t>
      </w:r>
      <w:proofErr w:type="spellEnd"/>
      <w:r w:rsidRPr="003C492A">
        <w:rPr>
          <w:rFonts w:ascii="Arial" w:eastAsia="Arial" w:hAnsi="Arial" w:cs="Arial"/>
        </w:rPr>
        <w:t xml:space="preserve"> ’</w:t>
      </w:r>
      <w:proofErr w:type="gramEnd"/>
      <w:r w:rsidRPr="003C492A">
        <w:rPr>
          <w:rFonts w:ascii="Arial" w:eastAsia="Arial" w:hAnsi="Arial" w:cs="Arial"/>
        </w:rPr>
        <w:t xml:space="preserve"> </w:t>
      </w:r>
      <w:hyperlink r:id="rId14">
        <w:r w:rsidRPr="003C492A">
          <w:rPr>
            <w:rFonts w:ascii="Arial" w:eastAsia="Arial" w:hAnsi="Arial" w:cs="Arial"/>
            <w:color w:val="000000"/>
          </w:rPr>
          <w:t>[33]</w:t>
        </w:r>
      </w:hyperlink>
      <w:r w:rsidRPr="003C492A">
        <w:rPr>
          <w:rFonts w:ascii="Arial" w:eastAsia="Arial" w:hAnsi="Arial" w:cs="Arial"/>
        </w:rPr>
        <w:t xml:space="preserve">. The pre-processed </w:t>
      </w:r>
      <w:proofErr w:type="spellStart"/>
      <w:r w:rsidRPr="003C492A">
        <w:rPr>
          <w:rFonts w:ascii="Arial" w:eastAsia="Arial" w:hAnsi="Arial" w:cs="Arial"/>
        </w:rPr>
        <w:t>scRNA-seq</w:t>
      </w:r>
      <w:proofErr w:type="spellEnd"/>
      <w:r w:rsidRPr="003C492A">
        <w:rPr>
          <w:rFonts w:ascii="Arial" w:eastAsia="Arial" w:hAnsi="Arial" w:cs="Arial"/>
        </w:rPr>
        <w:t xml:space="preserve"> dataset was obtained from the European Genome Archive (EGA) under access number EGAS00001004481 and data were extracted using the </w:t>
      </w:r>
      <w:proofErr w:type="spellStart"/>
      <w:r w:rsidRPr="003C492A">
        <w:rPr>
          <w:rFonts w:ascii="Arial" w:eastAsia="Arial" w:hAnsi="Arial" w:cs="Arial"/>
          <w:i/>
        </w:rPr>
        <w:t>FetchData</w:t>
      </w:r>
      <w:proofErr w:type="spellEnd"/>
      <w:r w:rsidRPr="003C492A">
        <w:rPr>
          <w:rFonts w:ascii="Arial" w:eastAsia="Arial" w:hAnsi="Arial" w:cs="Arial"/>
          <w:i/>
        </w:rPr>
        <w:t xml:space="preserve"> </w:t>
      </w:r>
      <w:r w:rsidRPr="003C492A">
        <w:rPr>
          <w:rFonts w:ascii="Arial" w:eastAsia="Arial" w:hAnsi="Arial" w:cs="Arial"/>
        </w:rPr>
        <w:t xml:space="preserve">function of the R package Seurat </w:t>
      </w:r>
      <w:hyperlink r:id="rId15">
        <w:r w:rsidRPr="003C492A">
          <w:rPr>
            <w:rFonts w:ascii="Arial" w:eastAsia="Arial" w:hAnsi="Arial" w:cs="Arial"/>
            <w:color w:val="000000"/>
          </w:rPr>
          <w:t>[51]</w:t>
        </w:r>
      </w:hyperlink>
      <w:r w:rsidRPr="003C492A">
        <w:rPr>
          <w:rFonts w:ascii="Arial" w:eastAsia="Arial" w:hAnsi="Arial" w:cs="Arial"/>
          <w:i/>
        </w:rPr>
        <w:t>.</w:t>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Transfection</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HEK293T/ACE2 cells were transfected with empty vector (pcDNA.6myc) or pcDNA.90K-myc </w:t>
      </w:r>
      <w:hyperlink r:id="rId16">
        <w:r w:rsidRPr="003C492A">
          <w:rPr>
            <w:rFonts w:ascii="Arial" w:eastAsia="Arial" w:hAnsi="Arial" w:cs="Arial"/>
            <w:color w:val="000000"/>
          </w:rPr>
          <w:t>[10]</w:t>
        </w:r>
      </w:hyperlink>
      <w:r w:rsidRPr="003C492A">
        <w:rPr>
          <w:rFonts w:ascii="Arial" w:eastAsia="Arial" w:hAnsi="Arial" w:cs="Arial"/>
        </w:rPr>
        <w:t xml:space="preserve"> by calcium-phosphate transfection using </w:t>
      </w:r>
      <w:proofErr w:type="spellStart"/>
      <w:r w:rsidRPr="003C492A">
        <w:rPr>
          <w:rFonts w:ascii="Arial" w:eastAsia="Arial" w:hAnsi="Arial" w:cs="Arial"/>
        </w:rPr>
        <w:t>TaKaRa</w:t>
      </w:r>
      <w:proofErr w:type="spellEnd"/>
      <w:r w:rsidRPr="003C492A">
        <w:rPr>
          <w:rFonts w:ascii="Arial" w:eastAsia="Arial" w:hAnsi="Arial" w:cs="Arial"/>
        </w:rPr>
        <w:t xml:space="preserve"> </w:t>
      </w:r>
      <w:proofErr w:type="spellStart"/>
      <w:r w:rsidRPr="003C492A">
        <w:rPr>
          <w:rFonts w:ascii="Arial" w:eastAsia="Arial" w:hAnsi="Arial" w:cs="Arial"/>
        </w:rPr>
        <w:t>CalPhos</w:t>
      </w:r>
      <w:proofErr w:type="spellEnd"/>
      <w:r w:rsidRPr="003C492A">
        <w:rPr>
          <w:rFonts w:ascii="Arial" w:eastAsia="Arial" w:hAnsi="Arial" w:cs="Arial"/>
        </w:rPr>
        <w:t>™ Mammalian Transfection Kit following the manufacturer's instructions.</w:t>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Reagents</w:t>
      </w:r>
    </w:p>
    <w:p w:rsidR="00CA026E" w:rsidRPr="003C492A" w:rsidRDefault="00CA026E" w:rsidP="00CA026E">
      <w:pPr>
        <w:spacing w:after="0" w:line="480" w:lineRule="auto"/>
        <w:jc w:val="both"/>
        <w:rPr>
          <w:rFonts w:ascii="Arial" w:eastAsia="Arial" w:hAnsi="Arial" w:cs="Arial"/>
          <w:color w:val="212121"/>
        </w:rPr>
      </w:pPr>
      <w:proofErr w:type="spellStart"/>
      <w:r w:rsidRPr="003C492A">
        <w:rPr>
          <w:rFonts w:ascii="Arial" w:eastAsia="Arial" w:hAnsi="Arial" w:cs="Arial"/>
        </w:rPr>
        <w:t>Roferon</w:t>
      </w:r>
      <w:proofErr w:type="spellEnd"/>
      <w:r w:rsidRPr="003C492A">
        <w:rPr>
          <w:rFonts w:ascii="Arial" w:eastAsia="Arial" w:hAnsi="Arial" w:cs="Arial"/>
        </w:rPr>
        <w:t xml:space="preserve">-A (IFN-α2a) was purchased from Roche (Basel, Switzerland) and used at a concentration of 500 IU/ml. </w:t>
      </w:r>
      <w:proofErr w:type="spellStart"/>
      <w:r w:rsidRPr="003C492A">
        <w:rPr>
          <w:rFonts w:ascii="Arial" w:eastAsia="Arial" w:hAnsi="Arial" w:cs="Arial"/>
          <w:color w:val="212121"/>
        </w:rPr>
        <w:t>Remdesivir</w:t>
      </w:r>
      <w:proofErr w:type="spellEnd"/>
      <w:r w:rsidRPr="003C492A">
        <w:rPr>
          <w:rFonts w:ascii="Arial" w:eastAsia="Arial" w:hAnsi="Arial" w:cs="Arial"/>
          <w:color w:val="212121"/>
        </w:rPr>
        <w:t xml:space="preserve"> (Gilead Sciences) was kindly provided by the </w:t>
      </w:r>
      <w:r w:rsidRPr="003C492A">
        <w:rPr>
          <w:rFonts w:ascii="Arial" w:eastAsia="Arial" w:hAnsi="Arial" w:cs="Arial"/>
          <w:color w:val="212121"/>
        </w:rPr>
        <w:lastRenderedPageBreak/>
        <w:t xml:space="preserve">Department of Infectious Diseases and Respiratory Medicine, </w:t>
      </w:r>
      <w:proofErr w:type="spellStart"/>
      <w:r w:rsidRPr="003C492A">
        <w:rPr>
          <w:rFonts w:ascii="Arial" w:eastAsia="Arial" w:hAnsi="Arial" w:cs="Arial"/>
          <w:color w:val="212121"/>
        </w:rPr>
        <w:t>Charité</w:t>
      </w:r>
      <w:proofErr w:type="spellEnd"/>
      <w:r w:rsidRPr="003C492A">
        <w:rPr>
          <w:rFonts w:ascii="Arial" w:eastAsia="Arial" w:hAnsi="Arial" w:cs="Arial"/>
          <w:color w:val="212121"/>
        </w:rPr>
        <w:t xml:space="preserve"> - </w:t>
      </w:r>
      <w:proofErr w:type="spellStart"/>
      <w:r w:rsidRPr="003C492A">
        <w:rPr>
          <w:rFonts w:ascii="Arial" w:eastAsia="Arial" w:hAnsi="Arial" w:cs="Arial"/>
          <w:color w:val="212121"/>
        </w:rPr>
        <w:t>Universitätsmedizin</w:t>
      </w:r>
      <w:proofErr w:type="spellEnd"/>
      <w:r w:rsidRPr="003C492A">
        <w:rPr>
          <w:rFonts w:ascii="Arial" w:eastAsia="Arial" w:hAnsi="Arial" w:cs="Arial"/>
          <w:color w:val="212121"/>
        </w:rPr>
        <w:t xml:space="preserve"> Berlin and used at a concentration of 10 µM.</w:t>
      </w:r>
    </w:p>
    <w:p w:rsidR="00CA026E" w:rsidRPr="003C492A" w:rsidRDefault="00CA026E" w:rsidP="00CA026E">
      <w:pPr>
        <w:spacing w:after="0" w:line="480" w:lineRule="auto"/>
        <w:jc w:val="both"/>
        <w:rPr>
          <w:rFonts w:ascii="Arial" w:eastAsia="Arial" w:hAnsi="Arial" w:cs="Arial"/>
          <w:color w:val="212121"/>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Purification of 90K and 90K-D2</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Individual </w:t>
      </w:r>
      <w:proofErr w:type="spellStart"/>
      <w:r w:rsidRPr="003C492A">
        <w:rPr>
          <w:rFonts w:ascii="Arial" w:eastAsia="Arial" w:hAnsi="Arial" w:cs="Arial"/>
        </w:rPr>
        <w:t>cDNAs</w:t>
      </w:r>
      <w:proofErr w:type="spellEnd"/>
      <w:r w:rsidRPr="003C492A">
        <w:rPr>
          <w:rFonts w:ascii="Arial" w:eastAsia="Arial" w:hAnsi="Arial" w:cs="Arial"/>
        </w:rPr>
        <w:t xml:space="preserve"> encoding full 90K and e 90K-D2 were generated by polymerase chain reaction (PCR). D2 is defined as a 28 </w:t>
      </w:r>
      <w:proofErr w:type="spellStart"/>
      <w:r w:rsidRPr="003C492A">
        <w:rPr>
          <w:rFonts w:ascii="Arial" w:eastAsia="Arial" w:hAnsi="Arial" w:cs="Arial"/>
        </w:rPr>
        <w:t>kDa</w:t>
      </w:r>
      <w:proofErr w:type="spellEnd"/>
      <w:r w:rsidRPr="003C492A">
        <w:rPr>
          <w:rFonts w:ascii="Arial" w:eastAsia="Arial" w:hAnsi="Arial" w:cs="Arial"/>
        </w:rPr>
        <w:t xml:space="preserve"> fragment corresponding to amino acid residues 134-288 of 90K.  Fragments were </w:t>
      </w:r>
      <w:proofErr w:type="spellStart"/>
      <w:r w:rsidRPr="003C492A">
        <w:rPr>
          <w:rFonts w:ascii="Arial" w:eastAsia="Arial" w:hAnsi="Arial" w:cs="Arial"/>
        </w:rPr>
        <w:t>subcloned</w:t>
      </w:r>
      <w:proofErr w:type="spellEnd"/>
      <w:r w:rsidRPr="003C492A">
        <w:rPr>
          <w:rFonts w:ascii="Arial" w:eastAsia="Arial" w:hAnsi="Arial" w:cs="Arial"/>
        </w:rPr>
        <w:t xml:space="preserve"> into an </w:t>
      </w:r>
      <w:proofErr w:type="spellStart"/>
      <w:r w:rsidRPr="003C492A">
        <w:rPr>
          <w:rFonts w:ascii="Arial" w:eastAsia="Arial" w:hAnsi="Arial" w:cs="Arial"/>
        </w:rPr>
        <w:t>Evitria’s</w:t>
      </w:r>
      <w:proofErr w:type="spellEnd"/>
      <w:r w:rsidRPr="003C492A">
        <w:rPr>
          <w:rFonts w:ascii="Arial" w:eastAsia="Arial" w:hAnsi="Arial" w:cs="Arial"/>
        </w:rPr>
        <w:t xml:space="preserve"> proprietary vector system (EVITRIA, </w:t>
      </w:r>
      <w:proofErr w:type="spellStart"/>
      <w:r w:rsidRPr="003C492A">
        <w:rPr>
          <w:rFonts w:ascii="Arial" w:eastAsia="Arial" w:hAnsi="Arial" w:cs="Arial"/>
        </w:rPr>
        <w:t>Schlieren</w:t>
      </w:r>
      <w:proofErr w:type="spellEnd"/>
      <w:r w:rsidRPr="003C492A">
        <w:rPr>
          <w:rFonts w:ascii="Arial" w:eastAsia="Arial" w:hAnsi="Arial" w:cs="Arial"/>
        </w:rPr>
        <w:t xml:space="preserve">, </w:t>
      </w:r>
      <w:proofErr w:type="gramStart"/>
      <w:r w:rsidRPr="003C492A">
        <w:rPr>
          <w:rFonts w:ascii="Arial" w:eastAsia="Arial" w:hAnsi="Arial" w:cs="Arial"/>
        </w:rPr>
        <w:t>Switzerland</w:t>
      </w:r>
      <w:proofErr w:type="gramEnd"/>
      <w:r w:rsidRPr="003C492A">
        <w:rPr>
          <w:rFonts w:ascii="Arial" w:eastAsia="Arial" w:hAnsi="Arial" w:cs="Arial"/>
        </w:rPr>
        <w:t>) allowing fusion in-frame to the 6xHis tag sequence C-terminally to the domain.</w:t>
      </w:r>
    </w:p>
    <w:p w:rsidR="00CA026E" w:rsidRPr="003C492A" w:rsidRDefault="00CA026E" w:rsidP="00CA026E">
      <w:pPr>
        <w:spacing w:after="0" w:line="480" w:lineRule="auto"/>
        <w:ind w:firstLine="720"/>
        <w:jc w:val="both"/>
        <w:rPr>
          <w:rFonts w:ascii="Arial" w:eastAsia="Arial" w:hAnsi="Arial" w:cs="Arial"/>
        </w:rPr>
      </w:pPr>
      <w:r w:rsidRPr="003C492A">
        <w:rPr>
          <w:rFonts w:ascii="Arial" w:eastAsia="Arial" w:hAnsi="Arial" w:cs="Arial"/>
        </w:rPr>
        <w:t xml:space="preserve">90K and 90K-D2 were transiently expressed by transfection into Chinese Hamster Ovary (CHO) cells. Concentrated culture supernatants were applied to a column of Ni-NTA </w:t>
      </w:r>
      <w:proofErr w:type="spellStart"/>
      <w:r w:rsidRPr="003C492A">
        <w:rPr>
          <w:rFonts w:ascii="Arial" w:eastAsia="Arial" w:hAnsi="Arial" w:cs="Arial"/>
        </w:rPr>
        <w:t>Superflow</w:t>
      </w:r>
      <w:proofErr w:type="spellEnd"/>
      <w:r w:rsidRPr="003C492A">
        <w:rPr>
          <w:rFonts w:ascii="Arial" w:eastAsia="Arial" w:hAnsi="Arial" w:cs="Arial"/>
        </w:rPr>
        <w:t xml:space="preserve"> (</w:t>
      </w:r>
      <w:proofErr w:type="spellStart"/>
      <w:r w:rsidRPr="003C492A">
        <w:rPr>
          <w:rFonts w:ascii="Arial" w:eastAsia="Arial" w:hAnsi="Arial" w:cs="Arial"/>
        </w:rPr>
        <w:t>Qiagen</w:t>
      </w:r>
      <w:proofErr w:type="spellEnd"/>
      <w:r w:rsidRPr="003C492A">
        <w:rPr>
          <w:rFonts w:ascii="Arial" w:eastAsia="Arial" w:hAnsi="Arial" w:cs="Arial"/>
        </w:rPr>
        <w:t xml:space="preserve">) and proteins were eluted with increasing concentrations of imidazole according to the manufacturer’s instructions. </w:t>
      </w:r>
    </w:p>
    <w:p w:rsidR="00CA026E" w:rsidRPr="003C492A" w:rsidRDefault="00CA026E" w:rsidP="00CA026E">
      <w:pPr>
        <w:spacing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SARS-CoV-2 Plaque Titration Assay</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The infectious </w:t>
      </w:r>
      <w:proofErr w:type="spellStart"/>
      <w:r w:rsidRPr="003C492A">
        <w:rPr>
          <w:rFonts w:ascii="Arial" w:eastAsia="Arial" w:hAnsi="Arial" w:cs="Arial"/>
        </w:rPr>
        <w:t>titer</w:t>
      </w:r>
      <w:proofErr w:type="spellEnd"/>
      <w:r w:rsidRPr="003C492A">
        <w:rPr>
          <w:rFonts w:ascii="Arial" w:eastAsia="Arial" w:hAnsi="Arial" w:cs="Arial"/>
        </w:rPr>
        <w:t xml:space="preserve"> was calculated via plaque titration assay. Vero E6 cells were plated at 3.5 x 10</w:t>
      </w:r>
      <w:r w:rsidRPr="003C492A">
        <w:rPr>
          <w:rFonts w:ascii="Arial" w:eastAsia="Arial" w:hAnsi="Arial" w:cs="Arial"/>
          <w:vertAlign w:val="superscript"/>
        </w:rPr>
        <w:t>5</w:t>
      </w:r>
      <w:r w:rsidRPr="003C492A">
        <w:rPr>
          <w:rFonts w:ascii="Arial" w:eastAsia="Arial" w:hAnsi="Arial" w:cs="Arial"/>
        </w:rPr>
        <w:t xml:space="preserve"> cell/ml in 24 wells and infected with 200 µl of a serial dilution of virus-containing cell culture supernatant diluted in </w:t>
      </w:r>
      <w:proofErr w:type="spellStart"/>
      <w:r w:rsidRPr="003C492A">
        <w:rPr>
          <w:rFonts w:ascii="Arial" w:eastAsia="Arial" w:hAnsi="Arial" w:cs="Arial"/>
        </w:rPr>
        <w:t>OptiPro</w:t>
      </w:r>
      <w:proofErr w:type="spellEnd"/>
      <w:r w:rsidRPr="003C492A">
        <w:rPr>
          <w:rFonts w:ascii="Arial" w:eastAsia="Arial" w:hAnsi="Arial" w:cs="Arial"/>
        </w:rPr>
        <w:t xml:space="preserve"> serum-free medium. One hour after adsorption, supernatants were removed and cells overlaid with 2.4% </w:t>
      </w:r>
      <w:proofErr w:type="spellStart"/>
      <w:r w:rsidRPr="003C492A">
        <w:rPr>
          <w:rFonts w:ascii="Arial" w:eastAsia="Arial" w:hAnsi="Arial" w:cs="Arial"/>
        </w:rPr>
        <w:t>Avicel</w:t>
      </w:r>
      <w:proofErr w:type="spellEnd"/>
      <w:r w:rsidRPr="003C492A">
        <w:rPr>
          <w:rFonts w:ascii="Arial" w:eastAsia="Arial" w:hAnsi="Arial" w:cs="Arial"/>
        </w:rPr>
        <w:t xml:space="preserve"> (FMC </w:t>
      </w:r>
      <w:proofErr w:type="spellStart"/>
      <w:r w:rsidRPr="003C492A">
        <w:rPr>
          <w:rFonts w:ascii="Arial" w:eastAsia="Arial" w:hAnsi="Arial" w:cs="Arial"/>
        </w:rPr>
        <w:t>BioPolymers</w:t>
      </w:r>
      <w:proofErr w:type="spellEnd"/>
      <w:r w:rsidRPr="003C492A">
        <w:rPr>
          <w:rFonts w:ascii="Arial" w:eastAsia="Arial" w:hAnsi="Arial" w:cs="Arial"/>
        </w:rPr>
        <w:t xml:space="preserve">) mixed 1:1 in 2 x DMEM. Three days post-infection, the overlay was removed, cells were fixed in 6% formaldehyde and stained with a 0.2% crystal violet, 2% ethanol and 10% formaldehyde. </w:t>
      </w:r>
    </w:p>
    <w:p w:rsidR="00CA026E" w:rsidRPr="003C492A" w:rsidRDefault="00CA026E" w:rsidP="00CA026E">
      <w:pPr>
        <w:spacing w:after="0" w:line="480" w:lineRule="auto"/>
        <w:jc w:val="both"/>
        <w:rPr>
          <w:rFonts w:ascii="Arial" w:eastAsia="Arial" w:hAnsi="Arial" w:cs="Arial"/>
          <w:b/>
        </w:rPr>
      </w:pPr>
    </w:p>
    <w:p w:rsidR="00CA026E" w:rsidRPr="003C492A" w:rsidRDefault="00CA026E" w:rsidP="00CA026E">
      <w:pPr>
        <w:spacing w:after="0" w:line="480" w:lineRule="auto"/>
        <w:jc w:val="both"/>
        <w:rPr>
          <w:rFonts w:ascii="Arial" w:eastAsia="Arial" w:hAnsi="Arial" w:cs="Arial"/>
          <w:b/>
        </w:rPr>
      </w:pPr>
      <w:bookmarkStart w:id="0" w:name="_ugxq6s8aoatd" w:colFirst="0" w:colLast="0"/>
      <w:bookmarkEnd w:id="0"/>
      <w:r w:rsidRPr="003C492A">
        <w:rPr>
          <w:rFonts w:ascii="Arial" w:eastAsia="Arial" w:hAnsi="Arial" w:cs="Arial"/>
          <w:b/>
        </w:rPr>
        <w:t>Anti-90K ELISA</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i/>
        </w:rPr>
        <w:t xml:space="preserve">Sera. </w:t>
      </w:r>
      <w:r w:rsidRPr="003C492A">
        <w:rPr>
          <w:rFonts w:ascii="Arial" w:eastAsia="Arial" w:hAnsi="Arial" w:cs="Arial"/>
        </w:rPr>
        <w:t xml:space="preserve">Sera were </w:t>
      </w:r>
      <w:proofErr w:type="spellStart"/>
      <w:r w:rsidRPr="003C492A">
        <w:rPr>
          <w:rFonts w:ascii="Arial" w:eastAsia="Arial" w:hAnsi="Arial" w:cs="Arial"/>
        </w:rPr>
        <w:t>analyzed</w:t>
      </w:r>
      <w:proofErr w:type="spellEnd"/>
      <w:r w:rsidRPr="003C492A">
        <w:rPr>
          <w:rFonts w:ascii="Arial" w:eastAsia="Arial" w:hAnsi="Arial" w:cs="Arial"/>
        </w:rPr>
        <w:t xml:space="preserve"> with the </w:t>
      </w:r>
      <w:proofErr w:type="spellStart"/>
      <w:r w:rsidRPr="003C492A">
        <w:rPr>
          <w:rFonts w:ascii="Arial" w:eastAsia="Arial" w:hAnsi="Arial" w:cs="Arial"/>
        </w:rPr>
        <w:t>Thermo</w:t>
      </w:r>
      <w:proofErr w:type="spellEnd"/>
      <w:r w:rsidRPr="003C492A">
        <w:rPr>
          <w:rFonts w:ascii="Arial" w:eastAsia="Arial" w:hAnsi="Arial" w:cs="Arial"/>
        </w:rPr>
        <w:t xml:space="preserve"> Fisher Scientific s90K/Mac-2BP ELISA Kit according to the manufacturer’s instructions. Sera were </w:t>
      </w:r>
      <w:proofErr w:type="spellStart"/>
      <w:r w:rsidRPr="003C492A">
        <w:rPr>
          <w:rFonts w:ascii="Arial" w:eastAsia="Arial" w:hAnsi="Arial" w:cs="Arial"/>
        </w:rPr>
        <w:t>analyzed</w:t>
      </w:r>
      <w:proofErr w:type="spellEnd"/>
      <w:r w:rsidRPr="003C492A">
        <w:rPr>
          <w:rFonts w:ascii="Arial" w:eastAsia="Arial" w:hAnsi="Arial" w:cs="Arial"/>
        </w:rPr>
        <w:t xml:space="preserve"> in duplicates in 1:100 and 1:1000 dilutions.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i/>
        </w:rPr>
        <w:lastRenderedPageBreak/>
        <w:t xml:space="preserve">PBMCs. </w:t>
      </w:r>
      <w:r w:rsidRPr="003C492A">
        <w:rPr>
          <w:rFonts w:ascii="Arial" w:eastAsia="Arial" w:hAnsi="Arial" w:cs="Arial"/>
        </w:rPr>
        <w:t>Frozen PBMC pellets (1</w:t>
      </w:r>
      <w:proofErr w:type="gramStart"/>
      <w:r w:rsidRPr="003C492A">
        <w:rPr>
          <w:rFonts w:ascii="Arial" w:eastAsia="Arial" w:hAnsi="Arial" w:cs="Arial"/>
        </w:rPr>
        <w:t>,5</w:t>
      </w:r>
      <w:proofErr w:type="gramEnd"/>
      <w:r w:rsidRPr="003C492A">
        <w:rPr>
          <w:rFonts w:ascii="Arial" w:eastAsia="Arial" w:hAnsi="Arial" w:cs="Arial"/>
        </w:rPr>
        <w:t xml:space="preserve"> - 9 x 10</w:t>
      </w:r>
      <w:r w:rsidRPr="003C492A">
        <w:rPr>
          <w:rFonts w:ascii="Arial" w:eastAsia="Arial" w:hAnsi="Arial" w:cs="Arial"/>
          <w:vertAlign w:val="superscript"/>
        </w:rPr>
        <w:t>6</w:t>
      </w:r>
      <w:r w:rsidRPr="003C492A">
        <w:rPr>
          <w:rFonts w:ascii="Arial" w:eastAsia="Arial" w:hAnsi="Arial" w:cs="Arial"/>
        </w:rPr>
        <w:t xml:space="preserve"> cells) were lysed in 1% Triton X-100 and applied to Thermo Fisher Scientific s90K/Mac-2BP ELISA Kit following the manufacturer’s instructions in a 1:14 dilution. PBMCs were </w:t>
      </w:r>
      <w:proofErr w:type="spellStart"/>
      <w:r w:rsidRPr="003C492A">
        <w:rPr>
          <w:rFonts w:ascii="Arial" w:eastAsia="Arial" w:hAnsi="Arial" w:cs="Arial"/>
        </w:rPr>
        <w:t>analyzed</w:t>
      </w:r>
      <w:proofErr w:type="spellEnd"/>
      <w:r w:rsidRPr="003C492A">
        <w:rPr>
          <w:rFonts w:ascii="Arial" w:eastAsia="Arial" w:hAnsi="Arial" w:cs="Arial"/>
        </w:rPr>
        <w:t xml:space="preserve"> in single measurements as the amount of patient material was not sufficient for analysis in duplicates. </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 xml:space="preserve">Anti-SARS-CoV-2 IgA/IgG ELISA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Human sera were examined for presence of specific antibodies (IgG and IgA) to the S1 subdomain of The SARS-CoV-2 spike protein using an ELISA kit (</w:t>
      </w:r>
      <w:proofErr w:type="spellStart"/>
      <w:r w:rsidRPr="003C492A">
        <w:rPr>
          <w:rFonts w:ascii="Arial" w:eastAsia="Arial" w:hAnsi="Arial" w:cs="Arial"/>
        </w:rPr>
        <w:t>Euroimmun</w:t>
      </w:r>
      <w:proofErr w:type="spellEnd"/>
      <w:r w:rsidRPr="003C492A">
        <w:rPr>
          <w:rFonts w:ascii="Arial" w:eastAsia="Arial" w:hAnsi="Arial" w:cs="Arial"/>
        </w:rPr>
        <w:t xml:space="preserve">, </w:t>
      </w:r>
      <w:proofErr w:type="spellStart"/>
      <w:r w:rsidRPr="003C492A">
        <w:rPr>
          <w:rFonts w:ascii="Arial" w:eastAsia="Arial" w:hAnsi="Arial" w:cs="Arial"/>
        </w:rPr>
        <w:t>Lübeck</w:t>
      </w:r>
      <w:proofErr w:type="spellEnd"/>
      <w:r w:rsidRPr="003C492A">
        <w:rPr>
          <w:rFonts w:ascii="Arial" w:eastAsia="Arial" w:hAnsi="Arial" w:cs="Arial"/>
        </w:rPr>
        <w:t xml:space="preserve">, Germany) as described before </w:t>
      </w:r>
      <w:hyperlink r:id="rId17">
        <w:r w:rsidRPr="003C492A">
          <w:rPr>
            <w:rFonts w:ascii="Arial" w:eastAsia="Arial" w:hAnsi="Arial" w:cs="Arial"/>
            <w:color w:val="000000"/>
          </w:rPr>
          <w:t>[52,53]</w:t>
        </w:r>
      </w:hyperlink>
      <w:r w:rsidRPr="003C492A">
        <w:rPr>
          <w:rFonts w:ascii="Arial" w:eastAsia="Arial" w:hAnsi="Arial" w:cs="Arial"/>
        </w:rPr>
        <w:t xml:space="preserve">. Samples were tested at a 1:101 dilution and results were considered positive above an optical density (OD) ratio of 1.1. Automated measurement was performed with </w:t>
      </w:r>
      <w:proofErr w:type="spellStart"/>
      <w:r w:rsidRPr="003C492A">
        <w:rPr>
          <w:rFonts w:ascii="Arial" w:eastAsia="Arial" w:hAnsi="Arial" w:cs="Arial"/>
        </w:rPr>
        <w:t>Euroimmun</w:t>
      </w:r>
      <w:proofErr w:type="spellEnd"/>
      <w:r w:rsidRPr="003C492A">
        <w:rPr>
          <w:rFonts w:ascii="Arial" w:eastAsia="Arial" w:hAnsi="Arial" w:cs="Arial"/>
        </w:rPr>
        <w:t xml:space="preserve"> </w:t>
      </w:r>
      <w:proofErr w:type="spellStart"/>
      <w:r w:rsidRPr="003C492A">
        <w:rPr>
          <w:rFonts w:ascii="Arial" w:eastAsia="Arial" w:hAnsi="Arial" w:cs="Arial"/>
        </w:rPr>
        <w:t>Analyzer</w:t>
      </w:r>
      <w:proofErr w:type="spellEnd"/>
      <w:r w:rsidRPr="003C492A">
        <w:rPr>
          <w:rFonts w:ascii="Arial" w:eastAsia="Arial" w:hAnsi="Arial" w:cs="Arial"/>
        </w:rPr>
        <w:t xml:space="preserve"> I. </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 xml:space="preserve">Viral RNA Load Analysis from Nasopharyngeal Swabs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SARS-CoV-2 RNA quantification was performed by real-time RT-PCR from upper respiratory tract swabs obtained within standard care. RNA concentrations were quantified by RT-qPCR targeting SARS-CoV-2 E gene </w:t>
      </w:r>
      <w:hyperlink r:id="rId18">
        <w:r w:rsidRPr="003C492A">
          <w:rPr>
            <w:rFonts w:ascii="Arial" w:eastAsia="Arial" w:hAnsi="Arial" w:cs="Arial"/>
            <w:color w:val="000000"/>
          </w:rPr>
          <w:t>[54]</w:t>
        </w:r>
      </w:hyperlink>
      <w:r w:rsidRPr="003C492A">
        <w:rPr>
          <w:rFonts w:ascii="Arial" w:eastAsia="Arial" w:hAnsi="Arial" w:cs="Arial"/>
        </w:rPr>
        <w:t xml:space="preserve"> and are given as logarithm base 10 of the number of RNA copies (viral load) per ml using an empirical formula derived from testing standard curves of SARS-CoV-2 RNA and cell culture supernatants </w:t>
      </w:r>
      <w:hyperlink r:id="rId19">
        <w:r w:rsidRPr="003C492A">
          <w:rPr>
            <w:rFonts w:ascii="Arial" w:eastAsia="Arial" w:hAnsi="Arial" w:cs="Arial"/>
            <w:color w:val="000000"/>
          </w:rPr>
          <w:t>[55]</w:t>
        </w:r>
      </w:hyperlink>
      <w:r w:rsidRPr="003C492A">
        <w:rPr>
          <w:rFonts w:ascii="Arial" w:eastAsia="Arial" w:hAnsi="Arial" w:cs="Arial"/>
        </w:rPr>
        <w:t xml:space="preserve">. </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proofErr w:type="spellStart"/>
      <w:proofErr w:type="gramStart"/>
      <w:r w:rsidRPr="003C492A">
        <w:rPr>
          <w:rFonts w:ascii="Arial" w:eastAsia="Arial" w:hAnsi="Arial" w:cs="Arial"/>
          <w:b/>
        </w:rPr>
        <w:t>qRT</w:t>
      </w:r>
      <w:proofErr w:type="spellEnd"/>
      <w:r w:rsidRPr="003C492A">
        <w:rPr>
          <w:rFonts w:ascii="Arial" w:eastAsia="Arial" w:hAnsi="Arial" w:cs="Arial"/>
          <w:b/>
        </w:rPr>
        <w:t>-PCR</w:t>
      </w:r>
      <w:proofErr w:type="gramEnd"/>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Total RNA extraction from PBMCs and cell lines was performed with</w:t>
      </w:r>
      <w:r w:rsidRPr="003C492A">
        <w:rPr>
          <w:rFonts w:ascii="Arial" w:eastAsia="Arial" w:hAnsi="Arial" w:cs="Arial"/>
          <w:i/>
        </w:rPr>
        <w:t xml:space="preserve"> </w:t>
      </w:r>
      <w:proofErr w:type="spellStart"/>
      <w:r w:rsidRPr="003C492A">
        <w:rPr>
          <w:rFonts w:ascii="Arial" w:eastAsia="Arial" w:hAnsi="Arial" w:cs="Arial"/>
        </w:rPr>
        <w:t>Qiagen</w:t>
      </w:r>
      <w:proofErr w:type="spellEnd"/>
      <w:r w:rsidRPr="003C492A">
        <w:rPr>
          <w:rFonts w:ascii="Arial" w:eastAsia="Arial" w:hAnsi="Arial" w:cs="Arial"/>
        </w:rPr>
        <w:t xml:space="preserve"> RNeasy Micro Kit</w:t>
      </w:r>
      <w:r w:rsidRPr="003C492A">
        <w:rPr>
          <w:rFonts w:ascii="Arial" w:eastAsia="Arial" w:hAnsi="Arial" w:cs="Arial"/>
          <w:i/>
        </w:rPr>
        <w:t xml:space="preserve"> </w:t>
      </w:r>
      <w:r w:rsidRPr="003C492A">
        <w:rPr>
          <w:rFonts w:ascii="Arial" w:eastAsia="Arial" w:hAnsi="Arial" w:cs="Arial"/>
        </w:rPr>
        <w:t xml:space="preserve">according to the manufacturer’s instructions. RNA isolation was followed by 2-step PCR. Quantification was performed by RT-qPCR in Roche </w:t>
      </w:r>
      <w:proofErr w:type="spellStart"/>
      <w:r w:rsidRPr="003C492A">
        <w:rPr>
          <w:rFonts w:ascii="Arial" w:eastAsia="Arial" w:hAnsi="Arial" w:cs="Arial"/>
        </w:rPr>
        <w:t>LightCycler</w:t>
      </w:r>
      <w:proofErr w:type="spellEnd"/>
      <w:r w:rsidRPr="003C492A">
        <w:rPr>
          <w:rFonts w:ascii="Arial" w:eastAsia="Arial" w:hAnsi="Arial" w:cs="Arial"/>
        </w:rPr>
        <w:t xml:space="preserve"> 480 II using </w:t>
      </w:r>
      <w:proofErr w:type="spellStart"/>
      <w:r w:rsidRPr="003C492A">
        <w:rPr>
          <w:rFonts w:ascii="Arial" w:eastAsia="Arial" w:hAnsi="Arial" w:cs="Arial"/>
        </w:rPr>
        <w:t>TaqMan</w:t>
      </w:r>
      <w:proofErr w:type="spellEnd"/>
      <w:r w:rsidRPr="003C492A">
        <w:rPr>
          <w:rFonts w:ascii="Arial" w:eastAsia="Arial" w:hAnsi="Arial" w:cs="Arial"/>
        </w:rPr>
        <w:t xml:space="preserve"> PCR technology with a premade primer-probe kit for </w:t>
      </w:r>
      <w:r w:rsidRPr="003C492A">
        <w:rPr>
          <w:rFonts w:ascii="Arial" w:eastAsia="Arial" w:hAnsi="Arial" w:cs="Arial"/>
          <w:i/>
        </w:rPr>
        <w:t>LGALS3BP, MX2</w:t>
      </w:r>
      <w:r w:rsidRPr="003C492A">
        <w:rPr>
          <w:rFonts w:ascii="Arial" w:eastAsia="Arial" w:hAnsi="Arial" w:cs="Arial"/>
        </w:rPr>
        <w:t xml:space="preserve">, and </w:t>
      </w:r>
      <w:r w:rsidRPr="003C492A">
        <w:rPr>
          <w:rFonts w:ascii="Arial" w:eastAsia="Arial" w:hAnsi="Arial" w:cs="Arial"/>
          <w:i/>
        </w:rPr>
        <w:t>IFIT1</w:t>
      </w:r>
      <w:r w:rsidRPr="003C492A">
        <w:rPr>
          <w:rFonts w:ascii="Arial" w:eastAsia="Arial" w:hAnsi="Arial" w:cs="Arial"/>
        </w:rPr>
        <w:t xml:space="preserve"> (Applied </w:t>
      </w:r>
      <w:proofErr w:type="spellStart"/>
      <w:r w:rsidRPr="003C492A">
        <w:rPr>
          <w:rFonts w:ascii="Arial" w:eastAsia="Arial" w:hAnsi="Arial" w:cs="Arial"/>
        </w:rPr>
        <w:t>Biosystems</w:t>
      </w:r>
      <w:proofErr w:type="spellEnd"/>
      <w:r w:rsidRPr="003C492A">
        <w:rPr>
          <w:rFonts w:ascii="Arial" w:eastAsia="Arial" w:hAnsi="Arial" w:cs="Arial"/>
        </w:rPr>
        <w:t xml:space="preserve">). For </w:t>
      </w:r>
      <w:r w:rsidRPr="003C492A">
        <w:rPr>
          <w:rFonts w:ascii="Arial" w:eastAsia="Arial" w:hAnsi="Arial" w:cs="Arial"/>
          <w:i/>
        </w:rPr>
        <w:t>LGALS3BP</w:t>
      </w:r>
      <w:r w:rsidRPr="003C492A">
        <w:rPr>
          <w:rFonts w:ascii="Arial" w:eastAsia="Arial" w:hAnsi="Arial" w:cs="Arial"/>
        </w:rPr>
        <w:t xml:space="preserve">, </w:t>
      </w:r>
      <w:r w:rsidRPr="003C492A">
        <w:rPr>
          <w:rFonts w:ascii="Arial" w:eastAsia="Arial" w:hAnsi="Arial" w:cs="Arial"/>
          <w:color w:val="1D1C1D"/>
          <w:sz w:val="23"/>
          <w:szCs w:val="23"/>
        </w:rPr>
        <w:t>oligonucleotide primers 5′-GCTTCCTTCCTCTCTGCAATGA-3′ (forward), 5′-TCAGGTGAGTAGGGCGACATC-3′ (reverse), 5′-FAM-CTTCAACAACCGGCCAC-TAMRA-3′ (fluorescent probe) were used.</w:t>
      </w:r>
      <w:r w:rsidRPr="003C492A">
        <w:rPr>
          <w:rFonts w:ascii="Arial" w:eastAsia="Arial" w:hAnsi="Arial" w:cs="Arial"/>
        </w:rPr>
        <w:t xml:space="preserve"> </w:t>
      </w:r>
      <w:r w:rsidRPr="003C492A">
        <w:rPr>
          <w:rFonts w:ascii="Arial" w:eastAsia="Arial" w:hAnsi="Arial" w:cs="Arial"/>
        </w:rPr>
        <w:lastRenderedPageBreak/>
        <w:t xml:space="preserve">For </w:t>
      </w:r>
      <w:r w:rsidRPr="003C492A">
        <w:rPr>
          <w:rFonts w:ascii="Arial" w:eastAsia="Arial" w:hAnsi="Arial" w:cs="Arial"/>
          <w:i/>
        </w:rPr>
        <w:t>MX2</w:t>
      </w:r>
      <w:r w:rsidRPr="003C492A">
        <w:rPr>
          <w:rFonts w:ascii="Arial" w:eastAsia="Arial" w:hAnsi="Arial" w:cs="Arial"/>
        </w:rPr>
        <w:t xml:space="preserve"> and</w:t>
      </w:r>
      <w:r w:rsidRPr="003C492A">
        <w:rPr>
          <w:rFonts w:ascii="Arial" w:eastAsia="Arial" w:hAnsi="Arial" w:cs="Arial"/>
          <w:i/>
        </w:rPr>
        <w:t xml:space="preserve"> IFIT1</w:t>
      </w:r>
      <w:r w:rsidRPr="003C492A">
        <w:rPr>
          <w:rFonts w:ascii="Arial" w:eastAsia="Arial" w:hAnsi="Arial" w:cs="Arial"/>
        </w:rPr>
        <w:t xml:space="preserve">, we used assay IDs Hs01550814_m1 and Hs01911452_s1, respectively (Thermo Fisher Scientific Waltham, Massachusetts, USA).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Relative mRNA levels were determined using the ΔCT method, with human </w:t>
      </w:r>
      <w:r w:rsidRPr="003C492A">
        <w:rPr>
          <w:rFonts w:ascii="Arial" w:eastAsia="Arial" w:hAnsi="Arial" w:cs="Arial"/>
          <w:i/>
        </w:rPr>
        <w:t>RNASEP</w:t>
      </w:r>
      <w:r w:rsidRPr="003C492A">
        <w:rPr>
          <w:rFonts w:ascii="Arial" w:eastAsia="Arial" w:hAnsi="Arial" w:cs="Arial"/>
        </w:rPr>
        <w:t xml:space="preserve"> mRNA (Applied </w:t>
      </w:r>
      <w:proofErr w:type="spellStart"/>
      <w:r w:rsidRPr="003C492A">
        <w:rPr>
          <w:rFonts w:ascii="Arial" w:eastAsia="Arial" w:hAnsi="Arial" w:cs="Arial"/>
        </w:rPr>
        <w:t>Biosystems</w:t>
      </w:r>
      <w:proofErr w:type="spellEnd"/>
      <w:r w:rsidRPr="003C492A">
        <w:rPr>
          <w:rFonts w:ascii="Arial" w:eastAsia="Arial" w:hAnsi="Arial" w:cs="Arial"/>
        </w:rPr>
        <w:t xml:space="preserve">) as internal reference. Each sample was </w:t>
      </w:r>
      <w:proofErr w:type="spellStart"/>
      <w:r w:rsidRPr="003C492A">
        <w:rPr>
          <w:rFonts w:ascii="Arial" w:eastAsia="Arial" w:hAnsi="Arial" w:cs="Arial"/>
        </w:rPr>
        <w:t>analyzed</w:t>
      </w:r>
      <w:proofErr w:type="spellEnd"/>
      <w:r w:rsidRPr="003C492A">
        <w:rPr>
          <w:rFonts w:ascii="Arial" w:eastAsia="Arial" w:hAnsi="Arial" w:cs="Arial"/>
        </w:rPr>
        <w:t xml:space="preserve"> in triplicate. Viral RNA extraction was performed using </w:t>
      </w:r>
      <w:proofErr w:type="spellStart"/>
      <w:r w:rsidRPr="003C492A">
        <w:rPr>
          <w:rFonts w:ascii="Arial" w:eastAsia="Arial" w:hAnsi="Arial" w:cs="Arial"/>
        </w:rPr>
        <w:t>Macherey</w:t>
      </w:r>
      <w:proofErr w:type="spellEnd"/>
      <w:r w:rsidRPr="003C492A">
        <w:rPr>
          <w:rFonts w:ascii="Arial" w:eastAsia="Arial" w:hAnsi="Arial" w:cs="Arial"/>
        </w:rPr>
        <w:t xml:space="preserve"> Nagel </w:t>
      </w:r>
      <w:proofErr w:type="spellStart"/>
      <w:r w:rsidRPr="003C492A">
        <w:rPr>
          <w:rFonts w:ascii="Arial" w:eastAsia="Arial" w:hAnsi="Arial" w:cs="Arial"/>
        </w:rPr>
        <w:t>Nucleospin</w:t>
      </w:r>
      <w:proofErr w:type="spellEnd"/>
      <w:r w:rsidRPr="003C492A">
        <w:rPr>
          <w:rFonts w:ascii="Arial" w:eastAsia="Arial" w:hAnsi="Arial" w:cs="Arial"/>
        </w:rPr>
        <w:t xml:space="preserve"> RNA Virus Mini Kit. SARS-CoV-2 genome equivalents were quantified by RT-qPCR targeting SARS-CoV-2 E gene using the following primers: </w:t>
      </w:r>
      <w:proofErr w:type="spellStart"/>
      <w:r w:rsidRPr="003C492A">
        <w:rPr>
          <w:rFonts w:ascii="Arial" w:eastAsia="Arial" w:hAnsi="Arial" w:cs="Arial"/>
        </w:rPr>
        <w:t>E_Sarbeco_F</w:t>
      </w:r>
      <w:proofErr w:type="spellEnd"/>
      <w:r w:rsidRPr="003C492A">
        <w:rPr>
          <w:rFonts w:ascii="Arial" w:eastAsia="Arial" w:hAnsi="Arial" w:cs="Arial"/>
        </w:rPr>
        <w:t xml:space="preserve">: ACAGGTACGTTAATAGTTAATAGCGT; E_Sarbeco_P1: FAM-ACACTAGCCATCCTTACTGCGCTTCG-BBQ; </w:t>
      </w:r>
      <w:proofErr w:type="spellStart"/>
      <w:r w:rsidRPr="003C492A">
        <w:rPr>
          <w:rFonts w:ascii="Arial" w:eastAsia="Arial" w:hAnsi="Arial" w:cs="Arial"/>
        </w:rPr>
        <w:t>E_Sarbeco_R</w:t>
      </w:r>
      <w:proofErr w:type="spellEnd"/>
      <w:r w:rsidRPr="003C492A">
        <w:rPr>
          <w:rFonts w:ascii="Arial" w:eastAsia="Arial" w:hAnsi="Arial" w:cs="Arial"/>
        </w:rPr>
        <w:t xml:space="preserve">: ATATTGCAGCAGTACGCACACA </w:t>
      </w:r>
      <w:hyperlink r:id="rId20">
        <w:r w:rsidRPr="003C492A">
          <w:rPr>
            <w:rFonts w:ascii="Arial" w:eastAsia="Arial" w:hAnsi="Arial" w:cs="Arial"/>
            <w:color w:val="000000"/>
          </w:rPr>
          <w:t>[54]</w:t>
        </w:r>
      </w:hyperlink>
      <w:r w:rsidRPr="003C492A">
        <w:rPr>
          <w:rFonts w:ascii="Arial" w:eastAsia="Arial" w:hAnsi="Arial" w:cs="Arial"/>
        </w:rPr>
        <w:t xml:space="preserve">. RT-qPCRs were performed using the Superscript III </w:t>
      </w:r>
      <w:proofErr w:type="spellStart"/>
      <w:r w:rsidRPr="003C492A">
        <w:rPr>
          <w:rFonts w:ascii="Arial" w:eastAsia="Arial" w:hAnsi="Arial" w:cs="Arial"/>
        </w:rPr>
        <w:t>OneStep</w:t>
      </w:r>
      <w:proofErr w:type="spellEnd"/>
      <w:r w:rsidRPr="003C492A">
        <w:rPr>
          <w:rFonts w:ascii="Arial" w:eastAsia="Arial" w:hAnsi="Arial" w:cs="Arial"/>
        </w:rPr>
        <w:t xml:space="preserve"> RT-PCR kit (Invitrogen, Darmstadt, Germany). Absolute quantification was performed using SARS-CoV-2-specific </w:t>
      </w:r>
      <w:r w:rsidRPr="003C492A">
        <w:rPr>
          <w:rFonts w:ascii="Arial" w:eastAsia="Arial" w:hAnsi="Arial" w:cs="Arial"/>
          <w:i/>
        </w:rPr>
        <w:t>in vitro</w:t>
      </w:r>
      <w:r w:rsidRPr="003C492A">
        <w:rPr>
          <w:rFonts w:ascii="Arial" w:eastAsia="Arial" w:hAnsi="Arial" w:cs="Arial"/>
        </w:rPr>
        <w:t xml:space="preserve">-transcribed RNA standards. Data analysis was performed using Roche </w:t>
      </w:r>
      <w:proofErr w:type="spellStart"/>
      <w:r w:rsidRPr="003C492A">
        <w:rPr>
          <w:rFonts w:ascii="Arial" w:eastAsia="Arial" w:hAnsi="Arial" w:cs="Arial"/>
        </w:rPr>
        <w:t>LightCycler</w:t>
      </w:r>
      <w:proofErr w:type="spellEnd"/>
      <w:r w:rsidRPr="003C492A">
        <w:rPr>
          <w:rFonts w:ascii="Arial" w:eastAsia="Arial" w:hAnsi="Arial" w:cs="Arial"/>
        </w:rPr>
        <w:t xml:space="preserve"> 480 1.5.1.62SP3 software.</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Immunoblotting</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Cell lysates were generated with M-PER Mammalian Protein Extraction Reagent (Thermo Fisher Scientific, Waltham, Massachusetts, USA). For virus-containing supernatant, 1x SDS-buffer was added to the sample. Proteins were separated on a 10% SDS-PAGE and transferred onto nitrocellulose using a semi-dry transfer system (Bio-Rad Laboratories, Hercules, California, USA). Membranes were blocked with 5% milk powder solution for one hour and incubated overnight with the following primary antibodies: rabbit anti-</w:t>
      </w:r>
      <w:proofErr w:type="spellStart"/>
      <w:r w:rsidRPr="003C492A">
        <w:rPr>
          <w:rFonts w:ascii="Arial" w:eastAsia="Arial" w:hAnsi="Arial" w:cs="Arial"/>
        </w:rPr>
        <w:t>myc</w:t>
      </w:r>
      <w:proofErr w:type="spellEnd"/>
      <w:r w:rsidRPr="003C492A">
        <w:rPr>
          <w:rFonts w:ascii="Arial" w:eastAsia="Arial" w:hAnsi="Arial" w:cs="Arial"/>
        </w:rPr>
        <w:t xml:space="preserve"> (71D10, Cell </w:t>
      </w:r>
      <w:proofErr w:type="spellStart"/>
      <w:r w:rsidRPr="003C492A">
        <w:rPr>
          <w:rFonts w:ascii="Arial" w:eastAsia="Arial" w:hAnsi="Arial" w:cs="Arial"/>
        </w:rPr>
        <w:t>Signaling</w:t>
      </w:r>
      <w:proofErr w:type="spellEnd"/>
      <w:r w:rsidRPr="003C492A">
        <w:rPr>
          <w:rFonts w:ascii="Arial" w:eastAsia="Arial" w:hAnsi="Arial" w:cs="Arial"/>
        </w:rPr>
        <w:t xml:space="preserve"> Technology, Danvers, USA),  goat anti-Galectin-3BP/MAC-2BP (AF2226, R&amp;D Systems, Minnesota, USA), goat anti-MX2 (sc-47197, Santa Cruz Biotechnology, California, USA), mouse anti-IFIT1 (CF500948, </w:t>
      </w:r>
      <w:proofErr w:type="spellStart"/>
      <w:r w:rsidRPr="003C492A">
        <w:rPr>
          <w:rFonts w:ascii="Arial" w:eastAsia="Arial" w:hAnsi="Arial" w:cs="Arial"/>
        </w:rPr>
        <w:t>Origene</w:t>
      </w:r>
      <w:proofErr w:type="spellEnd"/>
      <w:r w:rsidRPr="003C492A">
        <w:rPr>
          <w:rFonts w:ascii="Arial" w:eastAsia="Arial" w:hAnsi="Arial" w:cs="Arial"/>
        </w:rPr>
        <w:t>, Maryland, USA), rabbit anti-</w:t>
      </w:r>
      <w:proofErr w:type="spellStart"/>
      <w:r w:rsidRPr="003C492A">
        <w:rPr>
          <w:rFonts w:ascii="Arial" w:eastAsia="Arial" w:hAnsi="Arial" w:cs="Arial"/>
        </w:rPr>
        <w:t>nucleocapsid</w:t>
      </w:r>
      <w:proofErr w:type="spellEnd"/>
      <w:r w:rsidRPr="003C492A">
        <w:rPr>
          <w:rFonts w:ascii="Arial" w:eastAsia="Arial" w:hAnsi="Arial" w:cs="Arial"/>
        </w:rPr>
        <w:t xml:space="preserve"> (GTX135361, </w:t>
      </w:r>
      <w:proofErr w:type="spellStart"/>
      <w:r w:rsidRPr="003C492A">
        <w:rPr>
          <w:rFonts w:ascii="Arial" w:eastAsia="Arial" w:hAnsi="Arial" w:cs="Arial"/>
        </w:rPr>
        <w:t>Biozol</w:t>
      </w:r>
      <w:proofErr w:type="spellEnd"/>
      <w:r w:rsidRPr="003C492A">
        <w:rPr>
          <w:rFonts w:ascii="Arial" w:eastAsia="Arial" w:hAnsi="Arial" w:cs="Arial"/>
        </w:rPr>
        <w:t xml:space="preserve">, </w:t>
      </w:r>
      <w:proofErr w:type="spellStart"/>
      <w:r w:rsidRPr="003C492A">
        <w:rPr>
          <w:rFonts w:ascii="Arial" w:eastAsia="Arial" w:hAnsi="Arial" w:cs="Arial"/>
        </w:rPr>
        <w:t>Eching</w:t>
      </w:r>
      <w:proofErr w:type="spellEnd"/>
      <w:r w:rsidRPr="003C492A">
        <w:rPr>
          <w:rFonts w:ascii="Arial" w:eastAsia="Arial" w:hAnsi="Arial" w:cs="Arial"/>
        </w:rPr>
        <w:t>, Germany), mouse anti-ACE2 (10108-MM36, Sino Biological, Beijing, China), rabbit anti-SARS Spike (NB100-56578, Novus Biologicals, Minneapolis, USA)</w:t>
      </w:r>
      <w:r w:rsidRPr="003C492A">
        <w:rPr>
          <w:rFonts w:ascii="Arial" w:eastAsia="Arial" w:hAnsi="Arial" w:cs="Arial"/>
          <w:b/>
        </w:rPr>
        <w:t xml:space="preserve">, </w:t>
      </w:r>
      <w:r w:rsidRPr="003C492A">
        <w:rPr>
          <w:rFonts w:ascii="Arial" w:eastAsia="Arial" w:hAnsi="Arial" w:cs="Arial"/>
        </w:rPr>
        <w:t xml:space="preserve">rabbit anti-α-tubulin (#2144, Cell </w:t>
      </w:r>
      <w:proofErr w:type="spellStart"/>
      <w:r w:rsidRPr="003C492A">
        <w:rPr>
          <w:rFonts w:ascii="Arial" w:eastAsia="Arial" w:hAnsi="Arial" w:cs="Arial"/>
        </w:rPr>
        <w:t>Signaling</w:t>
      </w:r>
      <w:proofErr w:type="spellEnd"/>
      <w:r w:rsidRPr="003C492A">
        <w:rPr>
          <w:rFonts w:ascii="Arial" w:eastAsia="Arial" w:hAnsi="Arial" w:cs="Arial"/>
        </w:rPr>
        <w:t xml:space="preserve"> Technology, Massachusetts, USA), and mouse-anti human actin (#8226, </w:t>
      </w:r>
      <w:proofErr w:type="spellStart"/>
      <w:r w:rsidRPr="003C492A">
        <w:rPr>
          <w:rFonts w:ascii="Arial" w:eastAsia="Arial" w:hAnsi="Arial" w:cs="Arial"/>
        </w:rPr>
        <w:t>Abcam</w:t>
      </w:r>
      <w:proofErr w:type="spellEnd"/>
      <w:r w:rsidRPr="003C492A">
        <w:rPr>
          <w:rFonts w:ascii="Arial" w:eastAsia="Arial" w:hAnsi="Arial" w:cs="Arial"/>
        </w:rPr>
        <w:t xml:space="preserve">, Cambridge, UK). Secondary antibodies conjugated to Alexa </w:t>
      </w:r>
      <w:r w:rsidRPr="003C492A">
        <w:rPr>
          <w:rFonts w:ascii="Arial" w:eastAsia="Arial" w:hAnsi="Arial" w:cs="Arial"/>
        </w:rPr>
        <w:lastRenderedPageBreak/>
        <w:t>680/800 fluorescent dyes were used for detection and quantification by Odyssey Infrared Imaging System (LI-COR Biosciences Lincoln, NE, USA).</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rPr>
        <w:t>Flow Cytometry</w:t>
      </w:r>
    </w:p>
    <w:p w:rsidR="00CA026E" w:rsidRPr="003C492A" w:rsidRDefault="00CA026E" w:rsidP="00CA026E">
      <w:pPr>
        <w:spacing w:line="480" w:lineRule="auto"/>
        <w:jc w:val="both"/>
        <w:rPr>
          <w:rFonts w:ascii="Arial" w:eastAsia="Arial" w:hAnsi="Arial" w:cs="Arial"/>
        </w:rPr>
      </w:pPr>
      <w:r w:rsidRPr="003C492A">
        <w:rPr>
          <w:rFonts w:ascii="Arial" w:eastAsia="Arial" w:hAnsi="Arial" w:cs="Arial"/>
        </w:rPr>
        <w:t xml:space="preserve">Cells were fixed in 4% PFA (Carl Roth) and </w:t>
      </w:r>
      <w:proofErr w:type="spellStart"/>
      <w:r w:rsidRPr="003C492A">
        <w:rPr>
          <w:rFonts w:ascii="Arial" w:eastAsia="Arial" w:hAnsi="Arial" w:cs="Arial"/>
        </w:rPr>
        <w:t>permeabilized</w:t>
      </w:r>
      <w:proofErr w:type="spellEnd"/>
      <w:r w:rsidRPr="003C492A">
        <w:rPr>
          <w:rFonts w:ascii="Arial" w:eastAsia="Arial" w:hAnsi="Arial" w:cs="Arial"/>
        </w:rPr>
        <w:t xml:space="preserve"> with 0.1% Triton X-100 (Thermo Fisher Scientific) in PBS before immunostaining with the following antibodies: rabbit anti-</w:t>
      </w:r>
      <w:proofErr w:type="spellStart"/>
      <w:r w:rsidRPr="003C492A">
        <w:rPr>
          <w:rFonts w:ascii="Arial" w:eastAsia="Arial" w:hAnsi="Arial" w:cs="Arial"/>
        </w:rPr>
        <w:t>nucleocapsid</w:t>
      </w:r>
      <w:proofErr w:type="spellEnd"/>
      <w:r w:rsidRPr="003C492A">
        <w:rPr>
          <w:rFonts w:ascii="Arial" w:eastAsia="Arial" w:hAnsi="Arial" w:cs="Arial"/>
        </w:rPr>
        <w:t xml:space="preserve"> (GTX135361, </w:t>
      </w:r>
      <w:proofErr w:type="spellStart"/>
      <w:r w:rsidRPr="003C492A">
        <w:rPr>
          <w:rFonts w:ascii="Arial" w:eastAsia="Arial" w:hAnsi="Arial" w:cs="Arial"/>
        </w:rPr>
        <w:t>Biozol</w:t>
      </w:r>
      <w:proofErr w:type="spellEnd"/>
      <w:r w:rsidRPr="003C492A">
        <w:rPr>
          <w:rFonts w:ascii="Arial" w:eastAsia="Arial" w:hAnsi="Arial" w:cs="Arial"/>
        </w:rPr>
        <w:t xml:space="preserve">, </w:t>
      </w:r>
      <w:proofErr w:type="spellStart"/>
      <w:r w:rsidRPr="003C492A">
        <w:rPr>
          <w:rFonts w:ascii="Arial" w:eastAsia="Arial" w:hAnsi="Arial" w:cs="Arial"/>
        </w:rPr>
        <w:t>Eching</w:t>
      </w:r>
      <w:proofErr w:type="spellEnd"/>
      <w:r w:rsidRPr="003C492A">
        <w:rPr>
          <w:rFonts w:ascii="Arial" w:eastAsia="Arial" w:hAnsi="Arial" w:cs="Arial"/>
        </w:rPr>
        <w:t xml:space="preserve">, Germany) as described </w:t>
      </w:r>
      <w:hyperlink r:id="rId21">
        <w:r w:rsidRPr="003C492A">
          <w:rPr>
            <w:rFonts w:ascii="Arial" w:eastAsia="Arial" w:hAnsi="Arial" w:cs="Arial"/>
            <w:color w:val="000000"/>
          </w:rPr>
          <w:t>[56]</w:t>
        </w:r>
      </w:hyperlink>
      <w:r w:rsidRPr="003C492A">
        <w:rPr>
          <w:rFonts w:ascii="Arial" w:eastAsia="Arial" w:hAnsi="Arial" w:cs="Arial"/>
        </w:rPr>
        <w:t xml:space="preserve">, goat anti-Galectin-3BP/MAC-2BP (AF2226, R&amp;D Systems, Minnesota, USA), and mouse anti-ACE2 (10108-MM36, Sino Biological, Beijing, China). Secondary antibodies conjugated to Alexa Fluor 488, 647 (1:1,500; Invitrogen) were used for detection. Flow cytometry analysis was performed using FACS Celesta with BD Diva Software (BD Biosciences) and </w:t>
      </w:r>
      <w:proofErr w:type="spellStart"/>
      <w:r w:rsidRPr="003C492A">
        <w:rPr>
          <w:rFonts w:ascii="Arial" w:eastAsia="Arial" w:hAnsi="Arial" w:cs="Arial"/>
        </w:rPr>
        <w:t>FlowJo</w:t>
      </w:r>
      <w:proofErr w:type="spellEnd"/>
      <w:r w:rsidRPr="003C492A">
        <w:rPr>
          <w:rFonts w:ascii="Arial" w:eastAsia="Arial" w:hAnsi="Arial" w:cs="Arial"/>
        </w:rPr>
        <w:t xml:space="preserve"> V10 Software (</w:t>
      </w:r>
      <w:proofErr w:type="spellStart"/>
      <w:r w:rsidRPr="003C492A">
        <w:rPr>
          <w:rFonts w:ascii="Arial" w:eastAsia="Arial" w:hAnsi="Arial" w:cs="Arial"/>
        </w:rPr>
        <w:t>FlowJo</w:t>
      </w:r>
      <w:proofErr w:type="spellEnd"/>
      <w:r w:rsidRPr="003C492A">
        <w:rPr>
          <w:rFonts w:ascii="Arial" w:eastAsia="Arial" w:hAnsi="Arial" w:cs="Arial"/>
        </w:rPr>
        <w:t>).</w:t>
      </w:r>
    </w:p>
    <w:p w:rsidR="00CA026E" w:rsidRPr="003C492A" w:rsidRDefault="00CA026E" w:rsidP="00CA026E">
      <w:pPr>
        <w:spacing w:after="0" w:line="480" w:lineRule="auto"/>
        <w:jc w:val="both"/>
        <w:rPr>
          <w:rFonts w:ascii="Arial" w:eastAsia="Arial" w:hAnsi="Arial" w:cs="Arial"/>
          <w:color w:val="212121"/>
        </w:rPr>
      </w:pPr>
    </w:p>
    <w:p w:rsidR="00CA026E" w:rsidRPr="003C492A" w:rsidRDefault="00CA026E" w:rsidP="00CA026E">
      <w:pPr>
        <w:jc w:val="center"/>
      </w:pPr>
      <w:r w:rsidRPr="003C492A">
        <w:rPr>
          <w:noProof/>
          <w:lang w:val="de-DE" w:eastAsia="de-DE"/>
        </w:rPr>
        <w:drawing>
          <wp:inline distT="114300" distB="114300" distL="114300" distR="114300" wp14:anchorId="15F8423D" wp14:editId="7011CF89">
            <wp:extent cx="3857943" cy="303534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3857943" cy="3035340"/>
                    </a:xfrm>
                    <a:prstGeom prst="rect">
                      <a:avLst/>
                    </a:prstGeom>
                    <a:ln/>
                  </pic:spPr>
                </pic:pic>
              </a:graphicData>
            </a:graphic>
          </wp:inline>
        </w:drawing>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i/>
        </w:rPr>
        <w:t>Suppl. Fig. 1</w:t>
      </w:r>
      <w:r w:rsidRPr="003C492A">
        <w:rPr>
          <w:rFonts w:ascii="Arial" w:eastAsia="Arial" w:hAnsi="Arial" w:cs="Arial"/>
          <w:b/>
        </w:rPr>
        <w:t xml:space="preserve"> 90K Serum Concentrations Do Not Depend on Dexamethasone Treatment in our COVID-19 Cohort</w:t>
      </w:r>
    </w:p>
    <w:p w:rsidR="00CA026E" w:rsidRPr="003C492A" w:rsidRDefault="00CA026E" w:rsidP="00CA026E">
      <w:pPr>
        <w:spacing w:line="480" w:lineRule="auto"/>
        <w:jc w:val="both"/>
        <w:rPr>
          <w:rFonts w:ascii="Arial" w:eastAsia="Arial" w:hAnsi="Arial" w:cs="Arial"/>
        </w:rPr>
      </w:pPr>
      <w:r w:rsidRPr="003C492A">
        <w:rPr>
          <w:rFonts w:ascii="Arial" w:eastAsia="Arial" w:hAnsi="Arial" w:cs="Arial"/>
        </w:rPr>
        <w:t xml:space="preserve">90K protein concentrations in serum according to assumed dexamethasone treatment. Dexamethasone was introduced as standard of care for COVID-19 patients with need for </w:t>
      </w:r>
      <w:r w:rsidRPr="003C492A">
        <w:rPr>
          <w:rFonts w:ascii="Arial" w:eastAsia="Arial" w:hAnsi="Arial" w:cs="Arial"/>
        </w:rPr>
        <w:lastRenderedPageBreak/>
        <w:t xml:space="preserve">oxygen supply in July 2020 </w:t>
      </w:r>
      <w:hyperlink r:id="rId23">
        <w:r w:rsidRPr="003C492A">
          <w:rPr>
            <w:rFonts w:ascii="Arial" w:eastAsia="Arial" w:hAnsi="Arial" w:cs="Arial"/>
            <w:color w:val="000000"/>
          </w:rPr>
          <w:t>[32]</w:t>
        </w:r>
      </w:hyperlink>
      <w:r w:rsidRPr="003C492A">
        <w:rPr>
          <w:rFonts w:ascii="Arial" w:eastAsia="Arial" w:hAnsi="Arial" w:cs="Arial"/>
        </w:rPr>
        <w:t xml:space="preserve">.   Patients assigned to the white bar (n=30) were treated for COVID-19 before introduction of dexamethasone as standard of care or, if treated later, presented no need for oxygen supply (WHO 3) and therefore had no indication for dexamethasone treatment. Patients assigned to the </w:t>
      </w:r>
      <w:proofErr w:type="spellStart"/>
      <w:r w:rsidRPr="003C492A">
        <w:rPr>
          <w:rFonts w:ascii="Arial" w:eastAsia="Arial" w:hAnsi="Arial" w:cs="Arial"/>
        </w:rPr>
        <w:t>gray</w:t>
      </w:r>
      <w:proofErr w:type="spellEnd"/>
      <w:r w:rsidRPr="003C492A">
        <w:rPr>
          <w:rFonts w:ascii="Arial" w:eastAsia="Arial" w:hAnsi="Arial" w:cs="Arial"/>
        </w:rPr>
        <w:t xml:space="preserve"> bar (n=12) were treated from July 2020 on and received oxygen supply (WHO 4 - 7) with indication for dexamethasone treatment. One mean value per patient is depicted. The effect of assumed dexamethasone treatment status on 90K serum levels was assessed using a linear mixed effects model (p=0.07).</w:t>
      </w:r>
      <w:bookmarkStart w:id="1" w:name="_yifs9o9tjfrj" w:colFirst="0" w:colLast="0"/>
      <w:bookmarkEnd w:id="1"/>
    </w:p>
    <w:p w:rsidR="00CA026E" w:rsidRPr="003C492A" w:rsidRDefault="00CA026E" w:rsidP="00CA026E">
      <w:pPr>
        <w:widowControl w:val="0"/>
        <w:pBdr>
          <w:top w:val="nil"/>
          <w:left w:val="nil"/>
          <w:bottom w:val="nil"/>
          <w:right w:val="nil"/>
          <w:between w:val="nil"/>
        </w:pBdr>
        <w:spacing w:after="0" w:line="276" w:lineRule="auto"/>
        <w:rPr>
          <w:rFonts w:ascii="Arial" w:eastAsia="Arial" w:hAnsi="Arial" w:cs="Arial"/>
        </w:rPr>
      </w:pPr>
    </w:p>
    <w:p w:rsidR="00CA026E" w:rsidRPr="003C492A" w:rsidRDefault="00CA026E" w:rsidP="00CA026E">
      <w:pPr>
        <w:spacing w:line="480" w:lineRule="auto"/>
        <w:jc w:val="both"/>
        <w:rPr>
          <w:rFonts w:ascii="Times New Roman" w:eastAsia="Times New Roman" w:hAnsi="Times New Roman" w:cs="Times New Roman"/>
          <w:b/>
        </w:rPr>
      </w:pPr>
      <w:r w:rsidRPr="003C492A">
        <w:rPr>
          <w:rFonts w:ascii="Times New Roman" w:eastAsia="Times New Roman" w:hAnsi="Times New Roman" w:cs="Times New Roman"/>
          <w:b/>
          <w:noProof/>
          <w:lang w:val="de-DE" w:eastAsia="de-DE"/>
        </w:rPr>
        <w:drawing>
          <wp:inline distT="114300" distB="114300" distL="114300" distR="114300" wp14:anchorId="7653AF81" wp14:editId="0380E812">
            <wp:extent cx="5760410" cy="53594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760410" cy="5359400"/>
                    </a:xfrm>
                    <a:prstGeom prst="rect">
                      <a:avLst/>
                    </a:prstGeom>
                    <a:ln/>
                  </pic:spPr>
                </pic:pic>
              </a:graphicData>
            </a:graphic>
          </wp:inline>
        </w:drawing>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i/>
        </w:rPr>
        <w:lastRenderedPageBreak/>
        <w:t xml:space="preserve">Suppl. Fig. 2 </w:t>
      </w:r>
      <w:r w:rsidRPr="003C492A">
        <w:rPr>
          <w:rFonts w:ascii="Arial" w:eastAsia="Arial" w:hAnsi="Arial" w:cs="Arial"/>
          <w:b/>
        </w:rPr>
        <w:t>90K Serum Concentrations in Relation to Infection Status, Antibody Response to SARS-CoV-2, and Demographic Characteristics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(A)</w:t>
      </w:r>
      <w:r w:rsidRPr="003C492A">
        <w:rPr>
          <w:rFonts w:ascii="Arial" w:eastAsia="Arial" w:hAnsi="Arial" w:cs="Arial"/>
          <w:b/>
        </w:rPr>
        <w:t xml:space="preserve"> </w:t>
      </w:r>
      <w:r w:rsidRPr="003C492A">
        <w:rPr>
          <w:rFonts w:ascii="Arial" w:eastAsia="Arial" w:hAnsi="Arial" w:cs="Arial"/>
        </w:rPr>
        <w:t xml:space="preserve">90K serum protein concentrations and respective SARS-CoV-2 RNA concentrations from nasopharyngeal swabs in COVID-19 patients, n=32 individuals, 68 observations at different time points.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 xml:space="preserve">(B) 90K serum protein concentrations and respective IgG/IgA anti-SARS-CoV-2 Spike antibody levels in COVID-19 patients, n=41 individuals, 117 observations at different time points.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(C) 90K protein concentrations in serum and sex of COVID-19 patients and age-matched healthy controls. Male n=30, female n=12, 1 mean value per patient is depicted. The effect of sex on 90K serum concentrations was assessed separately for COVID-19 patients and healthy controls using a linear mixed effects model. This was non-significant in both groups (p=0.39 in COVID-19, p=0.65 in healthy controls).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(D) 90K protein concentrations in serum and age of COVID-19 patients and sex-matched healthy controls. 20-55y n=23, &gt; 55y n=19, 1 mean value per patient is depicted. The effect of age on 90K serum concentrations was assessed separately for COVID-19 patients and healthy controls using a linear mixed effects model. This was non-significant in COVID-19 (p=0.50). For healthy controls this was significant (p=0.027).</w:t>
      </w:r>
    </w:p>
    <w:p w:rsidR="00CA026E" w:rsidRPr="003C492A" w:rsidRDefault="00CA026E" w:rsidP="00CA026E">
      <w:pPr>
        <w:spacing w:after="0" w:line="480" w:lineRule="auto"/>
        <w:jc w:val="both"/>
        <w:rPr>
          <w:rFonts w:ascii="Arial" w:eastAsia="Arial" w:hAnsi="Arial" w:cs="Arial"/>
        </w:rPr>
      </w:pPr>
    </w:p>
    <w:p w:rsidR="00CA026E" w:rsidRPr="003C492A" w:rsidRDefault="00CA026E" w:rsidP="00CA026E">
      <w:pPr>
        <w:spacing w:after="0" w:line="480" w:lineRule="auto"/>
        <w:jc w:val="both"/>
        <w:rPr>
          <w:rFonts w:ascii="Arial" w:eastAsia="Arial" w:hAnsi="Arial" w:cs="Arial"/>
          <w:b/>
          <w:sz w:val="20"/>
          <w:szCs w:val="20"/>
        </w:rPr>
      </w:pPr>
      <w:r w:rsidRPr="003C492A">
        <w:rPr>
          <w:rFonts w:ascii="Arial" w:eastAsia="Arial" w:hAnsi="Arial" w:cs="Arial"/>
          <w:b/>
          <w:noProof/>
          <w:sz w:val="20"/>
          <w:szCs w:val="20"/>
          <w:lang w:val="de-DE" w:eastAsia="de-DE"/>
        </w:rPr>
        <w:lastRenderedPageBreak/>
        <w:drawing>
          <wp:inline distT="114300" distB="114300" distL="114300" distR="114300" wp14:anchorId="0353A5ED" wp14:editId="3B112F18">
            <wp:extent cx="5034866" cy="3994150"/>
            <wp:effectExtent l="0" t="0" r="0" b="635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070385" cy="4022327"/>
                    </a:xfrm>
                    <a:prstGeom prst="rect">
                      <a:avLst/>
                    </a:prstGeom>
                    <a:ln/>
                  </pic:spPr>
                </pic:pic>
              </a:graphicData>
            </a:graphic>
          </wp:inline>
        </w:drawing>
      </w:r>
    </w:p>
    <w:p w:rsidR="00CA026E" w:rsidRPr="003C492A" w:rsidRDefault="00CA026E" w:rsidP="00CA026E">
      <w:pPr>
        <w:spacing w:after="0" w:line="480" w:lineRule="auto"/>
        <w:jc w:val="both"/>
        <w:rPr>
          <w:rFonts w:ascii="Arial" w:eastAsia="Arial" w:hAnsi="Arial" w:cs="Arial"/>
          <w:b/>
          <w:sz w:val="20"/>
          <w:szCs w:val="20"/>
        </w:rPr>
      </w:pPr>
      <w:r w:rsidRPr="003C492A">
        <w:rPr>
          <w:rFonts w:ascii="Arial" w:eastAsia="Arial" w:hAnsi="Arial" w:cs="Arial"/>
          <w:b/>
          <w:noProof/>
          <w:sz w:val="20"/>
          <w:szCs w:val="20"/>
          <w:lang w:val="de-DE" w:eastAsia="de-DE"/>
        </w:rPr>
        <w:drawing>
          <wp:inline distT="114300" distB="114300" distL="114300" distR="114300" wp14:anchorId="1D4875D4" wp14:editId="7FDD02C7">
            <wp:extent cx="5334000" cy="4229100"/>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334309" cy="4229345"/>
                    </a:xfrm>
                    <a:prstGeom prst="rect">
                      <a:avLst/>
                    </a:prstGeom>
                    <a:ln/>
                  </pic:spPr>
                </pic:pic>
              </a:graphicData>
            </a:graphic>
          </wp:inline>
        </w:drawing>
      </w:r>
    </w:p>
    <w:p w:rsidR="00CA026E" w:rsidRPr="003C492A" w:rsidRDefault="00CA026E" w:rsidP="00CA026E">
      <w:pPr>
        <w:spacing w:line="480" w:lineRule="auto"/>
        <w:jc w:val="both"/>
        <w:rPr>
          <w:rFonts w:ascii="Arial" w:eastAsia="Arial" w:hAnsi="Arial" w:cs="Arial"/>
          <w:b/>
          <w:i/>
        </w:rPr>
      </w:pPr>
    </w:p>
    <w:p w:rsidR="00CA026E" w:rsidRPr="003C492A" w:rsidRDefault="00CA026E" w:rsidP="00CA026E">
      <w:pPr>
        <w:spacing w:line="480" w:lineRule="auto"/>
        <w:jc w:val="both"/>
        <w:rPr>
          <w:rFonts w:ascii="Arial" w:eastAsia="Arial" w:hAnsi="Arial" w:cs="Arial"/>
          <w:b/>
        </w:rPr>
      </w:pPr>
      <w:r w:rsidRPr="003C492A">
        <w:rPr>
          <w:rFonts w:ascii="Arial" w:eastAsia="Arial" w:hAnsi="Arial" w:cs="Arial"/>
          <w:b/>
          <w:i/>
        </w:rPr>
        <w:lastRenderedPageBreak/>
        <w:t>Suppl. Fig. 3 LGALS3BP</w:t>
      </w:r>
      <w:r w:rsidRPr="003C492A">
        <w:rPr>
          <w:rFonts w:ascii="Arial" w:eastAsia="Arial" w:hAnsi="Arial" w:cs="Arial"/>
          <w:b/>
        </w:rPr>
        <w:t xml:space="preserve"> </w:t>
      </w:r>
      <w:proofErr w:type="spellStart"/>
      <w:r w:rsidRPr="003C492A">
        <w:rPr>
          <w:rFonts w:ascii="Arial" w:eastAsia="Arial" w:hAnsi="Arial" w:cs="Arial"/>
          <w:b/>
        </w:rPr>
        <w:t>scRNA-seq</w:t>
      </w:r>
      <w:proofErr w:type="spellEnd"/>
      <w:r w:rsidRPr="003C492A">
        <w:rPr>
          <w:rFonts w:ascii="Arial" w:eastAsia="Arial" w:hAnsi="Arial" w:cs="Arial"/>
          <w:b/>
        </w:rPr>
        <w:t xml:space="preserve"> Analysis from PBMCs, Further Cell Types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b/>
        </w:rPr>
        <w:t>A</w:t>
      </w:r>
      <w:r w:rsidRPr="003C492A">
        <w:rPr>
          <w:rFonts w:ascii="Arial" w:eastAsia="Arial" w:hAnsi="Arial" w:cs="Arial"/>
        </w:rPr>
        <w:t>: Cohort A</w:t>
      </w:r>
      <w:proofErr w:type="gramStart"/>
      <w:r w:rsidRPr="003C492A">
        <w:rPr>
          <w:rFonts w:ascii="Arial" w:eastAsia="Arial" w:hAnsi="Arial" w:cs="Arial"/>
        </w:rPr>
        <w:t xml:space="preserve">,  </w:t>
      </w:r>
      <w:r w:rsidRPr="003C492A">
        <w:rPr>
          <w:rFonts w:ascii="Arial" w:eastAsia="Arial" w:hAnsi="Arial" w:cs="Arial"/>
          <w:b/>
        </w:rPr>
        <w:t>B</w:t>
      </w:r>
      <w:proofErr w:type="gramEnd"/>
      <w:r w:rsidRPr="003C492A">
        <w:rPr>
          <w:rFonts w:ascii="Arial" w:eastAsia="Arial" w:hAnsi="Arial" w:cs="Arial"/>
        </w:rPr>
        <w:t>: Cohort B.</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i/>
        </w:rPr>
        <w:t>LGALS3BP</w:t>
      </w:r>
      <w:r w:rsidRPr="003C492A">
        <w:rPr>
          <w:rFonts w:ascii="Arial" w:eastAsia="Arial" w:hAnsi="Arial" w:cs="Arial"/>
        </w:rPr>
        <w:t xml:space="preserve"> log-normalized expression, assigned to days after symptom onset for each sample. Both cohorts are divided into three groups: Uninfected controls (black), “mild” COVID-19 (defined as WHO grade 2-4 in corresponding publication) (blue) and “severe” COVID-19 (WHO grade 5-7 in corresponding publication) (red). Thick lines indicate smoothed population trends based on a LOESS estimate, thin lines connect subjects. </w:t>
      </w:r>
      <w:proofErr w:type="gramStart"/>
      <w:r w:rsidRPr="003C492A">
        <w:rPr>
          <w:rFonts w:ascii="Arial" w:eastAsia="Arial" w:hAnsi="Arial" w:cs="Arial"/>
        </w:rPr>
        <w:t>shaded</w:t>
      </w:r>
      <w:proofErr w:type="gramEnd"/>
      <w:r w:rsidRPr="003C492A">
        <w:rPr>
          <w:rFonts w:ascii="Arial" w:eastAsia="Arial" w:hAnsi="Arial" w:cs="Arial"/>
        </w:rPr>
        <w:t xml:space="preserve"> areas indicate 95% CI for the LOESS estimate.</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(A) B cells control n=22/22, mild n=8/13, severe n=10/14, CD4</w:t>
      </w:r>
      <w:r w:rsidRPr="003C492A">
        <w:rPr>
          <w:rFonts w:ascii="Arial" w:eastAsia="Arial" w:hAnsi="Arial" w:cs="Arial"/>
          <w:vertAlign w:val="superscript"/>
        </w:rPr>
        <w:t>+</w:t>
      </w:r>
      <w:r w:rsidRPr="003C492A">
        <w:rPr>
          <w:rFonts w:ascii="Arial" w:eastAsia="Arial" w:hAnsi="Arial" w:cs="Arial"/>
        </w:rPr>
        <w:t xml:space="preserve"> T cells control n=22/22, mild n=8/13, severe n=10/14 , CD8</w:t>
      </w:r>
      <w:r w:rsidRPr="003C492A">
        <w:rPr>
          <w:rFonts w:ascii="Arial" w:eastAsia="Arial" w:hAnsi="Arial" w:cs="Arial"/>
          <w:vertAlign w:val="superscript"/>
        </w:rPr>
        <w:t>+</w:t>
      </w:r>
      <w:r w:rsidRPr="003C492A">
        <w:rPr>
          <w:rFonts w:ascii="Arial" w:eastAsia="Arial" w:hAnsi="Arial" w:cs="Arial"/>
        </w:rPr>
        <w:t xml:space="preserve"> T cells control n=22/22, mild n=8/13, severe n=10/14, immature neutrophils control n=9/9, mild n=4/4, severe n=10/14, myeloid dendritic cells (</w:t>
      </w:r>
      <w:proofErr w:type="spellStart"/>
      <w:r w:rsidRPr="003C492A">
        <w:rPr>
          <w:rFonts w:ascii="Arial" w:eastAsia="Arial" w:hAnsi="Arial" w:cs="Arial"/>
        </w:rPr>
        <w:t>mDCs</w:t>
      </w:r>
      <w:proofErr w:type="spellEnd"/>
      <w:r w:rsidRPr="003C492A">
        <w:rPr>
          <w:rFonts w:ascii="Arial" w:eastAsia="Arial" w:hAnsi="Arial" w:cs="Arial"/>
        </w:rPr>
        <w:t xml:space="preserve">) control n=22/22, mild n=8/13, severe n=10/14, neutrophils control n=19/19 (individuals/time points), mild n=8/11, severe n=10/14, NK cells control n=22/22, mild n=8/13, severe n=10/14 , </w:t>
      </w:r>
      <w:proofErr w:type="spellStart"/>
      <w:r w:rsidRPr="003C492A">
        <w:rPr>
          <w:rFonts w:ascii="Arial" w:eastAsia="Arial" w:hAnsi="Arial" w:cs="Arial"/>
        </w:rPr>
        <w:t>plasmacytoid</w:t>
      </w:r>
      <w:proofErr w:type="spellEnd"/>
      <w:r w:rsidRPr="003C492A">
        <w:rPr>
          <w:rFonts w:ascii="Arial" w:eastAsia="Arial" w:hAnsi="Arial" w:cs="Arial"/>
        </w:rPr>
        <w:t xml:space="preserve"> dendritic cells (</w:t>
      </w:r>
      <w:proofErr w:type="spellStart"/>
      <w:r w:rsidRPr="003C492A">
        <w:rPr>
          <w:rFonts w:ascii="Arial" w:eastAsia="Arial" w:hAnsi="Arial" w:cs="Arial"/>
        </w:rPr>
        <w:t>pDCs</w:t>
      </w:r>
      <w:proofErr w:type="spellEnd"/>
      <w:r w:rsidRPr="003C492A">
        <w:rPr>
          <w:rFonts w:ascii="Arial" w:eastAsia="Arial" w:hAnsi="Arial" w:cs="Arial"/>
        </w:rPr>
        <w:t xml:space="preserve">) control n=22/22, mild n=7/12, severe n=9/14, </w:t>
      </w:r>
      <w:proofErr w:type="spellStart"/>
      <w:r w:rsidRPr="003C492A">
        <w:rPr>
          <w:rFonts w:ascii="Arial" w:eastAsia="Arial" w:hAnsi="Arial" w:cs="Arial"/>
        </w:rPr>
        <w:t>plasmablasts</w:t>
      </w:r>
      <w:proofErr w:type="spellEnd"/>
      <w:r w:rsidRPr="003C492A">
        <w:rPr>
          <w:rFonts w:ascii="Arial" w:eastAsia="Arial" w:hAnsi="Arial" w:cs="Arial"/>
        </w:rPr>
        <w:t xml:space="preserve"> control n=20/20, mild n=5/6, severe n=10/14  </w:t>
      </w:r>
    </w:p>
    <w:p w:rsidR="00CA026E" w:rsidRPr="003C492A" w:rsidRDefault="00CA026E" w:rsidP="00CA026E">
      <w:pPr>
        <w:spacing w:after="0" w:line="480" w:lineRule="auto"/>
        <w:jc w:val="both"/>
        <w:rPr>
          <w:rFonts w:ascii="Times New Roman" w:eastAsia="Times New Roman" w:hAnsi="Times New Roman" w:cs="Times New Roman"/>
        </w:rPr>
      </w:pPr>
      <w:r w:rsidRPr="003C492A">
        <w:rPr>
          <w:rFonts w:ascii="Arial" w:eastAsia="Arial" w:hAnsi="Arial" w:cs="Arial"/>
        </w:rPr>
        <w:t>(B)</w:t>
      </w:r>
      <w:r w:rsidRPr="003C492A">
        <w:rPr>
          <w:rFonts w:ascii="Arial" w:eastAsia="Arial" w:hAnsi="Arial" w:cs="Arial"/>
          <w:b/>
        </w:rPr>
        <w:t xml:space="preserve"> </w:t>
      </w:r>
      <w:r w:rsidRPr="003C492A">
        <w:rPr>
          <w:rFonts w:ascii="Arial" w:eastAsia="Arial" w:hAnsi="Arial" w:cs="Arial"/>
        </w:rPr>
        <w:t>B cells control n=13/13, mild n=8/22, severe n=9/28, CD4</w:t>
      </w:r>
      <w:r w:rsidRPr="003C492A">
        <w:rPr>
          <w:rFonts w:ascii="Arial" w:eastAsia="Arial" w:hAnsi="Arial" w:cs="Arial"/>
          <w:vertAlign w:val="superscript"/>
        </w:rPr>
        <w:t>+</w:t>
      </w:r>
      <w:r w:rsidRPr="003C492A">
        <w:rPr>
          <w:rFonts w:ascii="Arial" w:eastAsia="Arial" w:hAnsi="Arial" w:cs="Arial"/>
        </w:rPr>
        <w:t xml:space="preserve"> T cells control n=13/13, mild n=8/22, severe n=9/28, CD8</w:t>
      </w:r>
      <w:r w:rsidRPr="003C492A">
        <w:rPr>
          <w:rFonts w:ascii="Arial" w:eastAsia="Arial" w:hAnsi="Arial" w:cs="Arial"/>
          <w:vertAlign w:val="superscript"/>
        </w:rPr>
        <w:t>+</w:t>
      </w:r>
      <w:r w:rsidRPr="003C492A">
        <w:rPr>
          <w:rFonts w:ascii="Arial" w:eastAsia="Arial" w:hAnsi="Arial" w:cs="Arial"/>
        </w:rPr>
        <w:t xml:space="preserve"> T cells control n=13/13, mild n=8/22, severe n=9/28, immature neutrophils control n=12/12, mild n=5/13, severe n=4/10, neutrophils control n=13/13, mild n=8/21, severe n=9/27, NK cells control n=13/13, mild n=8/22, severe n=9/28.</w:t>
      </w:r>
    </w:p>
    <w:p w:rsidR="00CA026E" w:rsidRPr="003C492A" w:rsidRDefault="00CA026E" w:rsidP="00CA026E">
      <w:pPr>
        <w:spacing w:line="480" w:lineRule="auto"/>
        <w:jc w:val="center"/>
        <w:rPr>
          <w:rFonts w:ascii="Arial" w:eastAsia="Arial" w:hAnsi="Arial" w:cs="Arial"/>
          <w:sz w:val="20"/>
          <w:szCs w:val="20"/>
        </w:rPr>
      </w:pPr>
    </w:p>
    <w:p w:rsidR="00CA026E" w:rsidRPr="003C492A" w:rsidRDefault="00CA026E" w:rsidP="00CA026E">
      <w:pPr>
        <w:spacing w:line="480" w:lineRule="auto"/>
        <w:jc w:val="center"/>
        <w:rPr>
          <w:rFonts w:ascii="Arial" w:eastAsia="Arial" w:hAnsi="Arial" w:cs="Arial"/>
          <w:sz w:val="20"/>
          <w:szCs w:val="20"/>
        </w:rPr>
      </w:pPr>
      <w:r w:rsidRPr="003C492A">
        <w:rPr>
          <w:rFonts w:ascii="Arial" w:eastAsia="Arial" w:hAnsi="Arial" w:cs="Arial"/>
          <w:noProof/>
          <w:sz w:val="20"/>
          <w:szCs w:val="20"/>
          <w:lang w:val="de-DE" w:eastAsia="de-DE"/>
        </w:rPr>
        <w:lastRenderedPageBreak/>
        <w:drawing>
          <wp:inline distT="114300" distB="114300" distL="114300" distR="114300" wp14:anchorId="5CC09868" wp14:editId="63A3C165">
            <wp:extent cx="5760410" cy="52705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760410" cy="5270500"/>
                    </a:xfrm>
                    <a:prstGeom prst="rect">
                      <a:avLst/>
                    </a:prstGeom>
                    <a:ln/>
                  </pic:spPr>
                </pic:pic>
              </a:graphicData>
            </a:graphic>
          </wp:inline>
        </w:drawing>
      </w:r>
    </w:p>
    <w:p w:rsidR="00CA026E" w:rsidRPr="003C492A" w:rsidRDefault="00CA026E" w:rsidP="00CA026E">
      <w:pPr>
        <w:spacing w:line="480" w:lineRule="auto"/>
        <w:jc w:val="center"/>
        <w:rPr>
          <w:rFonts w:ascii="Arial" w:eastAsia="Arial" w:hAnsi="Arial" w:cs="Arial"/>
          <w:sz w:val="20"/>
          <w:szCs w:val="20"/>
        </w:rPr>
      </w:pPr>
      <w:r w:rsidRPr="003C492A">
        <w:rPr>
          <w:rFonts w:ascii="Arial" w:eastAsia="Arial" w:hAnsi="Arial" w:cs="Arial"/>
          <w:noProof/>
          <w:sz w:val="20"/>
          <w:szCs w:val="20"/>
          <w:lang w:val="de-DE" w:eastAsia="de-DE"/>
        </w:rPr>
        <w:lastRenderedPageBreak/>
        <w:drawing>
          <wp:inline distT="114300" distB="114300" distL="114300" distR="114300" wp14:anchorId="1C3F23F3" wp14:editId="3D52D61A">
            <wp:extent cx="5760410" cy="51943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760410" cy="5194300"/>
                    </a:xfrm>
                    <a:prstGeom prst="rect">
                      <a:avLst/>
                    </a:prstGeom>
                    <a:ln/>
                  </pic:spPr>
                </pic:pic>
              </a:graphicData>
            </a:graphic>
          </wp:inline>
        </w:drawing>
      </w:r>
    </w:p>
    <w:p w:rsidR="00CA026E" w:rsidRPr="003C492A" w:rsidRDefault="00CA026E" w:rsidP="00CA026E">
      <w:pPr>
        <w:spacing w:line="480" w:lineRule="auto"/>
        <w:jc w:val="both"/>
        <w:rPr>
          <w:rFonts w:ascii="Arial" w:eastAsia="Arial" w:hAnsi="Arial" w:cs="Arial"/>
          <w:b/>
        </w:rPr>
      </w:pPr>
      <w:r w:rsidRPr="003C492A">
        <w:rPr>
          <w:rFonts w:ascii="Arial" w:eastAsia="Arial" w:hAnsi="Arial" w:cs="Arial"/>
          <w:b/>
          <w:i/>
        </w:rPr>
        <w:t>Suppl. Fig. 4</w:t>
      </w:r>
      <w:r w:rsidRPr="003C492A">
        <w:rPr>
          <w:rFonts w:ascii="Arial" w:eastAsia="Arial" w:hAnsi="Arial" w:cs="Arial"/>
          <w:b/>
        </w:rPr>
        <w:t xml:space="preserve"> </w:t>
      </w:r>
      <w:r w:rsidRPr="003C492A">
        <w:rPr>
          <w:rFonts w:ascii="Arial" w:eastAsia="Arial" w:hAnsi="Arial" w:cs="Arial"/>
          <w:b/>
          <w:i/>
        </w:rPr>
        <w:t>LGALS3BP</w:t>
      </w:r>
      <w:r w:rsidRPr="003C492A">
        <w:rPr>
          <w:rFonts w:ascii="Arial" w:eastAsia="Arial" w:hAnsi="Arial" w:cs="Arial"/>
          <w:b/>
        </w:rPr>
        <w:t xml:space="preserve"> </w:t>
      </w:r>
      <w:proofErr w:type="spellStart"/>
      <w:r w:rsidRPr="003C492A">
        <w:rPr>
          <w:rFonts w:ascii="Arial" w:eastAsia="Arial" w:hAnsi="Arial" w:cs="Arial"/>
          <w:b/>
        </w:rPr>
        <w:t>scRNA-seq</w:t>
      </w:r>
      <w:proofErr w:type="spellEnd"/>
      <w:r w:rsidRPr="003C492A">
        <w:rPr>
          <w:rFonts w:ascii="Arial" w:eastAsia="Arial" w:hAnsi="Arial" w:cs="Arial"/>
          <w:b/>
        </w:rPr>
        <w:t xml:space="preserve"> Analysis from Respiratory Samples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b/>
        </w:rPr>
        <w:t>A</w:t>
      </w:r>
      <w:r w:rsidRPr="003C492A">
        <w:rPr>
          <w:rFonts w:ascii="Arial" w:eastAsia="Arial" w:hAnsi="Arial" w:cs="Arial"/>
        </w:rPr>
        <w:t xml:space="preserve">: Epithelial cells </w:t>
      </w:r>
      <w:r w:rsidRPr="003C492A">
        <w:rPr>
          <w:rFonts w:ascii="Arial" w:eastAsia="Arial" w:hAnsi="Arial" w:cs="Arial"/>
          <w:b/>
        </w:rPr>
        <w:t>B</w:t>
      </w:r>
      <w:r w:rsidRPr="003C492A">
        <w:rPr>
          <w:rFonts w:ascii="Arial" w:eastAsia="Arial" w:hAnsi="Arial" w:cs="Arial"/>
        </w:rPr>
        <w:t xml:space="preserve">: Immune cells </w:t>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i/>
        </w:rPr>
        <w:t>LGALS3B</w:t>
      </w:r>
      <w:r w:rsidRPr="003C492A">
        <w:rPr>
          <w:rFonts w:ascii="Arial" w:eastAsia="Arial" w:hAnsi="Arial" w:cs="Arial"/>
        </w:rPr>
        <w:t xml:space="preserve">P log-normalized expression at days after symptom onset for each sample. Both cohorts are divided into three groups: Uninfected controls (black), “moderate” COVID-19 (defined as WHO grade 3 in corresponding publication (blue) and “critical” COVID-19 (WHO grade 6-7 in corresponding publication) (red). Repartition of data points for each cell type if not stated otherwise: control n=5/5 (individuals/time points), moderate n=8/14, critical n=11/13. Thick lines indicate smoothed population trends based on a LOESS estimate, thin lines connect subjects. </w:t>
      </w:r>
      <w:proofErr w:type="gramStart"/>
      <w:r w:rsidRPr="003C492A">
        <w:rPr>
          <w:rFonts w:ascii="Arial" w:eastAsia="Arial" w:hAnsi="Arial" w:cs="Arial"/>
        </w:rPr>
        <w:t>shaded</w:t>
      </w:r>
      <w:proofErr w:type="gramEnd"/>
      <w:r w:rsidRPr="003C492A">
        <w:rPr>
          <w:rFonts w:ascii="Arial" w:eastAsia="Arial" w:hAnsi="Arial" w:cs="Arial"/>
        </w:rPr>
        <w:t xml:space="preserve"> areas indicate 95% CI for the LOESS estimate.</w:t>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rPr>
        <w:lastRenderedPageBreak/>
        <w:t xml:space="preserve">(A) </w:t>
      </w:r>
      <w:proofErr w:type="spellStart"/>
      <w:r w:rsidRPr="003C492A">
        <w:rPr>
          <w:rFonts w:ascii="Arial" w:eastAsia="Arial" w:hAnsi="Arial" w:cs="Arial"/>
        </w:rPr>
        <w:t>Ionocytes</w:t>
      </w:r>
      <w:proofErr w:type="spellEnd"/>
      <w:r w:rsidRPr="003C492A">
        <w:rPr>
          <w:rFonts w:ascii="Arial" w:eastAsia="Arial" w:hAnsi="Arial" w:cs="Arial"/>
        </w:rPr>
        <w:t xml:space="preserve"> control n=3/3, Secretory cells critical n=10/12, Secretory cells – differentiating critical n=10/12, Squamous cells critical n=9/11. </w:t>
      </w:r>
    </w:p>
    <w:p w:rsidR="00CA026E" w:rsidRPr="003C492A" w:rsidRDefault="00CA026E" w:rsidP="00CA026E">
      <w:pPr>
        <w:spacing w:line="480" w:lineRule="auto"/>
        <w:jc w:val="both"/>
        <w:rPr>
          <w:rFonts w:ascii="Arial" w:eastAsia="Arial" w:hAnsi="Arial" w:cs="Arial"/>
        </w:rPr>
      </w:pPr>
      <w:bookmarkStart w:id="2" w:name="_gakkxb1uahbb" w:colFirst="0" w:colLast="0"/>
      <w:bookmarkEnd w:id="2"/>
      <w:r w:rsidRPr="003C492A">
        <w:rPr>
          <w:rFonts w:ascii="Arial" w:eastAsia="Arial" w:hAnsi="Arial" w:cs="Arial"/>
        </w:rPr>
        <w:t xml:space="preserve">(B) B cells control n=3/3, moderate n=7/13, critical n=10/11, cytotoxic T cells (CTL) control n=4/4, MD dendritic cells control n=1/1, NKT cells control n=2/2, moderate n=7/13, </w:t>
      </w:r>
      <w:proofErr w:type="spellStart"/>
      <w:r w:rsidRPr="003C492A">
        <w:rPr>
          <w:rFonts w:ascii="Arial" w:eastAsia="Arial" w:hAnsi="Arial" w:cs="Arial"/>
        </w:rPr>
        <w:t>Plasmacytoid</w:t>
      </w:r>
      <w:proofErr w:type="spellEnd"/>
      <w:r w:rsidRPr="003C492A">
        <w:rPr>
          <w:rFonts w:ascii="Arial" w:eastAsia="Arial" w:hAnsi="Arial" w:cs="Arial"/>
        </w:rPr>
        <w:t xml:space="preserve"> dendritic cells control n=1/1, moderate n=7/13, critical n=8/10, Regulatory T cells control n=4/4, critical n=10/12, critical n=10/12.</w:t>
      </w:r>
    </w:p>
    <w:p w:rsidR="00CA026E" w:rsidRPr="003C492A" w:rsidRDefault="00CA026E" w:rsidP="00CA026E">
      <w:pPr>
        <w:spacing w:line="480" w:lineRule="auto"/>
        <w:jc w:val="both"/>
        <w:rPr>
          <w:rFonts w:ascii="Arial" w:eastAsia="Arial" w:hAnsi="Arial" w:cs="Arial"/>
          <w:sz w:val="20"/>
          <w:szCs w:val="20"/>
        </w:rPr>
      </w:pPr>
    </w:p>
    <w:p w:rsidR="00CA026E" w:rsidRPr="003C492A" w:rsidRDefault="00CA026E" w:rsidP="00CA026E">
      <w:pPr>
        <w:spacing w:line="480" w:lineRule="auto"/>
        <w:jc w:val="both"/>
        <w:rPr>
          <w:rFonts w:ascii="Times New Roman" w:eastAsia="Times New Roman" w:hAnsi="Times New Roman" w:cs="Times New Roman"/>
          <w:b/>
        </w:rPr>
      </w:pPr>
      <w:r w:rsidRPr="003C492A">
        <w:rPr>
          <w:noProof/>
          <w:lang w:val="de-DE" w:eastAsia="de-DE"/>
        </w:rPr>
        <w:drawing>
          <wp:inline distT="114300" distB="114300" distL="114300" distR="114300" wp14:anchorId="2DEC7F75" wp14:editId="64E28770">
            <wp:extent cx="5760410" cy="51689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760410" cy="5168900"/>
                    </a:xfrm>
                    <a:prstGeom prst="rect">
                      <a:avLst/>
                    </a:prstGeom>
                    <a:ln/>
                  </pic:spPr>
                </pic:pic>
              </a:graphicData>
            </a:graphic>
          </wp:inline>
        </w:drawing>
      </w: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i/>
        </w:rPr>
        <w:t>Suppl. Fig. 5</w:t>
      </w:r>
      <w:r w:rsidRPr="003C492A">
        <w:rPr>
          <w:rFonts w:ascii="Arial" w:eastAsia="Arial" w:hAnsi="Arial" w:cs="Arial"/>
          <w:b/>
        </w:rPr>
        <w:t xml:space="preserve"> Characterisation of COVID-19 Patients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(A) COVID-19 disease severity and age of infected individuals. WHO 3-4 n=25, WHO 5-7 n=19. Large points indicate deceased patients. Unpaired t-test (p=0.15).</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lastRenderedPageBreak/>
        <w:t>(B) SARS-CoV-2 RNA concentrations in COVID-19 cohort after symptom onset. n=32, 68 time points.</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(C) SARS-CoV-2 IgG antibody levels in COVID-19 cohort after symptom onset. n=40, 113 samples at different time points. Log-transformed OD ratios were modelled using a linear mixed effects model, with days post symptom onset (with both a linear and a quadratic term) as fixed effect and patient ID as random intercept. The resulting regression line is indicated (R</w:t>
      </w:r>
      <w:r w:rsidRPr="003C492A">
        <w:rPr>
          <w:rFonts w:ascii="Arial" w:eastAsia="Arial" w:hAnsi="Arial" w:cs="Arial"/>
          <w:vertAlign w:val="superscript"/>
        </w:rPr>
        <w:t>2</w:t>
      </w:r>
      <w:r w:rsidRPr="003C492A">
        <w:rPr>
          <w:rFonts w:ascii="Arial" w:eastAsia="Arial" w:hAnsi="Arial" w:cs="Arial"/>
        </w:rPr>
        <w:t xml:space="preserve"> = 0.86). </w:t>
      </w:r>
    </w:p>
    <w:p w:rsidR="00CA026E" w:rsidRPr="003C492A" w:rsidRDefault="00CA026E" w:rsidP="00CA026E">
      <w:pPr>
        <w:spacing w:after="0" w:line="480" w:lineRule="auto"/>
        <w:jc w:val="both"/>
        <w:rPr>
          <w:rFonts w:ascii="Arial" w:eastAsia="Arial" w:hAnsi="Arial" w:cs="Arial"/>
        </w:rPr>
      </w:pPr>
      <w:r w:rsidRPr="003C492A">
        <w:rPr>
          <w:rFonts w:ascii="Arial" w:eastAsia="Arial" w:hAnsi="Arial" w:cs="Arial"/>
        </w:rPr>
        <w:t>(D) SARS-CoV-2 IgA antibody levels in COVID-19 cohort after symptom onset. n=40, 113 samples at different time points. OD ratios were modelled using a linear mixed effects model, with days post symptom onset (with both a linear and a quadratic term) as fixed effect and patient ID as random intercept. The resulting regression line is indicated (R</w:t>
      </w:r>
      <w:r w:rsidRPr="003C492A">
        <w:rPr>
          <w:rFonts w:ascii="Arial" w:eastAsia="Arial" w:hAnsi="Arial" w:cs="Arial"/>
          <w:vertAlign w:val="superscript"/>
        </w:rPr>
        <w:t xml:space="preserve">2 </w:t>
      </w:r>
      <w:r w:rsidRPr="003C492A">
        <w:rPr>
          <w:rFonts w:ascii="Arial" w:eastAsia="Arial" w:hAnsi="Arial" w:cs="Arial"/>
        </w:rPr>
        <w:t>= 0.78).</w:t>
      </w:r>
    </w:p>
    <w:p w:rsidR="00CA026E" w:rsidRPr="003C492A" w:rsidRDefault="00CA026E" w:rsidP="00CA026E">
      <w:pPr>
        <w:spacing w:after="0" w:line="480" w:lineRule="auto"/>
        <w:jc w:val="both"/>
        <w:rPr>
          <w:rFonts w:ascii="Arial" w:eastAsia="Arial" w:hAnsi="Arial" w:cs="Arial"/>
          <w:sz w:val="20"/>
          <w:szCs w:val="20"/>
        </w:rPr>
      </w:pPr>
    </w:p>
    <w:p w:rsidR="00CA026E" w:rsidRPr="003C492A" w:rsidRDefault="00CA026E" w:rsidP="00CA026E">
      <w:pPr>
        <w:spacing w:line="240" w:lineRule="auto"/>
        <w:ind w:left="-708"/>
        <w:jc w:val="center"/>
        <w:rPr>
          <w:rFonts w:ascii="Times New Roman" w:eastAsia="Times New Roman" w:hAnsi="Times New Roman" w:cs="Times New Roman"/>
          <w:sz w:val="24"/>
          <w:szCs w:val="24"/>
        </w:rPr>
      </w:pPr>
      <w:r w:rsidRPr="003C492A">
        <w:rPr>
          <w:rFonts w:ascii="Times New Roman" w:eastAsia="Times New Roman" w:hAnsi="Times New Roman" w:cs="Times New Roman"/>
          <w:b/>
          <w:noProof/>
          <w:lang w:val="de-DE" w:eastAsia="de-DE"/>
        </w:rPr>
        <w:drawing>
          <wp:inline distT="114300" distB="114300" distL="114300" distR="114300" wp14:anchorId="6172CF05" wp14:editId="0C7CCBE9">
            <wp:extent cx="5760410" cy="37084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760410" cy="3708400"/>
                    </a:xfrm>
                    <a:prstGeom prst="rect">
                      <a:avLst/>
                    </a:prstGeom>
                    <a:ln/>
                  </pic:spPr>
                </pic:pic>
              </a:graphicData>
            </a:graphic>
          </wp:inline>
        </w:drawing>
      </w:r>
    </w:p>
    <w:p w:rsidR="00CA026E" w:rsidRPr="003C492A" w:rsidRDefault="00CA026E" w:rsidP="00CA026E">
      <w:pPr>
        <w:spacing w:line="360" w:lineRule="auto"/>
        <w:jc w:val="both"/>
        <w:rPr>
          <w:rFonts w:ascii="Arial" w:eastAsia="Arial" w:hAnsi="Arial" w:cs="Arial"/>
          <w:b/>
        </w:rPr>
      </w:pPr>
      <w:r w:rsidRPr="003C492A">
        <w:rPr>
          <w:rFonts w:ascii="Arial" w:eastAsia="Arial" w:hAnsi="Arial" w:cs="Arial"/>
          <w:b/>
          <w:i/>
        </w:rPr>
        <w:t>Suppl. Fig. 6</w:t>
      </w:r>
      <w:r w:rsidRPr="003C492A">
        <w:rPr>
          <w:rFonts w:ascii="Arial" w:eastAsia="Arial" w:hAnsi="Arial" w:cs="Arial"/>
          <w:b/>
        </w:rPr>
        <w:t xml:space="preserve"> SARS-CoV-2 Particle Release and Infectivity Remains Intact Upon Addition of Exogenous 90K or 90K-D2 </w:t>
      </w:r>
    </w:p>
    <w:p w:rsidR="00CA026E" w:rsidRPr="003C492A" w:rsidRDefault="00CA026E" w:rsidP="00CA026E">
      <w:pPr>
        <w:spacing w:line="360" w:lineRule="auto"/>
        <w:jc w:val="both"/>
        <w:rPr>
          <w:rFonts w:ascii="Arial" w:eastAsia="Arial" w:hAnsi="Arial" w:cs="Arial"/>
        </w:rPr>
      </w:pPr>
      <w:r w:rsidRPr="003C492A">
        <w:rPr>
          <w:rFonts w:ascii="Arial" w:eastAsia="Arial" w:hAnsi="Arial" w:cs="Arial"/>
        </w:rPr>
        <w:t xml:space="preserve">Calu-3 (upper graphs) and Caco-2 (lower graphs) cells or virus stocks were treated with indicated concentrations of purified, full-length 90K and 90K(D2) or left untreated at 37°C for two hours prior to infection. 24 hours post-infection, supernatant was harvested for </w:t>
      </w:r>
      <w:r w:rsidRPr="003C492A">
        <w:rPr>
          <w:rFonts w:ascii="Arial" w:eastAsia="Arial" w:hAnsi="Arial" w:cs="Arial"/>
        </w:rPr>
        <w:lastRenderedPageBreak/>
        <w:t>quantification of SARS-CoV-2 genome equivalents/</w:t>
      </w:r>
      <w:proofErr w:type="spellStart"/>
      <w:r w:rsidRPr="003C492A">
        <w:rPr>
          <w:rFonts w:ascii="Arial" w:eastAsia="Arial" w:hAnsi="Arial" w:cs="Arial"/>
        </w:rPr>
        <w:t>ul</w:t>
      </w:r>
      <w:proofErr w:type="spellEnd"/>
      <w:r w:rsidRPr="003C492A">
        <w:rPr>
          <w:rFonts w:ascii="Arial" w:eastAsia="Arial" w:hAnsi="Arial" w:cs="Arial"/>
        </w:rPr>
        <w:t xml:space="preserve"> (A) and plaque assays PFU/ml (B) in Vero E6 cells. Data are shown normalized to mock. Particle infectivity was calculated by normalizing SARS-CoV-2 PFU to the genome equivalents/µl, also depicted normalized to mock (C). Results arise from three independent experiments.</w:t>
      </w:r>
    </w:p>
    <w:p w:rsidR="00CA026E" w:rsidRPr="003C492A" w:rsidRDefault="00CA026E" w:rsidP="00CA026E">
      <w:pPr>
        <w:spacing w:line="360" w:lineRule="auto"/>
        <w:jc w:val="both"/>
        <w:rPr>
          <w:rFonts w:ascii="Arial" w:eastAsia="Arial" w:hAnsi="Arial" w:cs="Arial"/>
        </w:rPr>
      </w:pPr>
    </w:p>
    <w:p w:rsidR="00CA026E" w:rsidRPr="003C492A" w:rsidRDefault="00CA026E" w:rsidP="00CA026E">
      <w:pPr>
        <w:widowControl w:val="0"/>
        <w:spacing w:after="0" w:line="276" w:lineRule="auto"/>
        <w:rPr>
          <w:rFonts w:ascii="Arial" w:eastAsia="Arial" w:hAnsi="Arial" w:cs="Arial"/>
        </w:rPr>
      </w:pPr>
      <w:r w:rsidRPr="003C492A">
        <w:rPr>
          <w:rFonts w:ascii="Arial" w:eastAsia="Arial" w:hAnsi="Arial" w:cs="Arial"/>
          <w:noProof/>
          <w:lang w:val="de-DE" w:eastAsia="de-DE"/>
        </w:rPr>
        <w:drawing>
          <wp:inline distT="114300" distB="114300" distL="114300" distR="114300" wp14:anchorId="2AA75BFF" wp14:editId="718121DF">
            <wp:extent cx="5760410" cy="25908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760410" cy="2590800"/>
                    </a:xfrm>
                    <a:prstGeom prst="rect">
                      <a:avLst/>
                    </a:prstGeom>
                    <a:ln/>
                  </pic:spPr>
                </pic:pic>
              </a:graphicData>
            </a:graphic>
          </wp:inline>
        </w:drawing>
      </w:r>
    </w:p>
    <w:p w:rsidR="00CA026E" w:rsidRPr="003C492A" w:rsidRDefault="00CA026E" w:rsidP="00CA026E">
      <w:pPr>
        <w:widowControl w:val="0"/>
        <w:spacing w:after="0" w:line="276" w:lineRule="auto"/>
        <w:rPr>
          <w:rFonts w:ascii="Arial" w:eastAsia="Arial" w:hAnsi="Arial" w:cs="Arial"/>
        </w:rPr>
      </w:pPr>
    </w:p>
    <w:p w:rsidR="00CA026E" w:rsidRPr="003C492A" w:rsidRDefault="00CA026E" w:rsidP="00CA026E">
      <w:pPr>
        <w:widowControl w:val="0"/>
        <w:spacing w:after="0" w:line="276" w:lineRule="auto"/>
        <w:rPr>
          <w:rFonts w:ascii="Arial" w:eastAsia="Arial" w:hAnsi="Arial" w:cs="Arial"/>
        </w:rPr>
      </w:pPr>
      <w:r w:rsidRPr="003C492A">
        <w:rPr>
          <w:rFonts w:ascii="Arial" w:eastAsia="Arial" w:hAnsi="Arial" w:cs="Arial"/>
          <w:noProof/>
          <w:lang w:val="de-DE" w:eastAsia="de-DE"/>
        </w:rPr>
        <w:drawing>
          <wp:inline distT="114300" distB="114300" distL="114300" distR="114300" wp14:anchorId="01FD58DC" wp14:editId="6F469250">
            <wp:extent cx="5760410" cy="373380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60410" cy="3733800"/>
                    </a:xfrm>
                    <a:prstGeom prst="rect">
                      <a:avLst/>
                    </a:prstGeom>
                    <a:ln/>
                  </pic:spPr>
                </pic:pic>
              </a:graphicData>
            </a:graphic>
          </wp:inline>
        </w:drawing>
      </w:r>
    </w:p>
    <w:p w:rsidR="00CA026E" w:rsidRPr="003C492A" w:rsidRDefault="00CA026E" w:rsidP="00CA026E">
      <w:pPr>
        <w:widowControl w:val="0"/>
        <w:spacing w:after="0" w:line="276" w:lineRule="auto"/>
        <w:rPr>
          <w:rFonts w:ascii="Arial" w:eastAsia="Arial" w:hAnsi="Arial" w:cs="Arial"/>
        </w:rPr>
      </w:pPr>
    </w:p>
    <w:p w:rsidR="00CA026E" w:rsidRPr="003C492A" w:rsidRDefault="00CA026E" w:rsidP="00CA026E">
      <w:pPr>
        <w:widowControl w:val="0"/>
        <w:spacing w:after="0" w:line="276" w:lineRule="auto"/>
        <w:rPr>
          <w:rFonts w:ascii="Arial" w:eastAsia="Arial" w:hAnsi="Arial" w:cs="Arial"/>
          <w:b/>
        </w:rPr>
      </w:pPr>
      <w:r w:rsidRPr="003C492A">
        <w:rPr>
          <w:rFonts w:ascii="Arial" w:eastAsia="Arial" w:hAnsi="Arial" w:cs="Arial"/>
          <w:b/>
          <w:i/>
        </w:rPr>
        <w:t>Suppl. Fig. 7</w:t>
      </w:r>
      <w:r w:rsidRPr="003C492A">
        <w:rPr>
          <w:rFonts w:ascii="Arial" w:eastAsia="Arial" w:hAnsi="Arial" w:cs="Arial"/>
          <w:b/>
        </w:rPr>
        <w:t xml:space="preserve"> Statistical Analyses of </w:t>
      </w:r>
      <w:proofErr w:type="spellStart"/>
      <w:r w:rsidRPr="003C492A">
        <w:rPr>
          <w:rFonts w:ascii="Arial" w:eastAsia="Arial" w:hAnsi="Arial" w:cs="Arial"/>
          <w:b/>
        </w:rPr>
        <w:t>scRNA-seq</w:t>
      </w:r>
      <w:proofErr w:type="spellEnd"/>
      <w:r w:rsidRPr="003C492A">
        <w:rPr>
          <w:rFonts w:ascii="Arial" w:eastAsia="Arial" w:hAnsi="Arial" w:cs="Arial"/>
          <w:b/>
        </w:rPr>
        <w:t xml:space="preserve"> PBMC Datasets</w:t>
      </w:r>
    </w:p>
    <w:p w:rsidR="00CA026E" w:rsidRPr="003C492A" w:rsidRDefault="00CA026E" w:rsidP="00CA026E">
      <w:pPr>
        <w:widowControl w:val="0"/>
        <w:spacing w:after="0" w:line="276" w:lineRule="auto"/>
        <w:rPr>
          <w:rFonts w:ascii="Arial" w:eastAsia="Arial" w:hAnsi="Arial" w:cs="Arial"/>
          <w:b/>
        </w:rPr>
      </w:pPr>
    </w:p>
    <w:p w:rsidR="00CA026E" w:rsidRPr="003C492A" w:rsidRDefault="00CA026E" w:rsidP="00CA026E">
      <w:pPr>
        <w:spacing w:line="480" w:lineRule="auto"/>
        <w:jc w:val="both"/>
        <w:rPr>
          <w:rFonts w:ascii="Arial" w:eastAsia="Arial" w:hAnsi="Arial" w:cs="Arial"/>
        </w:rPr>
      </w:pPr>
      <w:r w:rsidRPr="003C492A">
        <w:rPr>
          <w:rFonts w:ascii="Arial" w:eastAsia="Arial" w:hAnsi="Arial" w:cs="Arial"/>
        </w:rPr>
        <w:lastRenderedPageBreak/>
        <w:t xml:space="preserve">Forest plots of </w:t>
      </w:r>
      <w:proofErr w:type="spellStart"/>
      <w:r w:rsidRPr="003C492A">
        <w:rPr>
          <w:rFonts w:ascii="Arial" w:eastAsia="Arial" w:hAnsi="Arial" w:cs="Arial"/>
        </w:rPr>
        <w:t>analyzed</w:t>
      </w:r>
      <w:proofErr w:type="spellEnd"/>
      <w:r w:rsidRPr="003C492A">
        <w:rPr>
          <w:rFonts w:ascii="Arial" w:eastAsia="Arial" w:hAnsi="Arial" w:cs="Arial"/>
        </w:rPr>
        <w:t xml:space="preserve"> </w:t>
      </w:r>
      <w:proofErr w:type="spellStart"/>
      <w:r w:rsidRPr="003C492A">
        <w:rPr>
          <w:rFonts w:ascii="Arial" w:eastAsia="Arial" w:hAnsi="Arial" w:cs="Arial"/>
        </w:rPr>
        <w:t>scRNA-seq</w:t>
      </w:r>
      <w:proofErr w:type="spellEnd"/>
      <w:r w:rsidRPr="003C492A">
        <w:rPr>
          <w:rFonts w:ascii="Arial" w:eastAsia="Arial" w:hAnsi="Arial" w:cs="Arial"/>
        </w:rPr>
        <w:t xml:space="preserve"> PBMC datasets from cohort A (A) and cohort B (B). Whiskers indicate 95% CI, derived from mixed linear regression models for two (cases vs. controls, impact of days post symptom onset) and three groups (mild cases vs. controls, severe cases vs. controls, impact of days post symptom onset).</w:t>
      </w:r>
    </w:p>
    <w:p w:rsidR="00CA026E" w:rsidRPr="003C492A" w:rsidRDefault="00CA026E" w:rsidP="00CA026E">
      <w:pPr>
        <w:spacing w:line="480" w:lineRule="auto"/>
        <w:jc w:val="both"/>
        <w:rPr>
          <w:rFonts w:ascii="Arial" w:eastAsia="Arial" w:hAnsi="Arial" w:cs="Arial"/>
        </w:rPr>
      </w:pPr>
      <w:r w:rsidRPr="003C492A">
        <w:rPr>
          <w:noProof/>
          <w:lang w:val="de-DE" w:eastAsia="de-DE"/>
        </w:rPr>
        <w:drawing>
          <wp:inline distT="0" distB="0" distL="0" distR="0" wp14:anchorId="0167EF38" wp14:editId="0B50EDF8">
            <wp:extent cx="5760720" cy="61937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193790"/>
                    </a:xfrm>
                    <a:prstGeom prst="rect">
                      <a:avLst/>
                    </a:prstGeom>
                  </pic:spPr>
                </pic:pic>
              </a:graphicData>
            </a:graphic>
          </wp:inline>
        </w:drawing>
      </w:r>
    </w:p>
    <w:p w:rsidR="00CA026E" w:rsidRPr="003C492A" w:rsidRDefault="00CA026E" w:rsidP="00CA026E">
      <w:pPr>
        <w:spacing w:line="480" w:lineRule="auto"/>
        <w:jc w:val="both"/>
        <w:rPr>
          <w:rFonts w:ascii="Arial" w:eastAsia="Arial" w:hAnsi="Arial" w:cs="Arial"/>
          <w:b/>
        </w:rPr>
      </w:pPr>
      <w:r w:rsidRPr="003C492A">
        <w:rPr>
          <w:rFonts w:ascii="Arial" w:eastAsia="Arial" w:hAnsi="Arial" w:cs="Arial"/>
          <w:b/>
          <w:i/>
        </w:rPr>
        <w:t xml:space="preserve">Suppl. Fig. 8 </w:t>
      </w:r>
      <w:r w:rsidRPr="003C492A">
        <w:rPr>
          <w:rFonts w:ascii="Arial" w:eastAsia="Arial" w:hAnsi="Arial" w:cs="Arial"/>
          <w:b/>
        </w:rPr>
        <w:t xml:space="preserve">SARS-CoV-2 Infection Rates in Used Cell Lines </w:t>
      </w:r>
    </w:p>
    <w:p w:rsidR="00CA026E" w:rsidRPr="003C492A" w:rsidRDefault="00CA026E" w:rsidP="00CA026E">
      <w:pPr>
        <w:widowControl w:val="0"/>
        <w:spacing w:after="0" w:line="480" w:lineRule="auto"/>
        <w:jc w:val="both"/>
        <w:rPr>
          <w:rFonts w:ascii="Arial" w:eastAsia="Arial" w:hAnsi="Arial" w:cs="Arial"/>
        </w:rPr>
      </w:pPr>
      <w:r w:rsidRPr="003C492A">
        <w:rPr>
          <w:rFonts w:ascii="Arial" w:eastAsia="Arial" w:hAnsi="Arial" w:cs="Arial"/>
        </w:rPr>
        <w:t xml:space="preserve">(A) SARS-CoV-2 intracellular </w:t>
      </w:r>
      <w:proofErr w:type="spellStart"/>
      <w:r w:rsidRPr="003C492A">
        <w:rPr>
          <w:rFonts w:ascii="Arial" w:eastAsia="Arial" w:hAnsi="Arial" w:cs="Arial"/>
        </w:rPr>
        <w:t>nucleocapsid</w:t>
      </w:r>
      <w:proofErr w:type="spellEnd"/>
      <w:r w:rsidRPr="003C492A">
        <w:rPr>
          <w:rFonts w:ascii="Arial" w:eastAsia="Arial" w:hAnsi="Arial" w:cs="Arial"/>
        </w:rPr>
        <w:t xml:space="preserve"> stain in Calu-3 cells. Cells were infected at MOI 0.01 and harvested 48 hours post infection for flow cytometry. Cells were stained for </w:t>
      </w:r>
      <w:proofErr w:type="spellStart"/>
      <w:r w:rsidRPr="003C492A">
        <w:rPr>
          <w:rFonts w:ascii="Arial" w:eastAsia="Arial" w:hAnsi="Arial" w:cs="Arial"/>
        </w:rPr>
        <w:lastRenderedPageBreak/>
        <w:t>Nucleocapsid</w:t>
      </w:r>
      <w:proofErr w:type="spellEnd"/>
      <w:r w:rsidRPr="003C492A">
        <w:rPr>
          <w:rFonts w:ascii="Arial" w:eastAsia="Arial" w:hAnsi="Arial" w:cs="Arial"/>
        </w:rPr>
        <w:t xml:space="preserve"> followed by detection with a secondary antibody conjugated to Alexa Fluor 488. </w:t>
      </w:r>
    </w:p>
    <w:p w:rsidR="00CA026E" w:rsidRPr="003C492A" w:rsidRDefault="00CA026E" w:rsidP="00CA026E">
      <w:pPr>
        <w:widowControl w:val="0"/>
        <w:spacing w:after="0" w:line="480" w:lineRule="auto"/>
        <w:jc w:val="both"/>
        <w:rPr>
          <w:rFonts w:ascii="Arial" w:eastAsia="Arial" w:hAnsi="Arial" w:cs="Arial"/>
        </w:rPr>
      </w:pPr>
      <w:bookmarkStart w:id="3" w:name="_94esmwj84e6c" w:colFirst="0" w:colLast="0"/>
      <w:bookmarkEnd w:id="3"/>
      <w:r w:rsidRPr="003C492A">
        <w:rPr>
          <w:rFonts w:ascii="Arial" w:eastAsia="Arial" w:hAnsi="Arial" w:cs="Arial"/>
        </w:rPr>
        <w:t xml:space="preserve">(B) SARS-CoV-2 intracellular </w:t>
      </w:r>
      <w:proofErr w:type="spellStart"/>
      <w:r w:rsidRPr="003C492A">
        <w:rPr>
          <w:rFonts w:ascii="Arial" w:eastAsia="Arial" w:hAnsi="Arial" w:cs="Arial"/>
        </w:rPr>
        <w:t>nucleocapsid</w:t>
      </w:r>
      <w:proofErr w:type="spellEnd"/>
      <w:r w:rsidRPr="003C492A">
        <w:rPr>
          <w:rFonts w:ascii="Arial" w:eastAsia="Arial" w:hAnsi="Arial" w:cs="Arial"/>
        </w:rPr>
        <w:t xml:space="preserve"> stain in Caco-2 cells transduced with empty vector (pcDNA6) or 90K (pcDNA6.90K). Cells were infected at MOI 0.01 and harvested 24 hours post infection for flow cytometry. Cells were first stained for intracellular </w:t>
      </w:r>
      <w:proofErr w:type="spellStart"/>
      <w:r w:rsidRPr="003C492A">
        <w:rPr>
          <w:rFonts w:ascii="Arial" w:eastAsia="Arial" w:hAnsi="Arial" w:cs="Arial"/>
        </w:rPr>
        <w:t>nucleocapsid</w:t>
      </w:r>
      <w:proofErr w:type="spellEnd"/>
      <w:r w:rsidRPr="003C492A">
        <w:rPr>
          <w:rFonts w:ascii="Arial" w:eastAsia="Arial" w:hAnsi="Arial" w:cs="Arial"/>
        </w:rPr>
        <w:t xml:space="preserve"> and detected with a secondary antibody conjugated to Alexa Fluor 477. </w:t>
      </w:r>
      <w:proofErr w:type="spellStart"/>
      <w:r w:rsidRPr="003C492A">
        <w:rPr>
          <w:rFonts w:ascii="Arial" w:eastAsia="Arial" w:hAnsi="Arial" w:cs="Arial"/>
        </w:rPr>
        <w:t>Remdesivir</w:t>
      </w:r>
      <w:proofErr w:type="spellEnd"/>
      <w:r w:rsidRPr="003C492A">
        <w:rPr>
          <w:rFonts w:ascii="Arial" w:eastAsia="Arial" w:hAnsi="Arial" w:cs="Arial"/>
        </w:rPr>
        <w:t xml:space="preserve"> treatment (20uM) was used for inhibition of infection as negative control. </w:t>
      </w:r>
    </w:p>
    <w:p w:rsidR="00CA026E" w:rsidRPr="003C492A" w:rsidRDefault="00CA026E" w:rsidP="00CA026E">
      <w:pPr>
        <w:widowControl w:val="0"/>
        <w:spacing w:after="0" w:line="480" w:lineRule="auto"/>
        <w:rPr>
          <w:rFonts w:ascii="Arial" w:eastAsia="Arial" w:hAnsi="Arial" w:cs="Arial"/>
        </w:rPr>
      </w:pPr>
      <w:bookmarkStart w:id="4" w:name="_xxksamoixca8" w:colFirst="0" w:colLast="0"/>
      <w:bookmarkEnd w:id="4"/>
    </w:p>
    <w:p w:rsidR="00CA026E" w:rsidRPr="003C492A" w:rsidRDefault="00CA026E" w:rsidP="00CA026E">
      <w:pPr>
        <w:widowControl w:val="0"/>
        <w:spacing w:after="0" w:line="276" w:lineRule="auto"/>
        <w:rPr>
          <w:rFonts w:ascii="Arial" w:eastAsia="Arial" w:hAnsi="Arial" w:cs="Arial"/>
        </w:rPr>
      </w:pPr>
      <w:bookmarkStart w:id="5" w:name="_xwuregtgituk" w:colFirst="0" w:colLast="0"/>
      <w:bookmarkEnd w:id="5"/>
    </w:p>
    <w:p w:rsidR="00CA026E" w:rsidRPr="003C492A" w:rsidRDefault="00CA026E" w:rsidP="00CA026E">
      <w:pPr>
        <w:widowControl w:val="0"/>
        <w:spacing w:after="0" w:line="276" w:lineRule="auto"/>
        <w:rPr>
          <w:rFonts w:ascii="Arial" w:eastAsia="Arial" w:hAnsi="Arial" w:cs="Arial"/>
        </w:rPr>
      </w:pPr>
      <w:bookmarkStart w:id="6" w:name="_42idnx9rdwfr" w:colFirst="0" w:colLast="0"/>
      <w:bookmarkEnd w:id="6"/>
      <w:r w:rsidRPr="003C492A">
        <w:rPr>
          <w:rFonts w:ascii="Arial" w:eastAsia="Arial" w:hAnsi="Arial" w:cs="Arial"/>
          <w:noProof/>
          <w:lang w:val="de-DE" w:eastAsia="de-DE"/>
        </w:rPr>
        <w:lastRenderedPageBreak/>
        <w:drawing>
          <wp:inline distT="114300" distB="114300" distL="114300" distR="114300" wp14:anchorId="3AC60688" wp14:editId="59F560AA">
            <wp:extent cx="5648325" cy="785812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5648325" cy="7858125"/>
                    </a:xfrm>
                    <a:prstGeom prst="rect">
                      <a:avLst/>
                    </a:prstGeom>
                    <a:ln/>
                  </pic:spPr>
                </pic:pic>
              </a:graphicData>
            </a:graphic>
          </wp:inline>
        </w:drawing>
      </w:r>
    </w:p>
    <w:p w:rsidR="00CA026E" w:rsidRPr="003C492A" w:rsidRDefault="00CA026E" w:rsidP="00CA026E">
      <w:pPr>
        <w:widowControl w:val="0"/>
        <w:spacing w:after="0" w:line="480" w:lineRule="auto"/>
        <w:rPr>
          <w:rFonts w:ascii="Arial" w:eastAsia="Arial" w:hAnsi="Arial" w:cs="Arial"/>
          <w:b/>
        </w:rPr>
      </w:pPr>
      <w:bookmarkStart w:id="7" w:name="_cqtiebglmw7w" w:colFirst="0" w:colLast="0"/>
      <w:bookmarkEnd w:id="7"/>
      <w:r w:rsidRPr="003C492A">
        <w:rPr>
          <w:rFonts w:ascii="Arial" w:eastAsia="Arial" w:hAnsi="Arial" w:cs="Arial"/>
          <w:b/>
          <w:i/>
        </w:rPr>
        <w:t xml:space="preserve">Suppl. Fig. </w:t>
      </w:r>
      <w:proofErr w:type="gramStart"/>
      <w:r w:rsidRPr="003C492A">
        <w:rPr>
          <w:rFonts w:ascii="Arial" w:eastAsia="Arial" w:hAnsi="Arial" w:cs="Arial"/>
          <w:b/>
          <w:i/>
        </w:rPr>
        <w:t>9</w:t>
      </w:r>
      <w:proofErr w:type="gramEnd"/>
      <w:r w:rsidRPr="003C492A">
        <w:rPr>
          <w:rFonts w:ascii="Arial" w:eastAsia="Arial" w:hAnsi="Arial" w:cs="Arial"/>
          <w:b/>
          <w:i/>
        </w:rPr>
        <w:t xml:space="preserve"> </w:t>
      </w:r>
      <w:r w:rsidRPr="003C492A">
        <w:rPr>
          <w:rFonts w:ascii="Arial" w:eastAsia="Arial" w:hAnsi="Arial" w:cs="Arial"/>
          <w:b/>
        </w:rPr>
        <w:t>Raw Data From Immunoblots Related to Figure 6</w:t>
      </w:r>
    </w:p>
    <w:p w:rsidR="00CA026E" w:rsidRPr="003C492A" w:rsidRDefault="00CA026E" w:rsidP="00CA026E">
      <w:pPr>
        <w:widowControl w:val="0"/>
        <w:spacing w:after="0" w:line="480" w:lineRule="auto"/>
        <w:rPr>
          <w:rFonts w:ascii="Arial" w:eastAsia="Arial" w:hAnsi="Arial" w:cs="Arial"/>
        </w:rPr>
      </w:pPr>
      <w:bookmarkStart w:id="8" w:name="_9tc7gkm8cbr4" w:colFirst="0" w:colLast="0"/>
      <w:bookmarkEnd w:id="8"/>
      <w:r w:rsidRPr="003C492A">
        <w:rPr>
          <w:rFonts w:ascii="Arial" w:eastAsia="Arial" w:hAnsi="Arial" w:cs="Arial"/>
        </w:rPr>
        <w:t>(A) Raw immunoblot membrane visualization data related to Figure 6A</w:t>
      </w:r>
    </w:p>
    <w:p w:rsidR="00CA026E" w:rsidRPr="003C492A" w:rsidRDefault="00CA026E" w:rsidP="00CA026E">
      <w:pPr>
        <w:widowControl w:val="0"/>
        <w:spacing w:after="0" w:line="480" w:lineRule="auto"/>
        <w:rPr>
          <w:rFonts w:ascii="Arial" w:eastAsia="Arial" w:hAnsi="Arial" w:cs="Arial"/>
        </w:rPr>
      </w:pPr>
      <w:bookmarkStart w:id="9" w:name="_jcbhccqei6ph" w:colFirst="0" w:colLast="0"/>
      <w:bookmarkEnd w:id="9"/>
      <w:r w:rsidRPr="003C492A">
        <w:rPr>
          <w:rFonts w:ascii="Arial" w:eastAsia="Arial" w:hAnsi="Arial" w:cs="Arial"/>
        </w:rPr>
        <w:t>(B) Raw immunoblot membrane visualization data related to Figure 6B</w:t>
      </w:r>
    </w:p>
    <w:p w:rsidR="00CA026E" w:rsidRPr="003C492A" w:rsidRDefault="00CA026E" w:rsidP="00CA026E">
      <w:pPr>
        <w:widowControl w:val="0"/>
        <w:spacing w:after="0" w:line="480" w:lineRule="auto"/>
        <w:rPr>
          <w:rFonts w:ascii="Arial" w:eastAsia="Arial" w:hAnsi="Arial" w:cs="Arial"/>
        </w:rPr>
      </w:pPr>
    </w:p>
    <w:tbl>
      <w:tblPr>
        <w:tblW w:w="0" w:type="auto"/>
        <w:tblCellMar>
          <w:top w:w="15" w:type="dxa"/>
          <w:left w:w="15" w:type="dxa"/>
          <w:bottom w:w="15" w:type="dxa"/>
          <w:right w:w="15" w:type="dxa"/>
        </w:tblCellMar>
        <w:tblLook w:val="04A0" w:firstRow="1" w:lastRow="0" w:firstColumn="1" w:lastColumn="0" w:noHBand="0" w:noVBand="1"/>
      </w:tblPr>
      <w:tblGrid>
        <w:gridCol w:w="826"/>
        <w:gridCol w:w="859"/>
        <w:gridCol w:w="811"/>
        <w:gridCol w:w="871"/>
        <w:gridCol w:w="860"/>
        <w:gridCol w:w="1206"/>
        <w:gridCol w:w="754"/>
        <w:gridCol w:w="537"/>
        <w:gridCol w:w="567"/>
        <w:gridCol w:w="1725"/>
      </w:tblGrid>
      <w:tr w:rsidR="00CA026E" w:rsidRPr="003C492A" w:rsidTr="000D0CBA">
        <w:trPr>
          <w:trHeight w:val="1280"/>
        </w:trPr>
        <w:tc>
          <w:tcPr>
            <w:tcW w:w="0" w:type="auto"/>
            <w:tcBorders>
              <w:top w:val="single" w:sz="4" w:space="0" w:color="000000"/>
              <w:left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Patient N°</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 xml:space="preserve"> Sample</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90K Serum ELISA</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90K Serum Level from ELISA in µg/ml</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Arial" w:eastAsia="Times New Roman" w:hAnsi="Arial" w:cs="Arial"/>
                <w:b/>
                <w:bCs/>
                <w:color w:val="000000"/>
                <w:sz w:val="18"/>
                <w:szCs w:val="18"/>
              </w:rPr>
            </w:pPr>
            <w:r w:rsidRPr="003C492A">
              <w:rPr>
                <w:rFonts w:ascii="Arial" w:eastAsia="Times New Roman" w:hAnsi="Arial" w:cs="Arial"/>
                <w:b/>
                <w:bCs/>
                <w:color w:val="000000"/>
                <w:sz w:val="18"/>
                <w:szCs w:val="18"/>
              </w:rPr>
              <w:t xml:space="preserve">90K PBMC ELISA  Levels in µg/ml </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i/>
                <w:iCs/>
                <w:color w:val="000000"/>
                <w:sz w:val="18"/>
                <w:szCs w:val="18"/>
                <w:lang w:val="de-DE"/>
              </w:rPr>
              <w:t xml:space="preserve">LGALS3BP </w:t>
            </w:r>
            <w:r w:rsidRPr="003C492A">
              <w:rPr>
                <w:rFonts w:ascii="Arial" w:eastAsia="Times New Roman" w:hAnsi="Arial" w:cs="Arial"/>
                <w:b/>
                <w:bCs/>
                <w:color w:val="000000"/>
                <w:sz w:val="18"/>
                <w:szCs w:val="18"/>
                <w:lang w:val="de-DE"/>
              </w:rPr>
              <w:t>qRT PCR</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WHO Grade</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Sex</w:t>
            </w:r>
          </w:p>
        </w:tc>
        <w:tc>
          <w:tcPr>
            <w:tcW w:w="0" w:type="auto"/>
            <w:tcBorders>
              <w:top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Age (y)</w:t>
            </w:r>
          </w:p>
        </w:tc>
        <w:tc>
          <w:tcPr>
            <w:tcW w:w="0" w:type="auto"/>
            <w:tcBorders>
              <w:top w:val="single" w:sz="4" w:space="0" w:color="000000"/>
              <w:right w:val="single" w:sz="4" w:space="0" w:color="000000"/>
            </w:tcBorders>
            <w:shd w:val="clear" w:color="auto" w:fill="CFE2F3"/>
            <w:tcMar>
              <w:top w:w="0" w:type="dxa"/>
              <w:left w:w="108" w:type="dxa"/>
              <w:bottom w:w="0" w:type="dxa"/>
              <w:right w:w="108" w:type="dxa"/>
            </w:tcMar>
            <w:vAlign w:val="cente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sz w:val="18"/>
                <w:szCs w:val="18"/>
                <w:lang w:val="de-DE"/>
              </w:rPr>
              <w:t>Days post Symptom Onset</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10.80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8.60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11.96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11.65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11.15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7.18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G</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9.13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H</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9.22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I</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7.60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J</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17.82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K</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25.63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L</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6.68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5.61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N</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6.21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O</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6.09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13.51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11.23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10.92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10.26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8.56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22.38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23.09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20.90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17.31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5.65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19.03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G</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14.40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H</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12.31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28.85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23.85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33.28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18.08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15.23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14.70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16.71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9.00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11.16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6.13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16.41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26.26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17.44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14.09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19.33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23.75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27.77</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54.76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14.47</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19.46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22.89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16.51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38.00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19.31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20.01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42.36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26.38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17.77</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41.86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39.34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22.66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25.86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12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54.15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19.90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61</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16.38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15.77</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15.35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18.59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23.03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32.68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21.88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17.45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9.83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20.58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22.04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17.20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49.96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asymptomatic</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17.63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asymptomatic</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18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21.14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asymptomatic</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9.03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8.68</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27.11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56</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50.44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56</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12.50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27.91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25.39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53</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11.31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21.59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8.34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13.34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31.99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0.74</w:t>
            </w: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69</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48.14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27.93</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30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30.66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F</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27.23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21.44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36</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18.71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30.82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15.82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0.19</w:t>
            </w: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8.58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15.57</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39</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D</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11.11</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E</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12.66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0.63</w:t>
            </w: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59.64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73.81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0.31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W</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42.68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0.27</w:t>
            </w: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28.74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0.84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18.19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lastRenderedPageBreak/>
              <w:t>36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20.95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0.4</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23.99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11.67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0.25</w:t>
            </w: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C</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10.05</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48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57</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20.39</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24.68</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39</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11.46</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28</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13.36</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0.23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48</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50.90</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13</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41</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38.52</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54</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20</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37.60</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0.15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27</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B</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100" w:type="dxa"/>
              <w:left w:w="100" w:type="dxa"/>
              <w:bottom w:w="100" w:type="dxa"/>
              <w:right w:w="100"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17.83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0.34</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M</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75</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34</w:t>
            </w:r>
          </w:p>
        </w:tc>
      </w:tr>
      <w:tr w:rsidR="00CA026E" w:rsidRPr="003C492A" w:rsidTr="000D0CBA">
        <w:trPr>
          <w:trHeight w:val="665"/>
        </w:trPr>
        <w:tc>
          <w:tcPr>
            <w:tcW w:w="0" w:type="auto"/>
            <w:tcBorders>
              <w:lef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43</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X</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W</w:t>
            </w:r>
          </w:p>
        </w:tc>
        <w:tc>
          <w:tcPr>
            <w:tcW w:w="0" w:type="auto"/>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42</w:t>
            </w:r>
          </w:p>
        </w:tc>
        <w:tc>
          <w:tcPr>
            <w:tcW w:w="0" w:type="auto"/>
            <w:tcBorders>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16</w:t>
            </w:r>
          </w:p>
        </w:tc>
      </w:tr>
      <w:tr w:rsidR="00CA026E" w:rsidRPr="003C492A" w:rsidTr="000D0CBA">
        <w:trPr>
          <w:trHeight w:val="665"/>
        </w:trPr>
        <w:tc>
          <w:tcPr>
            <w:tcW w:w="0" w:type="auto"/>
            <w:tcBorders>
              <w:left w:val="single" w:sz="4" w:space="0" w:color="000000"/>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44</w:t>
            </w: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A</w:t>
            </w: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0.75</w:t>
            </w: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after="0" w:line="240" w:lineRule="auto"/>
              <w:rPr>
                <w:rFonts w:ascii="Times New Roman" w:eastAsia="Times New Roman" w:hAnsi="Times New Roman" w:cs="Times New Roman"/>
                <w:sz w:val="24"/>
                <w:szCs w:val="24"/>
                <w:lang w:val="de-DE"/>
              </w:rPr>
            </w:pP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5</w:t>
            </w: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W</w:t>
            </w:r>
          </w:p>
        </w:tc>
        <w:tc>
          <w:tcPr>
            <w:tcW w:w="0" w:type="auto"/>
            <w:tcBorders>
              <w:bottom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80</w:t>
            </w:r>
          </w:p>
        </w:tc>
        <w:tc>
          <w:tcPr>
            <w:tcW w:w="0" w:type="auto"/>
            <w:tcBorders>
              <w:bottom w:val="single" w:sz="4" w:space="0" w:color="000000"/>
              <w:right w:val="single" w:sz="4" w:space="0" w:color="000000"/>
            </w:tcBorders>
            <w:tcMar>
              <w:top w:w="0" w:type="dxa"/>
              <w:left w:w="108" w:type="dxa"/>
              <w:bottom w:w="0" w:type="dxa"/>
              <w:right w:w="108" w:type="dxa"/>
            </w:tcMar>
            <w:hideMark/>
          </w:tcPr>
          <w:p w:rsidR="00CA026E" w:rsidRPr="003C492A" w:rsidRDefault="00CA026E" w:rsidP="000D0CBA">
            <w:pPr>
              <w:spacing w:before="240" w:after="0" w:line="240" w:lineRule="auto"/>
              <w:jc w:val="center"/>
              <w:rPr>
                <w:rFonts w:ascii="Times New Roman" w:eastAsia="Times New Roman" w:hAnsi="Times New Roman" w:cs="Times New Roman"/>
                <w:sz w:val="24"/>
                <w:szCs w:val="24"/>
                <w:lang w:val="de-DE"/>
              </w:rPr>
            </w:pPr>
            <w:r w:rsidRPr="003C492A">
              <w:rPr>
                <w:rFonts w:ascii="Arial" w:eastAsia="Times New Roman" w:hAnsi="Arial" w:cs="Arial"/>
                <w:b/>
                <w:bCs/>
                <w:color w:val="000000"/>
                <w:lang w:val="de-DE"/>
              </w:rPr>
              <w:t>10</w:t>
            </w:r>
          </w:p>
        </w:tc>
      </w:tr>
    </w:tbl>
    <w:p w:rsidR="00CA026E" w:rsidRPr="003C492A" w:rsidRDefault="00CA026E" w:rsidP="00CA026E">
      <w:pPr>
        <w:widowControl w:val="0"/>
        <w:spacing w:after="0" w:line="480" w:lineRule="auto"/>
        <w:rPr>
          <w:rFonts w:ascii="Arial" w:eastAsia="Arial" w:hAnsi="Arial" w:cs="Arial"/>
        </w:rPr>
      </w:pPr>
    </w:p>
    <w:p w:rsidR="00CA026E" w:rsidRPr="003C492A" w:rsidRDefault="00CA026E" w:rsidP="00CA026E">
      <w:pPr>
        <w:spacing w:line="480" w:lineRule="auto"/>
        <w:jc w:val="both"/>
        <w:rPr>
          <w:rFonts w:ascii="Arial" w:eastAsia="Arial" w:hAnsi="Arial" w:cs="Arial"/>
          <w:b/>
        </w:rPr>
      </w:pPr>
      <w:bookmarkStart w:id="10" w:name="_y4csgtixvwba" w:colFirst="0" w:colLast="0"/>
      <w:bookmarkStart w:id="11" w:name="_d9icfv1glko2" w:colFirst="0" w:colLast="0"/>
      <w:bookmarkStart w:id="12" w:name="_gjdgxs" w:colFirst="0" w:colLast="0"/>
      <w:bookmarkEnd w:id="10"/>
      <w:bookmarkEnd w:id="11"/>
      <w:bookmarkEnd w:id="12"/>
      <w:r w:rsidRPr="003C492A">
        <w:rPr>
          <w:rFonts w:ascii="Arial" w:eastAsia="Arial" w:hAnsi="Arial" w:cs="Arial"/>
          <w:b/>
          <w:i/>
        </w:rPr>
        <w:t>Suppl. Table 1</w:t>
      </w:r>
      <w:r w:rsidRPr="003C492A">
        <w:rPr>
          <w:rFonts w:ascii="Arial" w:eastAsia="Arial" w:hAnsi="Arial" w:cs="Arial"/>
          <w:b/>
        </w:rPr>
        <w:t xml:space="preserve"> Overview of Sampled Data in COVID-19 Cohort</w:t>
      </w:r>
    </w:p>
    <w:p w:rsidR="00CA026E" w:rsidRPr="003C492A" w:rsidRDefault="00CA026E" w:rsidP="00CA026E">
      <w:pPr>
        <w:spacing w:line="480" w:lineRule="auto"/>
        <w:jc w:val="both"/>
        <w:rPr>
          <w:rFonts w:ascii="Arial" w:eastAsia="Arial" w:hAnsi="Arial" w:cs="Arial"/>
        </w:rPr>
      </w:pPr>
      <w:bookmarkStart w:id="13" w:name="_en385cpd9ghq" w:colFirst="0" w:colLast="0"/>
      <w:bookmarkEnd w:id="13"/>
      <w:r w:rsidRPr="003C492A">
        <w:rPr>
          <w:rFonts w:ascii="Arial" w:eastAsia="Arial" w:hAnsi="Arial" w:cs="Arial"/>
        </w:rPr>
        <w:t xml:space="preserve">Each patient sample is attributed to sample type, disease severity, sex (M = male, F = female), age in years and days post symptom onset on sampling day. </w:t>
      </w:r>
    </w:p>
    <w:p w:rsidR="00CA026E" w:rsidRPr="003C492A" w:rsidRDefault="00CA026E" w:rsidP="00CA026E">
      <w:pPr>
        <w:widowControl w:val="0"/>
        <w:spacing w:after="0" w:line="276" w:lineRule="auto"/>
        <w:rPr>
          <w:rFonts w:ascii="Arial" w:eastAsia="Arial" w:hAnsi="Arial" w:cs="Arial"/>
        </w:rPr>
      </w:pPr>
      <w:bookmarkStart w:id="14" w:name="_30j0zll" w:colFirst="0" w:colLast="0"/>
      <w:bookmarkEnd w:id="14"/>
    </w:p>
    <w:tbl>
      <w:tblPr>
        <w:tblW w:w="0" w:type="auto"/>
        <w:tblBorders>
          <w:top w:val="single" w:sz="4" w:space="0" w:color="000000"/>
          <w:left w:val="single" w:sz="4" w:space="0" w:color="000000"/>
          <w:bottom w:val="single" w:sz="4" w:space="0" w:color="000000"/>
          <w:right w:val="single" w:sz="4" w:space="0" w:color="000000"/>
        </w:tblBorders>
        <w:tblLook w:val="0620" w:firstRow="1" w:lastRow="0" w:firstColumn="0" w:lastColumn="0" w:noHBand="1" w:noVBand="1"/>
      </w:tblPr>
      <w:tblGrid>
        <w:gridCol w:w="2662"/>
        <w:gridCol w:w="596"/>
        <w:gridCol w:w="1684"/>
        <w:gridCol w:w="2265"/>
      </w:tblGrid>
      <w:tr w:rsidR="00CA026E" w:rsidRPr="003C492A" w:rsidTr="000D0CBA">
        <w:trPr>
          <w:trHeight w:val="1745"/>
        </w:trPr>
        <w:tc>
          <w:tcPr>
            <w:tcW w:w="0" w:type="auto"/>
            <w:shd w:val="clear" w:color="auto" w:fill="CFE2F3"/>
            <w:vAlign w:val="center"/>
          </w:tcPr>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Matched healthy controls</w:t>
            </w:r>
          </w:p>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n=42 serum samples</w:t>
            </w:r>
          </w:p>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Age (y)</w:t>
            </w:r>
          </w:p>
        </w:tc>
        <w:tc>
          <w:tcPr>
            <w:tcW w:w="0" w:type="auto"/>
            <w:shd w:val="clear" w:color="auto" w:fill="CFE2F3"/>
            <w:vAlign w:val="center"/>
          </w:tcPr>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Sex</w:t>
            </w:r>
          </w:p>
        </w:tc>
        <w:tc>
          <w:tcPr>
            <w:tcW w:w="0" w:type="auto"/>
            <w:shd w:val="clear" w:color="auto" w:fill="CFE2F3"/>
            <w:vAlign w:val="center"/>
          </w:tcPr>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Age section (y)</w:t>
            </w:r>
          </w:p>
        </w:tc>
        <w:tc>
          <w:tcPr>
            <w:tcW w:w="0" w:type="auto"/>
            <w:shd w:val="clear" w:color="auto" w:fill="CFE2F3"/>
            <w:vAlign w:val="center"/>
          </w:tcPr>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COVID-19 Cohort</w:t>
            </w:r>
          </w:p>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n=42 serum samples</w:t>
            </w:r>
          </w:p>
          <w:p w:rsidR="00CA026E" w:rsidRPr="003C492A" w:rsidRDefault="00CA026E" w:rsidP="000D0CBA">
            <w:pPr>
              <w:spacing w:before="240" w:line="276" w:lineRule="auto"/>
              <w:jc w:val="center"/>
              <w:rPr>
                <w:rFonts w:ascii="Arial" w:eastAsia="Arial" w:hAnsi="Arial" w:cs="Arial"/>
                <w:color w:val="000000"/>
                <w:shd w:val="clear" w:color="auto" w:fill="CFE2F3"/>
              </w:rPr>
            </w:pPr>
            <w:r w:rsidRPr="003C492A">
              <w:rPr>
                <w:rFonts w:ascii="Arial" w:eastAsia="Arial" w:hAnsi="Arial" w:cs="Arial"/>
                <w:color w:val="000000"/>
                <w:shd w:val="clear" w:color="auto" w:fill="CFE2F3"/>
              </w:rPr>
              <w:t>Age  (y)</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31</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25-34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69</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75</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67</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67</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50</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50</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51</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69</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70</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37</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37</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22</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&lt; 25</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57</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56</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lastRenderedPageBreak/>
              <w:t>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53</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61</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67</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69</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69</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31</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25-34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53</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53</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&lt; 25</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20</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49</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88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53</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62</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62</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47</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47</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69</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78</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lastRenderedPageBreak/>
              <w:t>68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74</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63</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63</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70</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65 +</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75</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58</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57</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M</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45-54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53</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55-64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61</w:t>
            </w:r>
          </w:p>
        </w:tc>
      </w:tr>
      <w:tr w:rsidR="00CA026E" w:rsidRPr="003C492A" w:rsidTr="000D0CBA">
        <w:trPr>
          <w:trHeight w:val="725"/>
        </w:trPr>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42</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F</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35-44</w:t>
            </w:r>
          </w:p>
        </w:tc>
        <w:tc>
          <w:tcPr>
            <w:tcW w:w="0" w:type="auto"/>
            <w:vAlign w:val="center"/>
          </w:tcPr>
          <w:p w:rsidR="00CA026E" w:rsidRPr="003C492A" w:rsidRDefault="00CA026E" w:rsidP="000D0CBA">
            <w:pPr>
              <w:spacing w:before="240" w:line="276" w:lineRule="auto"/>
              <w:jc w:val="center"/>
              <w:rPr>
                <w:rFonts w:ascii="Arial" w:eastAsia="Arial" w:hAnsi="Arial" w:cs="Arial"/>
                <w:b/>
              </w:rPr>
            </w:pPr>
            <w:r w:rsidRPr="003C492A">
              <w:rPr>
                <w:rFonts w:ascii="Arial" w:eastAsia="Arial" w:hAnsi="Arial" w:cs="Arial"/>
                <w:b/>
              </w:rPr>
              <w:t>40</w:t>
            </w:r>
          </w:p>
        </w:tc>
      </w:tr>
    </w:tbl>
    <w:p w:rsidR="00CA026E" w:rsidRPr="003C492A" w:rsidRDefault="00CA026E" w:rsidP="00CA026E">
      <w:pPr>
        <w:spacing w:line="480" w:lineRule="auto"/>
        <w:ind w:left="708" w:firstLine="2"/>
        <w:jc w:val="center"/>
        <w:rPr>
          <w:rFonts w:ascii="Arial" w:eastAsia="Arial" w:hAnsi="Arial" w:cs="Arial"/>
        </w:rPr>
      </w:pPr>
    </w:p>
    <w:p w:rsidR="00CA026E" w:rsidRPr="003C492A" w:rsidRDefault="00CA026E" w:rsidP="00CA026E">
      <w:pPr>
        <w:spacing w:after="0" w:line="480" w:lineRule="auto"/>
        <w:jc w:val="both"/>
        <w:rPr>
          <w:rFonts w:ascii="Arial" w:eastAsia="Arial" w:hAnsi="Arial" w:cs="Arial"/>
          <w:b/>
        </w:rPr>
      </w:pPr>
      <w:r w:rsidRPr="003C492A">
        <w:rPr>
          <w:rFonts w:ascii="Arial" w:eastAsia="Arial" w:hAnsi="Arial" w:cs="Arial"/>
          <w:b/>
          <w:i/>
        </w:rPr>
        <w:t>Suppl. Table 2</w:t>
      </w:r>
      <w:r w:rsidRPr="003C492A">
        <w:rPr>
          <w:rFonts w:ascii="Arial" w:eastAsia="Arial" w:hAnsi="Arial" w:cs="Arial"/>
          <w:b/>
        </w:rPr>
        <w:t xml:space="preserve"> Age and Sex Match Between Healthy Controls and COVID-19 Patients </w:t>
      </w:r>
    </w:p>
    <w:p w:rsidR="00436101" w:rsidRPr="00CA026E" w:rsidRDefault="00CA026E" w:rsidP="00CA026E">
      <w:pPr>
        <w:spacing w:line="480" w:lineRule="auto"/>
        <w:jc w:val="both"/>
        <w:rPr>
          <w:rFonts w:ascii="Arial" w:eastAsia="Arial" w:hAnsi="Arial" w:cs="Arial"/>
        </w:rPr>
      </w:pPr>
      <w:r w:rsidRPr="003C492A">
        <w:rPr>
          <w:rFonts w:ascii="Arial" w:eastAsia="Arial" w:hAnsi="Arial" w:cs="Arial"/>
        </w:rPr>
        <w:t>Each patient is attributed to one healthy control, matched in age categories and sex (M = male, F = female).</w:t>
      </w:r>
    </w:p>
    <w:p w:rsidR="00006B28" w:rsidRDefault="00006B28">
      <w:pPr>
        <w:rPr>
          <w:rFonts w:ascii="Arial" w:hAnsi="Arial" w:cs="Arial"/>
          <w:b/>
          <w:sz w:val="24"/>
          <w:szCs w:val="24"/>
        </w:rPr>
      </w:pPr>
    </w:p>
    <w:p w:rsidR="00CA026E" w:rsidRPr="00942B0C" w:rsidRDefault="00006B28">
      <w:pPr>
        <w:rPr>
          <w:rFonts w:ascii="Arial" w:hAnsi="Arial" w:cs="Arial"/>
          <w:b/>
        </w:rPr>
      </w:pPr>
      <w:r w:rsidRPr="00942B0C">
        <w:rPr>
          <w:rFonts w:ascii="Arial" w:hAnsi="Arial" w:cs="Arial"/>
          <w:b/>
        </w:rPr>
        <w:t xml:space="preserve">Supplemental </w:t>
      </w:r>
      <w:r w:rsidR="000D0CBA" w:rsidRPr="00942B0C">
        <w:rPr>
          <w:rFonts w:ascii="Arial" w:hAnsi="Arial" w:cs="Arial"/>
          <w:b/>
        </w:rPr>
        <w:t xml:space="preserve">References </w:t>
      </w:r>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35">
        <w:r>
          <w:rPr>
            <w:rFonts w:ascii="Arial" w:eastAsia="Arial" w:hAnsi="Arial" w:cs="Arial"/>
            <w:color w:val="000000"/>
          </w:rPr>
          <w:t>50. Dobin A, Davis CA, Schlesinger F</w:t>
        </w:r>
      </w:hyperlink>
      <w:hyperlink r:id="rId36">
        <w:r>
          <w:rPr>
            <w:rFonts w:ascii="Arial" w:eastAsia="Arial" w:hAnsi="Arial" w:cs="Arial"/>
          </w:rPr>
          <w:t xml:space="preserve"> </w:t>
        </w:r>
      </w:hyperlink>
      <w:hyperlink r:id="rId37">
        <w:r>
          <w:rPr>
            <w:rFonts w:ascii="Arial" w:eastAsia="Arial" w:hAnsi="Arial" w:cs="Arial"/>
            <w:color w:val="000000"/>
          </w:rPr>
          <w:t xml:space="preserve">et al. STAR: ultrafast universal RNA-seq aligner. Bioinformatics [Internet]. 2013;29:15–21. Available from: </w:t>
        </w:r>
      </w:hyperlink>
      <w:hyperlink r:id="rId38">
        <w:r>
          <w:rPr>
            <w:rFonts w:ascii="Arial" w:eastAsia="Arial" w:hAnsi="Arial" w:cs="Arial"/>
            <w:color w:val="000000"/>
          </w:rPr>
          <w:t>http://dx.doi.org/10.1093/bioinformatics/bts635</w:t>
        </w:r>
      </w:hyperlink>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39">
        <w:r>
          <w:rPr>
            <w:rFonts w:ascii="Arial" w:eastAsia="Arial" w:hAnsi="Arial" w:cs="Arial"/>
            <w:color w:val="000000"/>
          </w:rPr>
          <w:t xml:space="preserve">51. Hao Y, Hao S, Andersen-Nissen E, et al. Integrated analysis of multimodal single-cell data. Cell [Internet]. 2021;184:3573–87.e29. Available from: </w:t>
        </w:r>
      </w:hyperlink>
      <w:hyperlink r:id="rId40">
        <w:r>
          <w:rPr>
            <w:rFonts w:ascii="Arial" w:eastAsia="Arial" w:hAnsi="Arial" w:cs="Arial"/>
            <w:color w:val="000000"/>
          </w:rPr>
          <w:t>http://dx.doi.org/10.1016/j.cell.2021.04.048</w:t>
        </w:r>
      </w:hyperlink>
      <w:bookmarkStart w:id="15" w:name="_GoBack"/>
      <w:bookmarkEnd w:id="15"/>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41">
        <w:r w:rsidRPr="0093612F">
          <w:rPr>
            <w:rFonts w:ascii="Arial" w:eastAsia="Arial" w:hAnsi="Arial" w:cs="Arial"/>
            <w:color w:val="000000"/>
            <w:lang w:val="de-DE"/>
          </w:rPr>
          <w:t>52. Okba NMA, Müller MA, Li W</w:t>
        </w:r>
      </w:hyperlink>
      <w:hyperlink r:id="rId42">
        <w:r w:rsidRPr="0093612F">
          <w:rPr>
            <w:rFonts w:ascii="Arial" w:eastAsia="Arial" w:hAnsi="Arial" w:cs="Arial"/>
            <w:lang w:val="de-DE"/>
          </w:rPr>
          <w:t xml:space="preserve"> </w:t>
        </w:r>
      </w:hyperlink>
      <w:hyperlink r:id="rId43">
        <w:r w:rsidRPr="0093612F">
          <w:rPr>
            <w:rFonts w:ascii="Arial" w:eastAsia="Arial" w:hAnsi="Arial" w:cs="Arial"/>
            <w:color w:val="000000"/>
            <w:lang w:val="de-DE"/>
          </w:rPr>
          <w:t xml:space="preserve">et al. </w:t>
        </w:r>
        <w:r>
          <w:rPr>
            <w:rFonts w:ascii="Arial" w:eastAsia="Arial" w:hAnsi="Arial" w:cs="Arial"/>
            <w:color w:val="000000"/>
          </w:rPr>
          <w:t xml:space="preserve">Severe Acute Respiratory Syndrome Coronavirus 2-Specific Antibody Responses in Coronavirus Disease Patients. Emerg Infect Dis [Internet]. 2020;26:1478–88. Available from: </w:t>
        </w:r>
      </w:hyperlink>
      <w:hyperlink r:id="rId44">
        <w:r>
          <w:rPr>
            <w:rFonts w:ascii="Arial" w:eastAsia="Arial" w:hAnsi="Arial" w:cs="Arial"/>
            <w:color w:val="000000"/>
          </w:rPr>
          <w:t>http://dx.doi.org/10.3201/eid2607.200841</w:t>
        </w:r>
      </w:hyperlink>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45">
        <w:r w:rsidRPr="0093612F">
          <w:rPr>
            <w:rFonts w:ascii="Arial" w:eastAsia="Arial" w:hAnsi="Arial" w:cs="Arial"/>
            <w:color w:val="000000"/>
            <w:lang w:val="de-DE"/>
          </w:rPr>
          <w:t>53. Mühlemann B, Thibeault C, Hillus D</w:t>
        </w:r>
      </w:hyperlink>
      <w:hyperlink r:id="rId46">
        <w:r w:rsidRPr="0093612F">
          <w:rPr>
            <w:rFonts w:ascii="Arial" w:eastAsia="Arial" w:hAnsi="Arial" w:cs="Arial"/>
            <w:lang w:val="de-DE"/>
          </w:rPr>
          <w:t xml:space="preserve"> </w:t>
        </w:r>
      </w:hyperlink>
      <w:hyperlink r:id="rId47">
        <w:r w:rsidRPr="0093612F">
          <w:rPr>
            <w:rFonts w:ascii="Arial" w:eastAsia="Arial" w:hAnsi="Arial" w:cs="Arial"/>
            <w:color w:val="000000"/>
            <w:lang w:val="de-DE"/>
          </w:rPr>
          <w:t xml:space="preserve">et al. </w:t>
        </w:r>
        <w:r>
          <w:rPr>
            <w:rFonts w:ascii="Arial" w:eastAsia="Arial" w:hAnsi="Arial" w:cs="Arial"/>
            <w:color w:val="000000"/>
          </w:rPr>
          <w:t xml:space="preserve">Impact of dexamethasone on SARS-CoV-2 concentration kinetics and antibody response in hospitalized COVID-19 patients: results from a prospective observational study. Clin Microbiol Infect [Internet]. 2021;27:1520.e7–1520.e10. Available from: </w:t>
        </w:r>
      </w:hyperlink>
      <w:hyperlink r:id="rId48">
        <w:r>
          <w:rPr>
            <w:rFonts w:ascii="Arial" w:eastAsia="Arial" w:hAnsi="Arial" w:cs="Arial"/>
            <w:color w:val="000000"/>
          </w:rPr>
          <w:t>http://dx.doi.org/10.1016/j.cmi.2021.06.008</w:t>
        </w:r>
      </w:hyperlink>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49">
        <w:r w:rsidRPr="0093612F">
          <w:rPr>
            <w:rFonts w:ascii="Arial" w:eastAsia="Arial" w:hAnsi="Arial" w:cs="Arial"/>
            <w:color w:val="000000"/>
            <w:lang w:val="de-DE"/>
          </w:rPr>
          <w:t xml:space="preserve">54. Corman VM, Landt O, Kaiser M et al. </w:t>
        </w:r>
        <w:r>
          <w:rPr>
            <w:rFonts w:ascii="Arial" w:eastAsia="Arial" w:hAnsi="Arial" w:cs="Arial"/>
            <w:color w:val="000000"/>
          </w:rPr>
          <w:t xml:space="preserve">Detection of 2019 novel coronavirus (2019-nCoV) by real-time RT-PCR. Euro Surveill [Internet]. 2020;25. Available from: </w:t>
        </w:r>
      </w:hyperlink>
      <w:hyperlink r:id="rId50">
        <w:r>
          <w:rPr>
            <w:rFonts w:ascii="Arial" w:eastAsia="Arial" w:hAnsi="Arial" w:cs="Arial"/>
            <w:color w:val="000000"/>
          </w:rPr>
          <w:t>http://dx.doi.org/10.2807/1560-7917.ES.2020.25.3.2000045</w:t>
        </w:r>
      </w:hyperlink>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51">
        <w:r w:rsidRPr="0093612F">
          <w:rPr>
            <w:rFonts w:ascii="Arial" w:eastAsia="Arial" w:hAnsi="Arial" w:cs="Arial"/>
            <w:color w:val="000000"/>
            <w:lang w:val="de-DE"/>
          </w:rPr>
          <w:t>55. Jones TC, Biele G, Mühlemann B</w:t>
        </w:r>
      </w:hyperlink>
      <w:hyperlink r:id="rId52">
        <w:r w:rsidRPr="0093612F">
          <w:rPr>
            <w:rFonts w:ascii="Arial" w:eastAsia="Arial" w:hAnsi="Arial" w:cs="Arial"/>
            <w:lang w:val="de-DE"/>
          </w:rPr>
          <w:t xml:space="preserve"> </w:t>
        </w:r>
      </w:hyperlink>
      <w:hyperlink r:id="rId53">
        <w:r w:rsidRPr="0093612F">
          <w:rPr>
            <w:rFonts w:ascii="Arial" w:eastAsia="Arial" w:hAnsi="Arial" w:cs="Arial"/>
            <w:color w:val="000000"/>
            <w:lang w:val="de-DE"/>
          </w:rPr>
          <w:t xml:space="preserve">et al. </w:t>
        </w:r>
        <w:r>
          <w:rPr>
            <w:rFonts w:ascii="Arial" w:eastAsia="Arial" w:hAnsi="Arial" w:cs="Arial"/>
            <w:color w:val="000000"/>
          </w:rPr>
          <w:t>Estimating infectiousness throughout SARS-</w:t>
        </w:r>
        <w:r>
          <w:rPr>
            <w:rFonts w:ascii="Arial" w:eastAsia="Arial" w:hAnsi="Arial" w:cs="Arial"/>
            <w:color w:val="000000"/>
          </w:rPr>
          <w:lastRenderedPageBreak/>
          <w:t xml:space="preserve">CoV-2 infection course. Science [Internet]. 2021;373. Available from: </w:t>
        </w:r>
      </w:hyperlink>
      <w:hyperlink r:id="rId54">
        <w:r>
          <w:rPr>
            <w:rFonts w:ascii="Arial" w:eastAsia="Arial" w:hAnsi="Arial" w:cs="Arial"/>
            <w:color w:val="000000"/>
          </w:rPr>
          <w:t>http://dx.doi.org/10.1126/science.abi5273</w:t>
        </w:r>
      </w:hyperlink>
    </w:p>
    <w:p w:rsidR="000D0CBA" w:rsidRDefault="000D0CBA" w:rsidP="000D0CBA">
      <w:pPr>
        <w:widowControl w:val="0"/>
        <w:pBdr>
          <w:top w:val="nil"/>
          <w:left w:val="nil"/>
          <w:bottom w:val="nil"/>
          <w:right w:val="nil"/>
          <w:between w:val="nil"/>
        </w:pBdr>
        <w:spacing w:after="220" w:line="240" w:lineRule="auto"/>
        <w:rPr>
          <w:rFonts w:ascii="Arial" w:eastAsia="Arial" w:hAnsi="Arial" w:cs="Arial"/>
          <w:color w:val="000000"/>
        </w:rPr>
      </w:pPr>
      <w:hyperlink r:id="rId55">
        <w:r w:rsidRPr="00B97C61">
          <w:rPr>
            <w:rFonts w:ascii="Arial" w:eastAsia="Arial" w:hAnsi="Arial" w:cs="Arial"/>
            <w:color w:val="000000"/>
            <w:lang w:val="de-DE"/>
          </w:rPr>
          <w:t>56. Niemeyer D, Stenzel S, Veith T</w:t>
        </w:r>
      </w:hyperlink>
      <w:hyperlink r:id="rId56">
        <w:r w:rsidRPr="00B97C61">
          <w:rPr>
            <w:rFonts w:ascii="Arial" w:eastAsia="Arial" w:hAnsi="Arial" w:cs="Arial"/>
            <w:lang w:val="de-DE"/>
          </w:rPr>
          <w:t xml:space="preserve"> </w:t>
        </w:r>
      </w:hyperlink>
      <w:hyperlink r:id="rId57">
        <w:r w:rsidRPr="00B97C61">
          <w:rPr>
            <w:rFonts w:ascii="Arial" w:eastAsia="Arial" w:hAnsi="Arial" w:cs="Arial"/>
            <w:color w:val="000000"/>
            <w:lang w:val="de-DE"/>
          </w:rPr>
          <w:t xml:space="preserve">et al. </w:t>
        </w:r>
        <w:r>
          <w:rPr>
            <w:rFonts w:ascii="Arial" w:eastAsia="Arial" w:hAnsi="Arial" w:cs="Arial"/>
            <w:color w:val="000000"/>
          </w:rPr>
          <w:t xml:space="preserve">SARS-CoV-2 variant Alpha has a spike-dependent replication advantage over the ancestral B.1 strain in human cells with low ACE2 expression. PLoS Biol [Internet]. 2022;20:e3001871. Available from: </w:t>
        </w:r>
      </w:hyperlink>
      <w:hyperlink r:id="rId58">
        <w:r>
          <w:rPr>
            <w:rFonts w:ascii="Arial" w:eastAsia="Arial" w:hAnsi="Arial" w:cs="Arial"/>
            <w:color w:val="000000"/>
          </w:rPr>
          <w:t>http://dx.doi.org/10.1371/journal.pbio.3001871</w:t>
        </w:r>
      </w:hyperlink>
    </w:p>
    <w:p w:rsidR="000D0CBA" w:rsidRDefault="000D0CBA" w:rsidP="000D0CBA">
      <w:pPr>
        <w:widowControl w:val="0"/>
        <w:pBdr>
          <w:top w:val="nil"/>
          <w:left w:val="nil"/>
          <w:bottom w:val="nil"/>
          <w:right w:val="nil"/>
          <w:between w:val="nil"/>
        </w:pBdr>
        <w:spacing w:after="0" w:line="276" w:lineRule="auto"/>
        <w:rPr>
          <w:rFonts w:ascii="Arial" w:eastAsia="Arial" w:hAnsi="Arial" w:cs="Arial"/>
        </w:rPr>
      </w:pPr>
    </w:p>
    <w:p w:rsidR="000D0CBA" w:rsidRPr="000D0CBA" w:rsidRDefault="000D0CBA">
      <w:pPr>
        <w:rPr>
          <w:rFonts w:ascii="Arial" w:hAnsi="Arial" w:cs="Arial"/>
          <w:b/>
          <w:sz w:val="24"/>
          <w:szCs w:val="24"/>
        </w:rPr>
      </w:pPr>
    </w:p>
    <w:sectPr w:rsidR="000D0CBA" w:rsidRPr="000D0C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26E"/>
    <w:rsid w:val="00002A0D"/>
    <w:rsid w:val="00002E33"/>
    <w:rsid w:val="000062C1"/>
    <w:rsid w:val="000065D1"/>
    <w:rsid w:val="00006B28"/>
    <w:rsid w:val="00007719"/>
    <w:rsid w:val="000101CE"/>
    <w:rsid w:val="000103E6"/>
    <w:rsid w:val="00010544"/>
    <w:rsid w:val="0001099E"/>
    <w:rsid w:val="00011D06"/>
    <w:rsid w:val="00015372"/>
    <w:rsid w:val="000172F5"/>
    <w:rsid w:val="00020B58"/>
    <w:rsid w:val="00023E82"/>
    <w:rsid w:val="00024E58"/>
    <w:rsid w:val="0002721F"/>
    <w:rsid w:val="00031029"/>
    <w:rsid w:val="00032950"/>
    <w:rsid w:val="00034E36"/>
    <w:rsid w:val="00037964"/>
    <w:rsid w:val="000401F6"/>
    <w:rsid w:val="00043BE1"/>
    <w:rsid w:val="00045112"/>
    <w:rsid w:val="00045AA0"/>
    <w:rsid w:val="00045ECE"/>
    <w:rsid w:val="00047272"/>
    <w:rsid w:val="00050956"/>
    <w:rsid w:val="000511E0"/>
    <w:rsid w:val="0005203D"/>
    <w:rsid w:val="0005386D"/>
    <w:rsid w:val="00053C6A"/>
    <w:rsid w:val="000542A3"/>
    <w:rsid w:val="000552EC"/>
    <w:rsid w:val="00055559"/>
    <w:rsid w:val="000565FE"/>
    <w:rsid w:val="000573BC"/>
    <w:rsid w:val="00062B78"/>
    <w:rsid w:val="00062DF7"/>
    <w:rsid w:val="0006500A"/>
    <w:rsid w:val="0006622C"/>
    <w:rsid w:val="000667E0"/>
    <w:rsid w:val="00070C26"/>
    <w:rsid w:val="00070FB6"/>
    <w:rsid w:val="00082BCE"/>
    <w:rsid w:val="000861C3"/>
    <w:rsid w:val="000867E9"/>
    <w:rsid w:val="00086F9A"/>
    <w:rsid w:val="0009153F"/>
    <w:rsid w:val="00091668"/>
    <w:rsid w:val="000A0AC9"/>
    <w:rsid w:val="000A18E8"/>
    <w:rsid w:val="000A6E35"/>
    <w:rsid w:val="000B07BB"/>
    <w:rsid w:val="000B2DFE"/>
    <w:rsid w:val="000B4E48"/>
    <w:rsid w:val="000B6B20"/>
    <w:rsid w:val="000C1C49"/>
    <w:rsid w:val="000C2F13"/>
    <w:rsid w:val="000C3AB2"/>
    <w:rsid w:val="000C3BB7"/>
    <w:rsid w:val="000C41AB"/>
    <w:rsid w:val="000C4A6E"/>
    <w:rsid w:val="000C6557"/>
    <w:rsid w:val="000D0082"/>
    <w:rsid w:val="000D0794"/>
    <w:rsid w:val="000D0CBA"/>
    <w:rsid w:val="000D168E"/>
    <w:rsid w:val="000D264C"/>
    <w:rsid w:val="000D586A"/>
    <w:rsid w:val="000D590D"/>
    <w:rsid w:val="000E2CAC"/>
    <w:rsid w:val="000E5EFB"/>
    <w:rsid w:val="000E7E15"/>
    <w:rsid w:val="000F0853"/>
    <w:rsid w:val="000F3BAF"/>
    <w:rsid w:val="000F5923"/>
    <w:rsid w:val="001003BB"/>
    <w:rsid w:val="001028DC"/>
    <w:rsid w:val="00102ACE"/>
    <w:rsid w:val="00103A39"/>
    <w:rsid w:val="00104693"/>
    <w:rsid w:val="00104F98"/>
    <w:rsid w:val="00104FCE"/>
    <w:rsid w:val="001059D7"/>
    <w:rsid w:val="00111F92"/>
    <w:rsid w:val="0011297E"/>
    <w:rsid w:val="00114698"/>
    <w:rsid w:val="00117F3C"/>
    <w:rsid w:val="001211AA"/>
    <w:rsid w:val="00124C80"/>
    <w:rsid w:val="00125D39"/>
    <w:rsid w:val="00131772"/>
    <w:rsid w:val="00132AE9"/>
    <w:rsid w:val="0013500E"/>
    <w:rsid w:val="00135A67"/>
    <w:rsid w:val="00135B80"/>
    <w:rsid w:val="001377AD"/>
    <w:rsid w:val="001404E2"/>
    <w:rsid w:val="00141D64"/>
    <w:rsid w:val="00143947"/>
    <w:rsid w:val="00144E35"/>
    <w:rsid w:val="00146115"/>
    <w:rsid w:val="00147C60"/>
    <w:rsid w:val="00151749"/>
    <w:rsid w:val="00152FE5"/>
    <w:rsid w:val="00153CA9"/>
    <w:rsid w:val="00154294"/>
    <w:rsid w:val="00157290"/>
    <w:rsid w:val="00157B11"/>
    <w:rsid w:val="00160AB7"/>
    <w:rsid w:val="00162D3F"/>
    <w:rsid w:val="001632C3"/>
    <w:rsid w:val="001656F6"/>
    <w:rsid w:val="00165B09"/>
    <w:rsid w:val="00166A4D"/>
    <w:rsid w:val="00166C87"/>
    <w:rsid w:val="00170246"/>
    <w:rsid w:val="00171E16"/>
    <w:rsid w:val="00171E25"/>
    <w:rsid w:val="001748E1"/>
    <w:rsid w:val="00174D0D"/>
    <w:rsid w:val="00174DA3"/>
    <w:rsid w:val="001765AD"/>
    <w:rsid w:val="00176BD9"/>
    <w:rsid w:val="001802FD"/>
    <w:rsid w:val="00181586"/>
    <w:rsid w:val="00181F03"/>
    <w:rsid w:val="00182A32"/>
    <w:rsid w:val="00184200"/>
    <w:rsid w:val="001842D7"/>
    <w:rsid w:val="0018467E"/>
    <w:rsid w:val="00184A2C"/>
    <w:rsid w:val="00184FD3"/>
    <w:rsid w:val="00185DBC"/>
    <w:rsid w:val="001900AB"/>
    <w:rsid w:val="00191F9C"/>
    <w:rsid w:val="00197C39"/>
    <w:rsid w:val="001A0599"/>
    <w:rsid w:val="001A107A"/>
    <w:rsid w:val="001A1785"/>
    <w:rsid w:val="001A6AB4"/>
    <w:rsid w:val="001A721A"/>
    <w:rsid w:val="001A761B"/>
    <w:rsid w:val="001A79F4"/>
    <w:rsid w:val="001B031A"/>
    <w:rsid w:val="001B0DB3"/>
    <w:rsid w:val="001C28E0"/>
    <w:rsid w:val="001C5152"/>
    <w:rsid w:val="001C74C8"/>
    <w:rsid w:val="001C7EC5"/>
    <w:rsid w:val="001C7F9F"/>
    <w:rsid w:val="001D0B74"/>
    <w:rsid w:val="001D124C"/>
    <w:rsid w:val="001D31AD"/>
    <w:rsid w:val="001D3ACC"/>
    <w:rsid w:val="001D5A9A"/>
    <w:rsid w:val="001D60C8"/>
    <w:rsid w:val="001E0814"/>
    <w:rsid w:val="001E2860"/>
    <w:rsid w:val="001E3225"/>
    <w:rsid w:val="001E621A"/>
    <w:rsid w:val="001E6F99"/>
    <w:rsid w:val="001F0913"/>
    <w:rsid w:val="001F197C"/>
    <w:rsid w:val="001F3935"/>
    <w:rsid w:val="001F59AA"/>
    <w:rsid w:val="001F5A6B"/>
    <w:rsid w:val="001F6AAD"/>
    <w:rsid w:val="001F7A25"/>
    <w:rsid w:val="001F7FDD"/>
    <w:rsid w:val="0020011A"/>
    <w:rsid w:val="00201217"/>
    <w:rsid w:val="00204A5F"/>
    <w:rsid w:val="00205C46"/>
    <w:rsid w:val="00207C1E"/>
    <w:rsid w:val="00210D9B"/>
    <w:rsid w:val="0021184E"/>
    <w:rsid w:val="00211B0C"/>
    <w:rsid w:val="0021317C"/>
    <w:rsid w:val="002131FD"/>
    <w:rsid w:val="002140F9"/>
    <w:rsid w:val="002152D6"/>
    <w:rsid w:val="00232639"/>
    <w:rsid w:val="002334C3"/>
    <w:rsid w:val="00234180"/>
    <w:rsid w:val="00234B72"/>
    <w:rsid w:val="00235439"/>
    <w:rsid w:val="00236D1F"/>
    <w:rsid w:val="00237C8B"/>
    <w:rsid w:val="00241D5D"/>
    <w:rsid w:val="00242DC0"/>
    <w:rsid w:val="00242FB2"/>
    <w:rsid w:val="0024354C"/>
    <w:rsid w:val="00245525"/>
    <w:rsid w:val="00247225"/>
    <w:rsid w:val="00247937"/>
    <w:rsid w:val="002506A0"/>
    <w:rsid w:val="00254667"/>
    <w:rsid w:val="002547CA"/>
    <w:rsid w:val="0025750B"/>
    <w:rsid w:val="0025757B"/>
    <w:rsid w:val="00257DAE"/>
    <w:rsid w:val="0026035E"/>
    <w:rsid w:val="002641A5"/>
    <w:rsid w:val="002643AD"/>
    <w:rsid w:val="00265242"/>
    <w:rsid w:val="00265F29"/>
    <w:rsid w:val="0028015E"/>
    <w:rsid w:val="00281116"/>
    <w:rsid w:val="00282372"/>
    <w:rsid w:val="0028324E"/>
    <w:rsid w:val="0028614C"/>
    <w:rsid w:val="00286517"/>
    <w:rsid w:val="00286541"/>
    <w:rsid w:val="002920B8"/>
    <w:rsid w:val="00293EF3"/>
    <w:rsid w:val="002956E7"/>
    <w:rsid w:val="00295E88"/>
    <w:rsid w:val="00296307"/>
    <w:rsid w:val="0029664E"/>
    <w:rsid w:val="00296B9F"/>
    <w:rsid w:val="002A0272"/>
    <w:rsid w:val="002A06F2"/>
    <w:rsid w:val="002A1043"/>
    <w:rsid w:val="002A48FF"/>
    <w:rsid w:val="002A5C9B"/>
    <w:rsid w:val="002B2DD5"/>
    <w:rsid w:val="002B3C64"/>
    <w:rsid w:val="002B4590"/>
    <w:rsid w:val="002B5579"/>
    <w:rsid w:val="002B7A68"/>
    <w:rsid w:val="002C6969"/>
    <w:rsid w:val="002C6C0A"/>
    <w:rsid w:val="002D104E"/>
    <w:rsid w:val="002D2360"/>
    <w:rsid w:val="002D2D98"/>
    <w:rsid w:val="002D422B"/>
    <w:rsid w:val="002D4C0F"/>
    <w:rsid w:val="002D530D"/>
    <w:rsid w:val="002D6371"/>
    <w:rsid w:val="002D7B01"/>
    <w:rsid w:val="002E0CDE"/>
    <w:rsid w:val="002E65A5"/>
    <w:rsid w:val="002E6B33"/>
    <w:rsid w:val="002E7424"/>
    <w:rsid w:val="002F101E"/>
    <w:rsid w:val="002F5875"/>
    <w:rsid w:val="003004B9"/>
    <w:rsid w:val="003021ED"/>
    <w:rsid w:val="00302D71"/>
    <w:rsid w:val="0030492F"/>
    <w:rsid w:val="0031011D"/>
    <w:rsid w:val="003107E8"/>
    <w:rsid w:val="00311160"/>
    <w:rsid w:val="00314276"/>
    <w:rsid w:val="0031457B"/>
    <w:rsid w:val="003145BB"/>
    <w:rsid w:val="00315760"/>
    <w:rsid w:val="00317762"/>
    <w:rsid w:val="003207B7"/>
    <w:rsid w:val="00324CD5"/>
    <w:rsid w:val="00325C0D"/>
    <w:rsid w:val="00326891"/>
    <w:rsid w:val="003301FA"/>
    <w:rsid w:val="00330A20"/>
    <w:rsid w:val="0033146F"/>
    <w:rsid w:val="00331CCF"/>
    <w:rsid w:val="00335274"/>
    <w:rsid w:val="0033644F"/>
    <w:rsid w:val="00337555"/>
    <w:rsid w:val="003427A2"/>
    <w:rsid w:val="00343EE6"/>
    <w:rsid w:val="00344DEE"/>
    <w:rsid w:val="00345E1A"/>
    <w:rsid w:val="00347477"/>
    <w:rsid w:val="00351CEB"/>
    <w:rsid w:val="00353FA5"/>
    <w:rsid w:val="00354E01"/>
    <w:rsid w:val="003551B6"/>
    <w:rsid w:val="003551E1"/>
    <w:rsid w:val="00360CFB"/>
    <w:rsid w:val="00360DDD"/>
    <w:rsid w:val="00363776"/>
    <w:rsid w:val="003641A2"/>
    <w:rsid w:val="00367296"/>
    <w:rsid w:val="00370AA8"/>
    <w:rsid w:val="003721E9"/>
    <w:rsid w:val="00372841"/>
    <w:rsid w:val="0037331C"/>
    <w:rsid w:val="00373C6B"/>
    <w:rsid w:val="0037469D"/>
    <w:rsid w:val="003760B5"/>
    <w:rsid w:val="003767E1"/>
    <w:rsid w:val="003823E2"/>
    <w:rsid w:val="0038291A"/>
    <w:rsid w:val="00383910"/>
    <w:rsid w:val="00384C9B"/>
    <w:rsid w:val="0038508E"/>
    <w:rsid w:val="00385985"/>
    <w:rsid w:val="00386D5A"/>
    <w:rsid w:val="00390FC4"/>
    <w:rsid w:val="00391F14"/>
    <w:rsid w:val="0039635A"/>
    <w:rsid w:val="0039645A"/>
    <w:rsid w:val="00396FAF"/>
    <w:rsid w:val="003A1DBF"/>
    <w:rsid w:val="003A308E"/>
    <w:rsid w:val="003A368E"/>
    <w:rsid w:val="003A38EC"/>
    <w:rsid w:val="003A4E3B"/>
    <w:rsid w:val="003A50B0"/>
    <w:rsid w:val="003B3470"/>
    <w:rsid w:val="003C1E0C"/>
    <w:rsid w:val="003C2409"/>
    <w:rsid w:val="003C2D92"/>
    <w:rsid w:val="003C4691"/>
    <w:rsid w:val="003C5CCA"/>
    <w:rsid w:val="003D061F"/>
    <w:rsid w:val="003D064D"/>
    <w:rsid w:val="003D14BD"/>
    <w:rsid w:val="003D3AE0"/>
    <w:rsid w:val="003D687F"/>
    <w:rsid w:val="003D6CCC"/>
    <w:rsid w:val="003E1E35"/>
    <w:rsid w:val="003E32B5"/>
    <w:rsid w:val="003F237D"/>
    <w:rsid w:val="003F360E"/>
    <w:rsid w:val="003F6E5F"/>
    <w:rsid w:val="0040477A"/>
    <w:rsid w:val="00404968"/>
    <w:rsid w:val="004101AB"/>
    <w:rsid w:val="00412552"/>
    <w:rsid w:val="00416584"/>
    <w:rsid w:val="004167D6"/>
    <w:rsid w:val="004215EC"/>
    <w:rsid w:val="00422579"/>
    <w:rsid w:val="00424820"/>
    <w:rsid w:val="00425670"/>
    <w:rsid w:val="00425779"/>
    <w:rsid w:val="004314B5"/>
    <w:rsid w:val="00434784"/>
    <w:rsid w:val="00434F98"/>
    <w:rsid w:val="00435331"/>
    <w:rsid w:val="004358BD"/>
    <w:rsid w:val="00436101"/>
    <w:rsid w:val="004362F0"/>
    <w:rsid w:val="00442B35"/>
    <w:rsid w:val="00442C6D"/>
    <w:rsid w:val="00445481"/>
    <w:rsid w:val="00446E0E"/>
    <w:rsid w:val="0045127F"/>
    <w:rsid w:val="00452230"/>
    <w:rsid w:val="004523CF"/>
    <w:rsid w:val="00452518"/>
    <w:rsid w:val="00452EE4"/>
    <w:rsid w:val="00453C8C"/>
    <w:rsid w:val="004541FF"/>
    <w:rsid w:val="004561C4"/>
    <w:rsid w:val="0045796E"/>
    <w:rsid w:val="00457E3C"/>
    <w:rsid w:val="004614CC"/>
    <w:rsid w:val="00463665"/>
    <w:rsid w:val="00464AD9"/>
    <w:rsid w:val="004652CB"/>
    <w:rsid w:val="00466C0E"/>
    <w:rsid w:val="004672C3"/>
    <w:rsid w:val="004676F2"/>
    <w:rsid w:val="004744B9"/>
    <w:rsid w:val="004748DF"/>
    <w:rsid w:val="004813F5"/>
    <w:rsid w:val="00485203"/>
    <w:rsid w:val="00486280"/>
    <w:rsid w:val="00487BEB"/>
    <w:rsid w:val="004903A3"/>
    <w:rsid w:val="00491397"/>
    <w:rsid w:val="004913ED"/>
    <w:rsid w:val="00493AE3"/>
    <w:rsid w:val="0049725E"/>
    <w:rsid w:val="0049751A"/>
    <w:rsid w:val="004A18A1"/>
    <w:rsid w:val="004A25AB"/>
    <w:rsid w:val="004A2A94"/>
    <w:rsid w:val="004A2B85"/>
    <w:rsid w:val="004A5ADE"/>
    <w:rsid w:val="004A5F2C"/>
    <w:rsid w:val="004A729C"/>
    <w:rsid w:val="004A733B"/>
    <w:rsid w:val="004B1762"/>
    <w:rsid w:val="004B5F7F"/>
    <w:rsid w:val="004B7B4C"/>
    <w:rsid w:val="004C52EF"/>
    <w:rsid w:val="004C5C29"/>
    <w:rsid w:val="004C7D80"/>
    <w:rsid w:val="004D2162"/>
    <w:rsid w:val="004D2AE2"/>
    <w:rsid w:val="004D2B45"/>
    <w:rsid w:val="004D3027"/>
    <w:rsid w:val="004D350D"/>
    <w:rsid w:val="004D36C1"/>
    <w:rsid w:val="004D4749"/>
    <w:rsid w:val="004D576C"/>
    <w:rsid w:val="004D616A"/>
    <w:rsid w:val="004D7921"/>
    <w:rsid w:val="004E0670"/>
    <w:rsid w:val="004F738A"/>
    <w:rsid w:val="004F76DC"/>
    <w:rsid w:val="004F7A20"/>
    <w:rsid w:val="005004BB"/>
    <w:rsid w:val="00502781"/>
    <w:rsid w:val="005028E0"/>
    <w:rsid w:val="005031DF"/>
    <w:rsid w:val="00504301"/>
    <w:rsid w:val="00507071"/>
    <w:rsid w:val="0051087B"/>
    <w:rsid w:val="00511861"/>
    <w:rsid w:val="00515EBA"/>
    <w:rsid w:val="005202B8"/>
    <w:rsid w:val="00520AA2"/>
    <w:rsid w:val="005210DF"/>
    <w:rsid w:val="00522827"/>
    <w:rsid w:val="00523A8F"/>
    <w:rsid w:val="00526BF7"/>
    <w:rsid w:val="00527D51"/>
    <w:rsid w:val="005304B1"/>
    <w:rsid w:val="005354DF"/>
    <w:rsid w:val="005359AE"/>
    <w:rsid w:val="005363AE"/>
    <w:rsid w:val="0053794F"/>
    <w:rsid w:val="0054043A"/>
    <w:rsid w:val="0054073F"/>
    <w:rsid w:val="00541080"/>
    <w:rsid w:val="00546458"/>
    <w:rsid w:val="0055023E"/>
    <w:rsid w:val="00552212"/>
    <w:rsid w:val="00553707"/>
    <w:rsid w:val="00553A7B"/>
    <w:rsid w:val="0055480C"/>
    <w:rsid w:val="005548D8"/>
    <w:rsid w:val="00555934"/>
    <w:rsid w:val="00555F99"/>
    <w:rsid w:val="00561280"/>
    <w:rsid w:val="00561D2A"/>
    <w:rsid w:val="00567424"/>
    <w:rsid w:val="005675F5"/>
    <w:rsid w:val="00567BBF"/>
    <w:rsid w:val="00567DE6"/>
    <w:rsid w:val="00570F67"/>
    <w:rsid w:val="005713A2"/>
    <w:rsid w:val="00571AAA"/>
    <w:rsid w:val="00576CAB"/>
    <w:rsid w:val="005771B3"/>
    <w:rsid w:val="00581298"/>
    <w:rsid w:val="00581BDE"/>
    <w:rsid w:val="00584307"/>
    <w:rsid w:val="00585497"/>
    <w:rsid w:val="005865AC"/>
    <w:rsid w:val="00586803"/>
    <w:rsid w:val="005910E4"/>
    <w:rsid w:val="00591938"/>
    <w:rsid w:val="0059370C"/>
    <w:rsid w:val="00593EFA"/>
    <w:rsid w:val="00593F6F"/>
    <w:rsid w:val="00596FB1"/>
    <w:rsid w:val="005A06AF"/>
    <w:rsid w:val="005A0CD7"/>
    <w:rsid w:val="005A6049"/>
    <w:rsid w:val="005B2FA5"/>
    <w:rsid w:val="005B4077"/>
    <w:rsid w:val="005B468A"/>
    <w:rsid w:val="005B63B6"/>
    <w:rsid w:val="005B64D4"/>
    <w:rsid w:val="005B66E9"/>
    <w:rsid w:val="005C085F"/>
    <w:rsid w:val="005C0AA0"/>
    <w:rsid w:val="005C0CB0"/>
    <w:rsid w:val="005C14D7"/>
    <w:rsid w:val="005C1EF7"/>
    <w:rsid w:val="005C25E1"/>
    <w:rsid w:val="005C2B65"/>
    <w:rsid w:val="005C32FA"/>
    <w:rsid w:val="005C47AC"/>
    <w:rsid w:val="005D1E68"/>
    <w:rsid w:val="005D2452"/>
    <w:rsid w:val="005D4D8D"/>
    <w:rsid w:val="005D6E82"/>
    <w:rsid w:val="005D760A"/>
    <w:rsid w:val="005E07D6"/>
    <w:rsid w:val="005E0C31"/>
    <w:rsid w:val="005E4E4A"/>
    <w:rsid w:val="005E5C94"/>
    <w:rsid w:val="005E6BDB"/>
    <w:rsid w:val="005F204B"/>
    <w:rsid w:val="005F2428"/>
    <w:rsid w:val="005F2DF3"/>
    <w:rsid w:val="005F48BA"/>
    <w:rsid w:val="005F4EBB"/>
    <w:rsid w:val="005F7CAA"/>
    <w:rsid w:val="00600C7C"/>
    <w:rsid w:val="00602D59"/>
    <w:rsid w:val="00603853"/>
    <w:rsid w:val="006062F4"/>
    <w:rsid w:val="00607442"/>
    <w:rsid w:val="00607F6F"/>
    <w:rsid w:val="00611B13"/>
    <w:rsid w:val="006122A1"/>
    <w:rsid w:val="006124F5"/>
    <w:rsid w:val="00614A7C"/>
    <w:rsid w:val="00615814"/>
    <w:rsid w:val="00620150"/>
    <w:rsid w:val="0062040A"/>
    <w:rsid w:val="00621AC6"/>
    <w:rsid w:val="0062446C"/>
    <w:rsid w:val="0062543D"/>
    <w:rsid w:val="006304EE"/>
    <w:rsid w:val="00633486"/>
    <w:rsid w:val="00635D52"/>
    <w:rsid w:val="00635EBE"/>
    <w:rsid w:val="00637D52"/>
    <w:rsid w:val="00637F38"/>
    <w:rsid w:val="006406C2"/>
    <w:rsid w:val="00640CA7"/>
    <w:rsid w:val="00645CB3"/>
    <w:rsid w:val="006466B1"/>
    <w:rsid w:val="00652102"/>
    <w:rsid w:val="00652D31"/>
    <w:rsid w:val="00654AC7"/>
    <w:rsid w:val="00656C9D"/>
    <w:rsid w:val="00662630"/>
    <w:rsid w:val="00662634"/>
    <w:rsid w:val="00662D2B"/>
    <w:rsid w:val="0066407E"/>
    <w:rsid w:val="00665671"/>
    <w:rsid w:val="00673BE2"/>
    <w:rsid w:val="00674B27"/>
    <w:rsid w:val="0067582D"/>
    <w:rsid w:val="006758E3"/>
    <w:rsid w:val="00677050"/>
    <w:rsid w:val="006777E0"/>
    <w:rsid w:val="00677CC1"/>
    <w:rsid w:val="00682137"/>
    <w:rsid w:val="00684B2D"/>
    <w:rsid w:val="0069126C"/>
    <w:rsid w:val="00695CC4"/>
    <w:rsid w:val="00696FFB"/>
    <w:rsid w:val="00697325"/>
    <w:rsid w:val="00697B78"/>
    <w:rsid w:val="00697D5A"/>
    <w:rsid w:val="006A1FFA"/>
    <w:rsid w:val="006A444D"/>
    <w:rsid w:val="006A6106"/>
    <w:rsid w:val="006A6F6F"/>
    <w:rsid w:val="006A7152"/>
    <w:rsid w:val="006A7894"/>
    <w:rsid w:val="006B1EAA"/>
    <w:rsid w:val="006B41CD"/>
    <w:rsid w:val="006B41DE"/>
    <w:rsid w:val="006B57A8"/>
    <w:rsid w:val="006B6BE2"/>
    <w:rsid w:val="006B73D6"/>
    <w:rsid w:val="006B7F6A"/>
    <w:rsid w:val="006C0661"/>
    <w:rsid w:val="006C07F5"/>
    <w:rsid w:val="006C1273"/>
    <w:rsid w:val="006C1693"/>
    <w:rsid w:val="006C55A7"/>
    <w:rsid w:val="006C5782"/>
    <w:rsid w:val="006D040C"/>
    <w:rsid w:val="006D11CD"/>
    <w:rsid w:val="006D27F6"/>
    <w:rsid w:val="006D4806"/>
    <w:rsid w:val="006D5F3D"/>
    <w:rsid w:val="006D625D"/>
    <w:rsid w:val="006D63C0"/>
    <w:rsid w:val="006D6B1D"/>
    <w:rsid w:val="006D7CA8"/>
    <w:rsid w:val="006E1D52"/>
    <w:rsid w:val="006E2A9D"/>
    <w:rsid w:val="006E32E6"/>
    <w:rsid w:val="006E5E52"/>
    <w:rsid w:val="006E7E59"/>
    <w:rsid w:val="006F3107"/>
    <w:rsid w:val="006F48EB"/>
    <w:rsid w:val="006F7480"/>
    <w:rsid w:val="006F7C73"/>
    <w:rsid w:val="006F7E30"/>
    <w:rsid w:val="00700EB2"/>
    <w:rsid w:val="00701A1A"/>
    <w:rsid w:val="00703600"/>
    <w:rsid w:val="007037B2"/>
    <w:rsid w:val="007048D4"/>
    <w:rsid w:val="00704A63"/>
    <w:rsid w:val="00704E42"/>
    <w:rsid w:val="007074D8"/>
    <w:rsid w:val="00707BB2"/>
    <w:rsid w:val="007105FF"/>
    <w:rsid w:val="00716844"/>
    <w:rsid w:val="00717B1C"/>
    <w:rsid w:val="007203BE"/>
    <w:rsid w:val="00721BE0"/>
    <w:rsid w:val="00723AD8"/>
    <w:rsid w:val="00724109"/>
    <w:rsid w:val="00725921"/>
    <w:rsid w:val="00727584"/>
    <w:rsid w:val="00732BDA"/>
    <w:rsid w:val="00734F0D"/>
    <w:rsid w:val="00735811"/>
    <w:rsid w:val="00735EC0"/>
    <w:rsid w:val="00736655"/>
    <w:rsid w:val="00737203"/>
    <w:rsid w:val="00740008"/>
    <w:rsid w:val="007426CB"/>
    <w:rsid w:val="00742D72"/>
    <w:rsid w:val="00743148"/>
    <w:rsid w:val="00743A8A"/>
    <w:rsid w:val="0074679E"/>
    <w:rsid w:val="0075015D"/>
    <w:rsid w:val="00750C6A"/>
    <w:rsid w:val="00750D72"/>
    <w:rsid w:val="00750DFD"/>
    <w:rsid w:val="0075261F"/>
    <w:rsid w:val="007528C7"/>
    <w:rsid w:val="007549AE"/>
    <w:rsid w:val="00754D61"/>
    <w:rsid w:val="00754FFB"/>
    <w:rsid w:val="0075569F"/>
    <w:rsid w:val="00755AAE"/>
    <w:rsid w:val="00760454"/>
    <w:rsid w:val="00760DA0"/>
    <w:rsid w:val="00763713"/>
    <w:rsid w:val="00764972"/>
    <w:rsid w:val="00764AA9"/>
    <w:rsid w:val="0076590C"/>
    <w:rsid w:val="007660EF"/>
    <w:rsid w:val="00770F01"/>
    <w:rsid w:val="0077100B"/>
    <w:rsid w:val="007712C9"/>
    <w:rsid w:val="00771798"/>
    <w:rsid w:val="00775624"/>
    <w:rsid w:val="00776583"/>
    <w:rsid w:val="0077719E"/>
    <w:rsid w:val="00777B20"/>
    <w:rsid w:val="00782BCC"/>
    <w:rsid w:val="00782D85"/>
    <w:rsid w:val="007833DA"/>
    <w:rsid w:val="007863BB"/>
    <w:rsid w:val="00790D14"/>
    <w:rsid w:val="00791078"/>
    <w:rsid w:val="00791B39"/>
    <w:rsid w:val="00791CC3"/>
    <w:rsid w:val="007927EB"/>
    <w:rsid w:val="00796698"/>
    <w:rsid w:val="0079749A"/>
    <w:rsid w:val="007A06A2"/>
    <w:rsid w:val="007A086B"/>
    <w:rsid w:val="007A0A2B"/>
    <w:rsid w:val="007A17C8"/>
    <w:rsid w:val="007A3F1A"/>
    <w:rsid w:val="007A45F8"/>
    <w:rsid w:val="007A6B6B"/>
    <w:rsid w:val="007A782B"/>
    <w:rsid w:val="007B01FA"/>
    <w:rsid w:val="007B0C51"/>
    <w:rsid w:val="007B2D83"/>
    <w:rsid w:val="007B6409"/>
    <w:rsid w:val="007C279B"/>
    <w:rsid w:val="007C4438"/>
    <w:rsid w:val="007C4846"/>
    <w:rsid w:val="007C4BCC"/>
    <w:rsid w:val="007C518B"/>
    <w:rsid w:val="007C631A"/>
    <w:rsid w:val="007C73A7"/>
    <w:rsid w:val="007D022B"/>
    <w:rsid w:val="007D0984"/>
    <w:rsid w:val="007D1A5D"/>
    <w:rsid w:val="007D1FE5"/>
    <w:rsid w:val="007D48DE"/>
    <w:rsid w:val="007D4AC5"/>
    <w:rsid w:val="007D4D06"/>
    <w:rsid w:val="007D4DEF"/>
    <w:rsid w:val="007D5762"/>
    <w:rsid w:val="007D69EC"/>
    <w:rsid w:val="007D7809"/>
    <w:rsid w:val="007E2BBE"/>
    <w:rsid w:val="007E2CCF"/>
    <w:rsid w:val="007E30EF"/>
    <w:rsid w:val="007E4A71"/>
    <w:rsid w:val="007E58A4"/>
    <w:rsid w:val="007E5B8F"/>
    <w:rsid w:val="007F0A6D"/>
    <w:rsid w:val="007F1623"/>
    <w:rsid w:val="007F1DF0"/>
    <w:rsid w:val="007F2D03"/>
    <w:rsid w:val="007F36AE"/>
    <w:rsid w:val="00800A3D"/>
    <w:rsid w:val="0080158A"/>
    <w:rsid w:val="00803668"/>
    <w:rsid w:val="0080430A"/>
    <w:rsid w:val="0080492D"/>
    <w:rsid w:val="0080542C"/>
    <w:rsid w:val="008072BA"/>
    <w:rsid w:val="00807739"/>
    <w:rsid w:val="00813F45"/>
    <w:rsid w:val="0081784E"/>
    <w:rsid w:val="00820989"/>
    <w:rsid w:val="008209D5"/>
    <w:rsid w:val="0082106B"/>
    <w:rsid w:val="008216DD"/>
    <w:rsid w:val="008233FE"/>
    <w:rsid w:val="0082404B"/>
    <w:rsid w:val="00824B02"/>
    <w:rsid w:val="008250D2"/>
    <w:rsid w:val="00825C14"/>
    <w:rsid w:val="00826731"/>
    <w:rsid w:val="008303B3"/>
    <w:rsid w:val="008311CD"/>
    <w:rsid w:val="008315C9"/>
    <w:rsid w:val="00831654"/>
    <w:rsid w:val="0083203C"/>
    <w:rsid w:val="0083224B"/>
    <w:rsid w:val="00833696"/>
    <w:rsid w:val="00833DA1"/>
    <w:rsid w:val="00835245"/>
    <w:rsid w:val="00835610"/>
    <w:rsid w:val="00836445"/>
    <w:rsid w:val="0083770B"/>
    <w:rsid w:val="00841ADD"/>
    <w:rsid w:val="00842789"/>
    <w:rsid w:val="00843BE9"/>
    <w:rsid w:val="0084793B"/>
    <w:rsid w:val="008516EA"/>
    <w:rsid w:val="00851F0F"/>
    <w:rsid w:val="008523B7"/>
    <w:rsid w:val="00852C59"/>
    <w:rsid w:val="00853CA6"/>
    <w:rsid w:val="00856A5D"/>
    <w:rsid w:val="00857605"/>
    <w:rsid w:val="00860D0E"/>
    <w:rsid w:val="00862D91"/>
    <w:rsid w:val="00867CC5"/>
    <w:rsid w:val="008716DF"/>
    <w:rsid w:val="00872857"/>
    <w:rsid w:val="00872D1A"/>
    <w:rsid w:val="008736B1"/>
    <w:rsid w:val="00873C1A"/>
    <w:rsid w:val="00873DC2"/>
    <w:rsid w:val="0087477B"/>
    <w:rsid w:val="00874AA8"/>
    <w:rsid w:val="00875CEE"/>
    <w:rsid w:val="00876DE2"/>
    <w:rsid w:val="00877743"/>
    <w:rsid w:val="00877A83"/>
    <w:rsid w:val="00877B12"/>
    <w:rsid w:val="00881055"/>
    <w:rsid w:val="00887BA7"/>
    <w:rsid w:val="0089188F"/>
    <w:rsid w:val="00891B6B"/>
    <w:rsid w:val="008958EF"/>
    <w:rsid w:val="0089636F"/>
    <w:rsid w:val="008972F3"/>
    <w:rsid w:val="00897ECC"/>
    <w:rsid w:val="008A0A48"/>
    <w:rsid w:val="008A1276"/>
    <w:rsid w:val="008A229C"/>
    <w:rsid w:val="008A2FFE"/>
    <w:rsid w:val="008A781C"/>
    <w:rsid w:val="008B1DED"/>
    <w:rsid w:val="008B4C5E"/>
    <w:rsid w:val="008B519D"/>
    <w:rsid w:val="008C18D2"/>
    <w:rsid w:val="008C212F"/>
    <w:rsid w:val="008C4CAA"/>
    <w:rsid w:val="008C7E28"/>
    <w:rsid w:val="008D0C55"/>
    <w:rsid w:val="008D0DEE"/>
    <w:rsid w:val="008D1788"/>
    <w:rsid w:val="008D5797"/>
    <w:rsid w:val="008D62B4"/>
    <w:rsid w:val="008E4F7B"/>
    <w:rsid w:val="008E642B"/>
    <w:rsid w:val="008F2532"/>
    <w:rsid w:val="008F35AF"/>
    <w:rsid w:val="008F5498"/>
    <w:rsid w:val="008F7F70"/>
    <w:rsid w:val="00900F2E"/>
    <w:rsid w:val="00901374"/>
    <w:rsid w:val="00901977"/>
    <w:rsid w:val="009019FB"/>
    <w:rsid w:val="009020AB"/>
    <w:rsid w:val="00904853"/>
    <w:rsid w:val="00906043"/>
    <w:rsid w:val="00906085"/>
    <w:rsid w:val="00906B69"/>
    <w:rsid w:val="00910AF5"/>
    <w:rsid w:val="009121A6"/>
    <w:rsid w:val="0091305F"/>
    <w:rsid w:val="009145F6"/>
    <w:rsid w:val="00915703"/>
    <w:rsid w:val="00915CC9"/>
    <w:rsid w:val="0091718D"/>
    <w:rsid w:val="009179A6"/>
    <w:rsid w:val="00917E4B"/>
    <w:rsid w:val="00922C3C"/>
    <w:rsid w:val="009241E3"/>
    <w:rsid w:val="00924D40"/>
    <w:rsid w:val="00925CC8"/>
    <w:rsid w:val="00927FF6"/>
    <w:rsid w:val="009332D3"/>
    <w:rsid w:val="00935159"/>
    <w:rsid w:val="009364E4"/>
    <w:rsid w:val="009369F2"/>
    <w:rsid w:val="00936D53"/>
    <w:rsid w:val="00937F64"/>
    <w:rsid w:val="00942B0C"/>
    <w:rsid w:val="00942E77"/>
    <w:rsid w:val="009446B5"/>
    <w:rsid w:val="00944FB9"/>
    <w:rsid w:val="00945D3E"/>
    <w:rsid w:val="00950B3E"/>
    <w:rsid w:val="00951572"/>
    <w:rsid w:val="00951621"/>
    <w:rsid w:val="00953A33"/>
    <w:rsid w:val="00954E39"/>
    <w:rsid w:val="00954F88"/>
    <w:rsid w:val="009553D0"/>
    <w:rsid w:val="00955C04"/>
    <w:rsid w:val="009571BC"/>
    <w:rsid w:val="009574E4"/>
    <w:rsid w:val="00957CA4"/>
    <w:rsid w:val="00962033"/>
    <w:rsid w:val="00962839"/>
    <w:rsid w:val="00962C0A"/>
    <w:rsid w:val="00963D63"/>
    <w:rsid w:val="00963E38"/>
    <w:rsid w:val="00963EC3"/>
    <w:rsid w:val="00964CC8"/>
    <w:rsid w:val="009670AF"/>
    <w:rsid w:val="00970C6F"/>
    <w:rsid w:val="00971C63"/>
    <w:rsid w:val="00972941"/>
    <w:rsid w:val="00972E5E"/>
    <w:rsid w:val="00981132"/>
    <w:rsid w:val="00983399"/>
    <w:rsid w:val="00983C0E"/>
    <w:rsid w:val="0098431E"/>
    <w:rsid w:val="00984661"/>
    <w:rsid w:val="00984AE4"/>
    <w:rsid w:val="009856B8"/>
    <w:rsid w:val="00987940"/>
    <w:rsid w:val="00990BAC"/>
    <w:rsid w:val="009933F3"/>
    <w:rsid w:val="00993A1F"/>
    <w:rsid w:val="00994D2C"/>
    <w:rsid w:val="009A381E"/>
    <w:rsid w:val="009A4485"/>
    <w:rsid w:val="009A57BF"/>
    <w:rsid w:val="009A6494"/>
    <w:rsid w:val="009A771F"/>
    <w:rsid w:val="009A7F1D"/>
    <w:rsid w:val="009B1969"/>
    <w:rsid w:val="009B1A3B"/>
    <w:rsid w:val="009B31DE"/>
    <w:rsid w:val="009B4706"/>
    <w:rsid w:val="009B5E2C"/>
    <w:rsid w:val="009B6408"/>
    <w:rsid w:val="009C04F9"/>
    <w:rsid w:val="009C760C"/>
    <w:rsid w:val="009D02D9"/>
    <w:rsid w:val="009D1D34"/>
    <w:rsid w:val="009D2662"/>
    <w:rsid w:val="009D28EC"/>
    <w:rsid w:val="009D299B"/>
    <w:rsid w:val="009E20F1"/>
    <w:rsid w:val="009E29A0"/>
    <w:rsid w:val="009E3314"/>
    <w:rsid w:val="009E3510"/>
    <w:rsid w:val="009E4237"/>
    <w:rsid w:val="009E46E1"/>
    <w:rsid w:val="009E5158"/>
    <w:rsid w:val="009E5494"/>
    <w:rsid w:val="009E5B58"/>
    <w:rsid w:val="009E6020"/>
    <w:rsid w:val="009E70A6"/>
    <w:rsid w:val="009E7C6C"/>
    <w:rsid w:val="009F2B4A"/>
    <w:rsid w:val="009F34C8"/>
    <w:rsid w:val="009F3D15"/>
    <w:rsid w:val="009F4012"/>
    <w:rsid w:val="009F40F3"/>
    <w:rsid w:val="009F63C9"/>
    <w:rsid w:val="00A02C1F"/>
    <w:rsid w:val="00A057E4"/>
    <w:rsid w:val="00A05849"/>
    <w:rsid w:val="00A05A6E"/>
    <w:rsid w:val="00A0653A"/>
    <w:rsid w:val="00A07DA7"/>
    <w:rsid w:val="00A12B37"/>
    <w:rsid w:val="00A12E07"/>
    <w:rsid w:val="00A12E79"/>
    <w:rsid w:val="00A12E7A"/>
    <w:rsid w:val="00A15611"/>
    <w:rsid w:val="00A160DF"/>
    <w:rsid w:val="00A1698A"/>
    <w:rsid w:val="00A16DFA"/>
    <w:rsid w:val="00A17328"/>
    <w:rsid w:val="00A178D2"/>
    <w:rsid w:val="00A21DAC"/>
    <w:rsid w:val="00A226A6"/>
    <w:rsid w:val="00A2358F"/>
    <w:rsid w:val="00A244D2"/>
    <w:rsid w:val="00A307D9"/>
    <w:rsid w:val="00A31704"/>
    <w:rsid w:val="00A32246"/>
    <w:rsid w:val="00A37F92"/>
    <w:rsid w:val="00A40BF2"/>
    <w:rsid w:val="00A45048"/>
    <w:rsid w:val="00A47864"/>
    <w:rsid w:val="00A5132E"/>
    <w:rsid w:val="00A52705"/>
    <w:rsid w:val="00A52FEB"/>
    <w:rsid w:val="00A533F8"/>
    <w:rsid w:val="00A54AE8"/>
    <w:rsid w:val="00A55201"/>
    <w:rsid w:val="00A55F63"/>
    <w:rsid w:val="00A56DA7"/>
    <w:rsid w:val="00A57474"/>
    <w:rsid w:val="00A57DBD"/>
    <w:rsid w:val="00A600AC"/>
    <w:rsid w:val="00A6171A"/>
    <w:rsid w:val="00A62622"/>
    <w:rsid w:val="00A64548"/>
    <w:rsid w:val="00A64FBB"/>
    <w:rsid w:val="00A65007"/>
    <w:rsid w:val="00A65343"/>
    <w:rsid w:val="00A65B5E"/>
    <w:rsid w:val="00A664E6"/>
    <w:rsid w:val="00A6783E"/>
    <w:rsid w:val="00A67874"/>
    <w:rsid w:val="00A70BCA"/>
    <w:rsid w:val="00A7300C"/>
    <w:rsid w:val="00A73436"/>
    <w:rsid w:val="00A75FEA"/>
    <w:rsid w:val="00A7699D"/>
    <w:rsid w:val="00A76E78"/>
    <w:rsid w:val="00A77379"/>
    <w:rsid w:val="00A82268"/>
    <w:rsid w:val="00A84FE4"/>
    <w:rsid w:val="00A85FD2"/>
    <w:rsid w:val="00A9114E"/>
    <w:rsid w:val="00A959CF"/>
    <w:rsid w:val="00A96EF6"/>
    <w:rsid w:val="00AA0DB1"/>
    <w:rsid w:val="00AA202F"/>
    <w:rsid w:val="00AA3546"/>
    <w:rsid w:val="00AA381B"/>
    <w:rsid w:val="00AB08E8"/>
    <w:rsid w:val="00AB18F2"/>
    <w:rsid w:val="00AB2C00"/>
    <w:rsid w:val="00AB5190"/>
    <w:rsid w:val="00AB55A6"/>
    <w:rsid w:val="00AC756C"/>
    <w:rsid w:val="00AD1FFD"/>
    <w:rsid w:val="00AD4AA2"/>
    <w:rsid w:val="00AD533E"/>
    <w:rsid w:val="00AD6307"/>
    <w:rsid w:val="00AD79F4"/>
    <w:rsid w:val="00AD7D4B"/>
    <w:rsid w:val="00AE12FD"/>
    <w:rsid w:val="00AE4D04"/>
    <w:rsid w:val="00AF226C"/>
    <w:rsid w:val="00AF23FD"/>
    <w:rsid w:val="00AF3826"/>
    <w:rsid w:val="00AF4943"/>
    <w:rsid w:val="00AF54DC"/>
    <w:rsid w:val="00AF6922"/>
    <w:rsid w:val="00AF6D62"/>
    <w:rsid w:val="00B00978"/>
    <w:rsid w:val="00B01591"/>
    <w:rsid w:val="00B11103"/>
    <w:rsid w:val="00B12BB0"/>
    <w:rsid w:val="00B12F82"/>
    <w:rsid w:val="00B14059"/>
    <w:rsid w:val="00B150EB"/>
    <w:rsid w:val="00B212E9"/>
    <w:rsid w:val="00B23ADD"/>
    <w:rsid w:val="00B277F9"/>
    <w:rsid w:val="00B304CB"/>
    <w:rsid w:val="00B3303B"/>
    <w:rsid w:val="00B33A25"/>
    <w:rsid w:val="00B345BB"/>
    <w:rsid w:val="00B34CBC"/>
    <w:rsid w:val="00B376B2"/>
    <w:rsid w:val="00B414AB"/>
    <w:rsid w:val="00B439A6"/>
    <w:rsid w:val="00B45699"/>
    <w:rsid w:val="00B4648E"/>
    <w:rsid w:val="00B5163F"/>
    <w:rsid w:val="00B525EB"/>
    <w:rsid w:val="00B53DEA"/>
    <w:rsid w:val="00B55892"/>
    <w:rsid w:val="00B55BC4"/>
    <w:rsid w:val="00B56405"/>
    <w:rsid w:val="00B603CA"/>
    <w:rsid w:val="00B60E12"/>
    <w:rsid w:val="00B60EBD"/>
    <w:rsid w:val="00B61044"/>
    <w:rsid w:val="00B612FB"/>
    <w:rsid w:val="00B6212A"/>
    <w:rsid w:val="00B626A5"/>
    <w:rsid w:val="00B630A6"/>
    <w:rsid w:val="00B6381A"/>
    <w:rsid w:val="00B64792"/>
    <w:rsid w:val="00B648FB"/>
    <w:rsid w:val="00B6536D"/>
    <w:rsid w:val="00B6545C"/>
    <w:rsid w:val="00B65A2C"/>
    <w:rsid w:val="00B65BAE"/>
    <w:rsid w:val="00B66CBC"/>
    <w:rsid w:val="00B67AC9"/>
    <w:rsid w:val="00B7301F"/>
    <w:rsid w:val="00B7572C"/>
    <w:rsid w:val="00B75C60"/>
    <w:rsid w:val="00B7740B"/>
    <w:rsid w:val="00B776D5"/>
    <w:rsid w:val="00B77E77"/>
    <w:rsid w:val="00B801C7"/>
    <w:rsid w:val="00B859B5"/>
    <w:rsid w:val="00B86ED0"/>
    <w:rsid w:val="00B871DA"/>
    <w:rsid w:val="00B9291E"/>
    <w:rsid w:val="00B931FB"/>
    <w:rsid w:val="00B934D3"/>
    <w:rsid w:val="00B97942"/>
    <w:rsid w:val="00BA171B"/>
    <w:rsid w:val="00BA1D2F"/>
    <w:rsid w:val="00BA2EC4"/>
    <w:rsid w:val="00BA5072"/>
    <w:rsid w:val="00BA5733"/>
    <w:rsid w:val="00BA7D99"/>
    <w:rsid w:val="00BB0995"/>
    <w:rsid w:val="00BB09C5"/>
    <w:rsid w:val="00BB3937"/>
    <w:rsid w:val="00BB3CDA"/>
    <w:rsid w:val="00BB439B"/>
    <w:rsid w:val="00BB5937"/>
    <w:rsid w:val="00BC129A"/>
    <w:rsid w:val="00BC2F98"/>
    <w:rsid w:val="00BC3FB7"/>
    <w:rsid w:val="00BC40BE"/>
    <w:rsid w:val="00BC6EFC"/>
    <w:rsid w:val="00BC78DA"/>
    <w:rsid w:val="00BC7F03"/>
    <w:rsid w:val="00BD3BEE"/>
    <w:rsid w:val="00BD41EB"/>
    <w:rsid w:val="00BD42E7"/>
    <w:rsid w:val="00BD467A"/>
    <w:rsid w:val="00BD6741"/>
    <w:rsid w:val="00BD6A9E"/>
    <w:rsid w:val="00BD6DF7"/>
    <w:rsid w:val="00BD7043"/>
    <w:rsid w:val="00BE0C7F"/>
    <w:rsid w:val="00BE2B25"/>
    <w:rsid w:val="00BE31BC"/>
    <w:rsid w:val="00BE4FD8"/>
    <w:rsid w:val="00BF14FF"/>
    <w:rsid w:val="00BF2FF7"/>
    <w:rsid w:val="00BF3636"/>
    <w:rsid w:val="00BF691B"/>
    <w:rsid w:val="00C04A00"/>
    <w:rsid w:val="00C05EAB"/>
    <w:rsid w:val="00C1025B"/>
    <w:rsid w:val="00C10A04"/>
    <w:rsid w:val="00C11523"/>
    <w:rsid w:val="00C13410"/>
    <w:rsid w:val="00C135E0"/>
    <w:rsid w:val="00C17B68"/>
    <w:rsid w:val="00C20F47"/>
    <w:rsid w:val="00C22A66"/>
    <w:rsid w:val="00C24D57"/>
    <w:rsid w:val="00C254AF"/>
    <w:rsid w:val="00C27C95"/>
    <w:rsid w:val="00C3195A"/>
    <w:rsid w:val="00C32D63"/>
    <w:rsid w:val="00C33803"/>
    <w:rsid w:val="00C34FEB"/>
    <w:rsid w:val="00C355DF"/>
    <w:rsid w:val="00C362B6"/>
    <w:rsid w:val="00C37493"/>
    <w:rsid w:val="00C401E5"/>
    <w:rsid w:val="00C41697"/>
    <w:rsid w:val="00C41E41"/>
    <w:rsid w:val="00C4688C"/>
    <w:rsid w:val="00C4784E"/>
    <w:rsid w:val="00C47915"/>
    <w:rsid w:val="00C50086"/>
    <w:rsid w:val="00C505E1"/>
    <w:rsid w:val="00C50819"/>
    <w:rsid w:val="00C50B39"/>
    <w:rsid w:val="00C514FA"/>
    <w:rsid w:val="00C51AEE"/>
    <w:rsid w:val="00C5266B"/>
    <w:rsid w:val="00C542DD"/>
    <w:rsid w:val="00C567B2"/>
    <w:rsid w:val="00C57ECA"/>
    <w:rsid w:val="00C60F24"/>
    <w:rsid w:val="00C640EF"/>
    <w:rsid w:val="00C670FE"/>
    <w:rsid w:val="00C67B84"/>
    <w:rsid w:val="00C733A3"/>
    <w:rsid w:val="00C74A32"/>
    <w:rsid w:val="00C75DB8"/>
    <w:rsid w:val="00C77091"/>
    <w:rsid w:val="00C81E36"/>
    <w:rsid w:val="00C82CF7"/>
    <w:rsid w:val="00C8330B"/>
    <w:rsid w:val="00C8587B"/>
    <w:rsid w:val="00C85EC0"/>
    <w:rsid w:val="00C86280"/>
    <w:rsid w:val="00C86739"/>
    <w:rsid w:val="00C9012B"/>
    <w:rsid w:val="00C92E6A"/>
    <w:rsid w:val="00C94640"/>
    <w:rsid w:val="00C94CAC"/>
    <w:rsid w:val="00C950F5"/>
    <w:rsid w:val="00C95D2D"/>
    <w:rsid w:val="00C96284"/>
    <w:rsid w:val="00C973F0"/>
    <w:rsid w:val="00CA026E"/>
    <w:rsid w:val="00CA682A"/>
    <w:rsid w:val="00CA6E10"/>
    <w:rsid w:val="00CA749B"/>
    <w:rsid w:val="00CB03E5"/>
    <w:rsid w:val="00CB0E80"/>
    <w:rsid w:val="00CB3C24"/>
    <w:rsid w:val="00CB614E"/>
    <w:rsid w:val="00CB6784"/>
    <w:rsid w:val="00CB7792"/>
    <w:rsid w:val="00CC0B73"/>
    <w:rsid w:val="00CC14D5"/>
    <w:rsid w:val="00CC2183"/>
    <w:rsid w:val="00CC48EF"/>
    <w:rsid w:val="00CC6258"/>
    <w:rsid w:val="00CD3224"/>
    <w:rsid w:val="00CD3A5A"/>
    <w:rsid w:val="00CD4C07"/>
    <w:rsid w:val="00CD535B"/>
    <w:rsid w:val="00CD5FCB"/>
    <w:rsid w:val="00CD6263"/>
    <w:rsid w:val="00CD7D13"/>
    <w:rsid w:val="00CE1858"/>
    <w:rsid w:val="00CE1CE3"/>
    <w:rsid w:val="00CE1DF9"/>
    <w:rsid w:val="00CE5213"/>
    <w:rsid w:val="00CE5BEE"/>
    <w:rsid w:val="00CF1A6D"/>
    <w:rsid w:val="00CF32E5"/>
    <w:rsid w:val="00CF3A36"/>
    <w:rsid w:val="00D007D5"/>
    <w:rsid w:val="00D02CEB"/>
    <w:rsid w:val="00D02D08"/>
    <w:rsid w:val="00D030FD"/>
    <w:rsid w:val="00D0441D"/>
    <w:rsid w:val="00D05263"/>
    <w:rsid w:val="00D06335"/>
    <w:rsid w:val="00D102F2"/>
    <w:rsid w:val="00D112F8"/>
    <w:rsid w:val="00D11621"/>
    <w:rsid w:val="00D12913"/>
    <w:rsid w:val="00D145A9"/>
    <w:rsid w:val="00D1569D"/>
    <w:rsid w:val="00D225D3"/>
    <w:rsid w:val="00D24D2C"/>
    <w:rsid w:val="00D275BE"/>
    <w:rsid w:val="00D31969"/>
    <w:rsid w:val="00D337E5"/>
    <w:rsid w:val="00D34BB1"/>
    <w:rsid w:val="00D352D2"/>
    <w:rsid w:val="00D40A56"/>
    <w:rsid w:val="00D41C27"/>
    <w:rsid w:val="00D43CDD"/>
    <w:rsid w:val="00D46A85"/>
    <w:rsid w:val="00D47287"/>
    <w:rsid w:val="00D4784F"/>
    <w:rsid w:val="00D529AB"/>
    <w:rsid w:val="00D52E41"/>
    <w:rsid w:val="00D540D0"/>
    <w:rsid w:val="00D5766C"/>
    <w:rsid w:val="00D6392E"/>
    <w:rsid w:val="00D67C67"/>
    <w:rsid w:val="00D74BD1"/>
    <w:rsid w:val="00D7502A"/>
    <w:rsid w:val="00D7625B"/>
    <w:rsid w:val="00D7629B"/>
    <w:rsid w:val="00D77EAA"/>
    <w:rsid w:val="00D817F9"/>
    <w:rsid w:val="00D83F16"/>
    <w:rsid w:val="00D84430"/>
    <w:rsid w:val="00D847D7"/>
    <w:rsid w:val="00D849CE"/>
    <w:rsid w:val="00D87BDC"/>
    <w:rsid w:val="00D902B4"/>
    <w:rsid w:val="00D9153B"/>
    <w:rsid w:val="00D919D1"/>
    <w:rsid w:val="00D924B8"/>
    <w:rsid w:val="00D937F1"/>
    <w:rsid w:val="00D9470A"/>
    <w:rsid w:val="00D95645"/>
    <w:rsid w:val="00D95EAF"/>
    <w:rsid w:val="00DA25FA"/>
    <w:rsid w:val="00DA359C"/>
    <w:rsid w:val="00DA5222"/>
    <w:rsid w:val="00DB25B9"/>
    <w:rsid w:val="00DB2EA5"/>
    <w:rsid w:val="00DB65D7"/>
    <w:rsid w:val="00DC1EDF"/>
    <w:rsid w:val="00DC42EB"/>
    <w:rsid w:val="00DC47C7"/>
    <w:rsid w:val="00DC6239"/>
    <w:rsid w:val="00DC638F"/>
    <w:rsid w:val="00DC6E6C"/>
    <w:rsid w:val="00DD0C7A"/>
    <w:rsid w:val="00DD110E"/>
    <w:rsid w:val="00DD25F1"/>
    <w:rsid w:val="00DD3F87"/>
    <w:rsid w:val="00DD60B9"/>
    <w:rsid w:val="00DD6CA3"/>
    <w:rsid w:val="00DD78BB"/>
    <w:rsid w:val="00DE0DB7"/>
    <w:rsid w:val="00DE73E0"/>
    <w:rsid w:val="00DE7F3A"/>
    <w:rsid w:val="00DF06A4"/>
    <w:rsid w:val="00DF06F6"/>
    <w:rsid w:val="00DF0C8D"/>
    <w:rsid w:val="00DF1086"/>
    <w:rsid w:val="00DF1ADD"/>
    <w:rsid w:val="00DF2A3A"/>
    <w:rsid w:val="00DF4B84"/>
    <w:rsid w:val="00DF592C"/>
    <w:rsid w:val="00E00091"/>
    <w:rsid w:val="00E00E92"/>
    <w:rsid w:val="00E01944"/>
    <w:rsid w:val="00E02637"/>
    <w:rsid w:val="00E02F5B"/>
    <w:rsid w:val="00E03162"/>
    <w:rsid w:val="00E0318F"/>
    <w:rsid w:val="00E0358C"/>
    <w:rsid w:val="00E039B8"/>
    <w:rsid w:val="00E04761"/>
    <w:rsid w:val="00E049AD"/>
    <w:rsid w:val="00E061B2"/>
    <w:rsid w:val="00E06CBA"/>
    <w:rsid w:val="00E10257"/>
    <w:rsid w:val="00E10A0B"/>
    <w:rsid w:val="00E138E8"/>
    <w:rsid w:val="00E13F1A"/>
    <w:rsid w:val="00E144F5"/>
    <w:rsid w:val="00E1602D"/>
    <w:rsid w:val="00E16082"/>
    <w:rsid w:val="00E16BCD"/>
    <w:rsid w:val="00E1720E"/>
    <w:rsid w:val="00E21F0F"/>
    <w:rsid w:val="00E2299D"/>
    <w:rsid w:val="00E231D4"/>
    <w:rsid w:val="00E23601"/>
    <w:rsid w:val="00E25A55"/>
    <w:rsid w:val="00E26549"/>
    <w:rsid w:val="00E2659C"/>
    <w:rsid w:val="00E270AF"/>
    <w:rsid w:val="00E31F89"/>
    <w:rsid w:val="00E3501F"/>
    <w:rsid w:val="00E4415B"/>
    <w:rsid w:val="00E459F3"/>
    <w:rsid w:val="00E5075E"/>
    <w:rsid w:val="00E515C1"/>
    <w:rsid w:val="00E51ED4"/>
    <w:rsid w:val="00E5207D"/>
    <w:rsid w:val="00E53585"/>
    <w:rsid w:val="00E57592"/>
    <w:rsid w:val="00E6066B"/>
    <w:rsid w:val="00E60818"/>
    <w:rsid w:val="00E62EBF"/>
    <w:rsid w:val="00E64762"/>
    <w:rsid w:val="00E647F6"/>
    <w:rsid w:val="00E66D08"/>
    <w:rsid w:val="00E679A2"/>
    <w:rsid w:val="00E74CEB"/>
    <w:rsid w:val="00E75A4E"/>
    <w:rsid w:val="00E76D97"/>
    <w:rsid w:val="00E81411"/>
    <w:rsid w:val="00E842C5"/>
    <w:rsid w:val="00E8437E"/>
    <w:rsid w:val="00E904FA"/>
    <w:rsid w:val="00E932F1"/>
    <w:rsid w:val="00E9658C"/>
    <w:rsid w:val="00E973B2"/>
    <w:rsid w:val="00E97644"/>
    <w:rsid w:val="00EA228C"/>
    <w:rsid w:val="00EA4689"/>
    <w:rsid w:val="00EA4FCB"/>
    <w:rsid w:val="00EA57E6"/>
    <w:rsid w:val="00EA7006"/>
    <w:rsid w:val="00EA7548"/>
    <w:rsid w:val="00EB0905"/>
    <w:rsid w:val="00EB32FD"/>
    <w:rsid w:val="00EB4185"/>
    <w:rsid w:val="00EB60A3"/>
    <w:rsid w:val="00EC2B82"/>
    <w:rsid w:val="00EC4528"/>
    <w:rsid w:val="00EC493D"/>
    <w:rsid w:val="00EC5515"/>
    <w:rsid w:val="00EC647C"/>
    <w:rsid w:val="00EC7887"/>
    <w:rsid w:val="00ED1841"/>
    <w:rsid w:val="00ED1C63"/>
    <w:rsid w:val="00ED2A16"/>
    <w:rsid w:val="00ED3D67"/>
    <w:rsid w:val="00ED3F18"/>
    <w:rsid w:val="00ED5694"/>
    <w:rsid w:val="00ED5A2F"/>
    <w:rsid w:val="00ED7188"/>
    <w:rsid w:val="00EE46A4"/>
    <w:rsid w:val="00EE5F49"/>
    <w:rsid w:val="00EE6C29"/>
    <w:rsid w:val="00EF1042"/>
    <w:rsid w:val="00EF1481"/>
    <w:rsid w:val="00EF18CE"/>
    <w:rsid w:val="00EF3AD0"/>
    <w:rsid w:val="00EF4427"/>
    <w:rsid w:val="00EF6961"/>
    <w:rsid w:val="00F034A0"/>
    <w:rsid w:val="00F04624"/>
    <w:rsid w:val="00F06AD6"/>
    <w:rsid w:val="00F078B2"/>
    <w:rsid w:val="00F103BB"/>
    <w:rsid w:val="00F11066"/>
    <w:rsid w:val="00F11299"/>
    <w:rsid w:val="00F12AA9"/>
    <w:rsid w:val="00F132D7"/>
    <w:rsid w:val="00F13A71"/>
    <w:rsid w:val="00F16171"/>
    <w:rsid w:val="00F16418"/>
    <w:rsid w:val="00F1776D"/>
    <w:rsid w:val="00F20578"/>
    <w:rsid w:val="00F20AD1"/>
    <w:rsid w:val="00F21698"/>
    <w:rsid w:val="00F23B1C"/>
    <w:rsid w:val="00F24A93"/>
    <w:rsid w:val="00F25A13"/>
    <w:rsid w:val="00F25D9E"/>
    <w:rsid w:val="00F33705"/>
    <w:rsid w:val="00F40801"/>
    <w:rsid w:val="00F4158E"/>
    <w:rsid w:val="00F4358F"/>
    <w:rsid w:val="00F43CA4"/>
    <w:rsid w:val="00F443E8"/>
    <w:rsid w:val="00F4612C"/>
    <w:rsid w:val="00F470E5"/>
    <w:rsid w:val="00F50C95"/>
    <w:rsid w:val="00F543D3"/>
    <w:rsid w:val="00F60572"/>
    <w:rsid w:val="00F606C7"/>
    <w:rsid w:val="00F615ED"/>
    <w:rsid w:val="00F62E4D"/>
    <w:rsid w:val="00F63134"/>
    <w:rsid w:val="00F6483A"/>
    <w:rsid w:val="00F64DAE"/>
    <w:rsid w:val="00F655DD"/>
    <w:rsid w:val="00F658CB"/>
    <w:rsid w:val="00F6681A"/>
    <w:rsid w:val="00F67ADD"/>
    <w:rsid w:val="00F7150A"/>
    <w:rsid w:val="00F73751"/>
    <w:rsid w:val="00F77C9B"/>
    <w:rsid w:val="00F822FD"/>
    <w:rsid w:val="00F8256F"/>
    <w:rsid w:val="00F85854"/>
    <w:rsid w:val="00F85990"/>
    <w:rsid w:val="00F8671E"/>
    <w:rsid w:val="00F9005E"/>
    <w:rsid w:val="00F9143B"/>
    <w:rsid w:val="00F93629"/>
    <w:rsid w:val="00F93E60"/>
    <w:rsid w:val="00F96E5D"/>
    <w:rsid w:val="00FA0057"/>
    <w:rsid w:val="00FA066E"/>
    <w:rsid w:val="00FA0B5F"/>
    <w:rsid w:val="00FA0FD0"/>
    <w:rsid w:val="00FA11EF"/>
    <w:rsid w:val="00FA19A1"/>
    <w:rsid w:val="00FA21CD"/>
    <w:rsid w:val="00FA2F17"/>
    <w:rsid w:val="00FA723B"/>
    <w:rsid w:val="00FB3D6B"/>
    <w:rsid w:val="00FB58BC"/>
    <w:rsid w:val="00FC0A6C"/>
    <w:rsid w:val="00FC30D0"/>
    <w:rsid w:val="00FC4AC9"/>
    <w:rsid w:val="00FC5784"/>
    <w:rsid w:val="00FD0AF1"/>
    <w:rsid w:val="00FD0B4C"/>
    <w:rsid w:val="00FD2D58"/>
    <w:rsid w:val="00FD310D"/>
    <w:rsid w:val="00FD326F"/>
    <w:rsid w:val="00FD517E"/>
    <w:rsid w:val="00FD60BE"/>
    <w:rsid w:val="00FD6A10"/>
    <w:rsid w:val="00FE12C1"/>
    <w:rsid w:val="00FE5B75"/>
    <w:rsid w:val="00FE5D9F"/>
    <w:rsid w:val="00FF3DA2"/>
    <w:rsid w:val="00FF54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92C9"/>
  <w15:chartTrackingRefBased/>
  <w15:docId w15:val="{35C56B28-49B0-4417-8170-07C6915F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rsid w:val="00CA026E"/>
    <w:pPr>
      <w:keepNext/>
      <w:keepLines/>
      <w:spacing w:before="480" w:after="120"/>
      <w:outlineLvl w:val="0"/>
    </w:pPr>
    <w:rPr>
      <w:rFonts w:ascii="Calibri" w:eastAsia="Calibri" w:hAnsi="Calibri" w:cs="Calibri"/>
      <w:b/>
      <w:sz w:val="48"/>
      <w:szCs w:val="48"/>
      <w:lang w:val="en-US" w:eastAsia="de-DE"/>
    </w:rPr>
  </w:style>
  <w:style w:type="paragraph" w:styleId="berschrift2">
    <w:name w:val="heading 2"/>
    <w:basedOn w:val="Standard"/>
    <w:next w:val="Standard"/>
    <w:link w:val="berschrift2Zchn"/>
    <w:rsid w:val="00CA026E"/>
    <w:pPr>
      <w:keepNext/>
      <w:keepLines/>
      <w:spacing w:before="360" w:after="80"/>
      <w:outlineLvl w:val="1"/>
    </w:pPr>
    <w:rPr>
      <w:rFonts w:ascii="Calibri" w:eastAsia="Calibri" w:hAnsi="Calibri" w:cs="Calibri"/>
      <w:b/>
      <w:sz w:val="36"/>
      <w:szCs w:val="36"/>
      <w:lang w:val="en-US" w:eastAsia="de-DE"/>
    </w:rPr>
  </w:style>
  <w:style w:type="paragraph" w:styleId="berschrift3">
    <w:name w:val="heading 3"/>
    <w:basedOn w:val="Standard"/>
    <w:next w:val="Standard"/>
    <w:link w:val="berschrift3Zchn"/>
    <w:rsid w:val="00CA026E"/>
    <w:pPr>
      <w:keepNext/>
      <w:keepLines/>
      <w:spacing w:before="280" w:after="80"/>
      <w:outlineLvl w:val="2"/>
    </w:pPr>
    <w:rPr>
      <w:rFonts w:ascii="Calibri" w:eastAsia="Calibri" w:hAnsi="Calibri" w:cs="Calibri"/>
      <w:b/>
      <w:sz w:val="28"/>
      <w:szCs w:val="28"/>
      <w:lang w:val="en-US" w:eastAsia="de-DE"/>
    </w:rPr>
  </w:style>
  <w:style w:type="paragraph" w:styleId="berschrift4">
    <w:name w:val="heading 4"/>
    <w:basedOn w:val="Standard"/>
    <w:next w:val="Standard"/>
    <w:link w:val="berschrift4Zchn"/>
    <w:rsid w:val="00CA026E"/>
    <w:pPr>
      <w:keepNext/>
      <w:keepLines/>
      <w:spacing w:before="240" w:after="40"/>
      <w:outlineLvl w:val="3"/>
    </w:pPr>
    <w:rPr>
      <w:rFonts w:ascii="Calibri" w:eastAsia="Calibri" w:hAnsi="Calibri" w:cs="Calibri"/>
      <w:b/>
      <w:sz w:val="24"/>
      <w:szCs w:val="24"/>
      <w:lang w:val="en-US" w:eastAsia="de-DE"/>
    </w:rPr>
  </w:style>
  <w:style w:type="paragraph" w:styleId="berschrift5">
    <w:name w:val="heading 5"/>
    <w:basedOn w:val="Standard"/>
    <w:next w:val="Standard"/>
    <w:link w:val="berschrift5Zchn"/>
    <w:rsid w:val="00CA026E"/>
    <w:pPr>
      <w:keepNext/>
      <w:keepLines/>
      <w:spacing w:before="220" w:after="40"/>
      <w:outlineLvl w:val="4"/>
    </w:pPr>
    <w:rPr>
      <w:rFonts w:ascii="Calibri" w:eastAsia="Calibri" w:hAnsi="Calibri" w:cs="Calibri"/>
      <w:b/>
      <w:lang w:val="en-US" w:eastAsia="de-DE"/>
    </w:rPr>
  </w:style>
  <w:style w:type="paragraph" w:styleId="berschrift6">
    <w:name w:val="heading 6"/>
    <w:basedOn w:val="Standard"/>
    <w:next w:val="Standard"/>
    <w:link w:val="berschrift6Zchn"/>
    <w:rsid w:val="00CA026E"/>
    <w:pPr>
      <w:keepNext/>
      <w:keepLines/>
      <w:spacing w:before="200" w:after="40"/>
      <w:outlineLvl w:val="5"/>
    </w:pPr>
    <w:rPr>
      <w:rFonts w:ascii="Calibri" w:eastAsia="Calibri" w:hAnsi="Calibri" w:cs="Calibri"/>
      <w:b/>
      <w:sz w:val="20"/>
      <w:szCs w:val="20"/>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A026E"/>
    <w:rPr>
      <w:rFonts w:ascii="Calibri" w:eastAsia="Calibri" w:hAnsi="Calibri" w:cs="Calibri"/>
      <w:b/>
      <w:sz w:val="48"/>
      <w:szCs w:val="48"/>
      <w:lang w:val="en-US" w:eastAsia="de-DE"/>
    </w:rPr>
  </w:style>
  <w:style w:type="character" w:customStyle="1" w:styleId="berschrift2Zchn">
    <w:name w:val="Überschrift 2 Zchn"/>
    <w:basedOn w:val="Absatz-Standardschriftart"/>
    <w:link w:val="berschrift2"/>
    <w:rsid w:val="00CA026E"/>
    <w:rPr>
      <w:rFonts w:ascii="Calibri" w:eastAsia="Calibri" w:hAnsi="Calibri" w:cs="Calibri"/>
      <w:b/>
      <w:sz w:val="36"/>
      <w:szCs w:val="36"/>
      <w:lang w:val="en-US" w:eastAsia="de-DE"/>
    </w:rPr>
  </w:style>
  <w:style w:type="character" w:customStyle="1" w:styleId="berschrift3Zchn">
    <w:name w:val="Überschrift 3 Zchn"/>
    <w:basedOn w:val="Absatz-Standardschriftart"/>
    <w:link w:val="berschrift3"/>
    <w:rsid w:val="00CA026E"/>
    <w:rPr>
      <w:rFonts w:ascii="Calibri" w:eastAsia="Calibri" w:hAnsi="Calibri" w:cs="Calibri"/>
      <w:b/>
      <w:sz w:val="28"/>
      <w:szCs w:val="28"/>
      <w:lang w:val="en-US" w:eastAsia="de-DE"/>
    </w:rPr>
  </w:style>
  <w:style w:type="character" w:customStyle="1" w:styleId="berschrift4Zchn">
    <w:name w:val="Überschrift 4 Zchn"/>
    <w:basedOn w:val="Absatz-Standardschriftart"/>
    <w:link w:val="berschrift4"/>
    <w:rsid w:val="00CA026E"/>
    <w:rPr>
      <w:rFonts w:ascii="Calibri" w:eastAsia="Calibri" w:hAnsi="Calibri" w:cs="Calibri"/>
      <w:b/>
      <w:sz w:val="24"/>
      <w:szCs w:val="24"/>
      <w:lang w:val="en-US" w:eastAsia="de-DE"/>
    </w:rPr>
  </w:style>
  <w:style w:type="character" w:customStyle="1" w:styleId="berschrift5Zchn">
    <w:name w:val="Überschrift 5 Zchn"/>
    <w:basedOn w:val="Absatz-Standardschriftart"/>
    <w:link w:val="berschrift5"/>
    <w:rsid w:val="00CA026E"/>
    <w:rPr>
      <w:rFonts w:ascii="Calibri" w:eastAsia="Calibri" w:hAnsi="Calibri" w:cs="Calibri"/>
      <w:b/>
      <w:lang w:val="en-US" w:eastAsia="de-DE"/>
    </w:rPr>
  </w:style>
  <w:style w:type="character" w:customStyle="1" w:styleId="berschrift6Zchn">
    <w:name w:val="Überschrift 6 Zchn"/>
    <w:basedOn w:val="Absatz-Standardschriftart"/>
    <w:link w:val="berschrift6"/>
    <w:rsid w:val="00CA026E"/>
    <w:rPr>
      <w:rFonts w:ascii="Calibri" w:eastAsia="Calibri" w:hAnsi="Calibri" w:cs="Calibri"/>
      <w:b/>
      <w:sz w:val="20"/>
      <w:szCs w:val="20"/>
      <w:lang w:val="en-US" w:eastAsia="de-DE"/>
    </w:rPr>
  </w:style>
  <w:style w:type="table" w:customStyle="1" w:styleId="TableNormal1">
    <w:name w:val="Table Normal1"/>
    <w:rsid w:val="00CA026E"/>
    <w:rPr>
      <w:rFonts w:ascii="Calibri" w:eastAsia="Calibri" w:hAnsi="Calibri" w:cs="Calibri"/>
      <w:lang w:val="en-US" w:eastAsia="de-DE"/>
    </w:rPr>
    <w:tblPr>
      <w:tblCellMar>
        <w:top w:w="0" w:type="dxa"/>
        <w:left w:w="0" w:type="dxa"/>
        <w:bottom w:w="0" w:type="dxa"/>
        <w:right w:w="0" w:type="dxa"/>
      </w:tblCellMar>
    </w:tblPr>
  </w:style>
  <w:style w:type="paragraph" w:styleId="Titel">
    <w:name w:val="Title"/>
    <w:basedOn w:val="Standard"/>
    <w:next w:val="Standard"/>
    <w:link w:val="TitelZchn"/>
    <w:rsid w:val="00CA026E"/>
    <w:pPr>
      <w:keepNext/>
      <w:keepLines/>
      <w:spacing w:before="480" w:after="120"/>
    </w:pPr>
    <w:rPr>
      <w:rFonts w:ascii="Calibri" w:eastAsia="Calibri" w:hAnsi="Calibri" w:cs="Calibri"/>
      <w:b/>
      <w:sz w:val="72"/>
      <w:szCs w:val="72"/>
      <w:lang w:val="en-US" w:eastAsia="de-DE"/>
    </w:rPr>
  </w:style>
  <w:style w:type="character" w:customStyle="1" w:styleId="TitelZchn">
    <w:name w:val="Titel Zchn"/>
    <w:basedOn w:val="Absatz-Standardschriftart"/>
    <w:link w:val="Titel"/>
    <w:rsid w:val="00CA026E"/>
    <w:rPr>
      <w:rFonts w:ascii="Calibri" w:eastAsia="Calibri" w:hAnsi="Calibri" w:cs="Calibri"/>
      <w:b/>
      <w:sz w:val="72"/>
      <w:szCs w:val="72"/>
      <w:lang w:val="en-US" w:eastAsia="de-DE"/>
    </w:rPr>
  </w:style>
  <w:style w:type="paragraph" w:styleId="Untertitel">
    <w:name w:val="Subtitle"/>
    <w:basedOn w:val="Standard"/>
    <w:next w:val="Standard"/>
    <w:link w:val="UntertitelZchn"/>
    <w:rsid w:val="00CA026E"/>
    <w:pPr>
      <w:keepNext/>
      <w:keepLines/>
      <w:spacing w:before="360" w:after="80"/>
    </w:pPr>
    <w:rPr>
      <w:rFonts w:ascii="Georgia" w:eastAsia="Georgia" w:hAnsi="Georgia" w:cs="Georgia"/>
      <w:i/>
      <w:color w:val="666666"/>
      <w:sz w:val="48"/>
      <w:szCs w:val="48"/>
      <w:lang w:val="en-US" w:eastAsia="de-DE"/>
    </w:rPr>
  </w:style>
  <w:style w:type="character" w:customStyle="1" w:styleId="UntertitelZchn">
    <w:name w:val="Untertitel Zchn"/>
    <w:basedOn w:val="Absatz-Standardschriftart"/>
    <w:link w:val="Untertitel"/>
    <w:rsid w:val="00CA026E"/>
    <w:rPr>
      <w:rFonts w:ascii="Georgia" w:eastAsia="Georgia" w:hAnsi="Georgia" w:cs="Georgia"/>
      <w:i/>
      <w:color w:val="666666"/>
      <w:sz w:val="48"/>
      <w:szCs w:val="48"/>
      <w:lang w:val="en-US" w:eastAsia="de-DE"/>
    </w:rPr>
  </w:style>
  <w:style w:type="character" w:styleId="Zeilennummer">
    <w:name w:val="line number"/>
    <w:basedOn w:val="Absatz-Standardschriftart"/>
    <w:uiPriority w:val="99"/>
    <w:semiHidden/>
    <w:unhideWhenUsed/>
    <w:rsid w:val="00CA026E"/>
  </w:style>
  <w:style w:type="character" w:styleId="Kommentarzeichen">
    <w:name w:val="annotation reference"/>
    <w:basedOn w:val="Absatz-Standardschriftart"/>
    <w:uiPriority w:val="99"/>
    <w:semiHidden/>
    <w:unhideWhenUsed/>
    <w:rsid w:val="00CA026E"/>
    <w:rPr>
      <w:sz w:val="16"/>
      <w:szCs w:val="16"/>
    </w:rPr>
  </w:style>
  <w:style w:type="paragraph" w:styleId="Kommentartext">
    <w:name w:val="annotation text"/>
    <w:basedOn w:val="Standard"/>
    <w:link w:val="KommentartextZchn"/>
    <w:uiPriority w:val="99"/>
    <w:semiHidden/>
    <w:unhideWhenUsed/>
    <w:rsid w:val="00CA026E"/>
    <w:pPr>
      <w:spacing w:line="240" w:lineRule="auto"/>
    </w:pPr>
    <w:rPr>
      <w:rFonts w:ascii="Calibri" w:eastAsia="Calibri" w:hAnsi="Calibri" w:cs="Calibri"/>
      <w:sz w:val="20"/>
      <w:szCs w:val="20"/>
      <w:lang w:val="en-US" w:eastAsia="de-DE"/>
    </w:rPr>
  </w:style>
  <w:style w:type="character" w:customStyle="1" w:styleId="KommentartextZchn">
    <w:name w:val="Kommentartext Zchn"/>
    <w:basedOn w:val="Absatz-Standardschriftart"/>
    <w:link w:val="Kommentartext"/>
    <w:uiPriority w:val="99"/>
    <w:semiHidden/>
    <w:rsid w:val="00CA026E"/>
    <w:rPr>
      <w:rFonts w:ascii="Calibri" w:eastAsia="Calibri" w:hAnsi="Calibri" w:cs="Calibri"/>
      <w:sz w:val="20"/>
      <w:szCs w:val="20"/>
      <w:lang w:val="en-US" w:eastAsia="de-DE"/>
    </w:rPr>
  </w:style>
  <w:style w:type="paragraph" w:styleId="Kommentarthema">
    <w:name w:val="annotation subject"/>
    <w:basedOn w:val="Kommentartext"/>
    <w:next w:val="Kommentartext"/>
    <w:link w:val="KommentarthemaZchn"/>
    <w:uiPriority w:val="99"/>
    <w:semiHidden/>
    <w:unhideWhenUsed/>
    <w:rsid w:val="00CA026E"/>
    <w:rPr>
      <w:b/>
      <w:bCs/>
    </w:rPr>
  </w:style>
  <w:style w:type="character" w:customStyle="1" w:styleId="KommentarthemaZchn">
    <w:name w:val="Kommentarthema Zchn"/>
    <w:basedOn w:val="KommentartextZchn"/>
    <w:link w:val="Kommentarthema"/>
    <w:uiPriority w:val="99"/>
    <w:semiHidden/>
    <w:rsid w:val="00CA026E"/>
    <w:rPr>
      <w:rFonts w:ascii="Calibri" w:eastAsia="Calibri" w:hAnsi="Calibri" w:cs="Calibri"/>
      <w:b/>
      <w:bCs/>
      <w:sz w:val="20"/>
      <w:szCs w:val="20"/>
      <w:lang w:val="en-US" w:eastAsia="de-DE"/>
    </w:rPr>
  </w:style>
  <w:style w:type="paragraph" w:styleId="Sprechblasentext">
    <w:name w:val="Balloon Text"/>
    <w:basedOn w:val="Standard"/>
    <w:link w:val="SprechblasentextZchn"/>
    <w:uiPriority w:val="99"/>
    <w:semiHidden/>
    <w:unhideWhenUsed/>
    <w:rsid w:val="00CA026E"/>
    <w:pPr>
      <w:spacing w:after="0" w:line="240" w:lineRule="auto"/>
    </w:pPr>
    <w:rPr>
      <w:rFonts w:ascii="Segoe UI" w:eastAsia="Calibri" w:hAnsi="Segoe UI" w:cs="Segoe UI"/>
      <w:sz w:val="18"/>
      <w:szCs w:val="18"/>
      <w:lang w:val="en-US" w:eastAsia="de-DE"/>
    </w:rPr>
  </w:style>
  <w:style w:type="character" w:customStyle="1" w:styleId="SprechblasentextZchn">
    <w:name w:val="Sprechblasentext Zchn"/>
    <w:basedOn w:val="Absatz-Standardschriftart"/>
    <w:link w:val="Sprechblasentext"/>
    <w:uiPriority w:val="99"/>
    <w:semiHidden/>
    <w:rsid w:val="00CA026E"/>
    <w:rPr>
      <w:rFonts w:ascii="Segoe UI" w:eastAsia="Calibri" w:hAnsi="Segoe UI" w:cs="Segoe UI"/>
      <w:sz w:val="18"/>
      <w:szCs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oA8C2P/YVxL" TargetMode="External"/><Relationship Id="rId18" Type="http://schemas.openxmlformats.org/officeDocument/2006/relationships/hyperlink" Target="https://paperpile.com/c/oA8C2P/AbpWG" TargetMode="External"/><Relationship Id="rId26" Type="http://schemas.openxmlformats.org/officeDocument/2006/relationships/image" Target="media/image4.png"/><Relationship Id="rId39" Type="http://schemas.openxmlformats.org/officeDocument/2006/relationships/hyperlink" Target="http://paperpile.com/b/oA8C2P/iHbv" TargetMode="External"/><Relationship Id="rId21" Type="http://schemas.openxmlformats.org/officeDocument/2006/relationships/hyperlink" Target="https://paperpile.com/c/oA8C2P/Wy2e" TargetMode="External"/><Relationship Id="rId34" Type="http://schemas.openxmlformats.org/officeDocument/2006/relationships/image" Target="media/image12.png"/><Relationship Id="rId42" Type="http://schemas.openxmlformats.org/officeDocument/2006/relationships/hyperlink" Target="http://paperpile.com/b/oA8C2P/kNDMb" TargetMode="External"/><Relationship Id="rId47" Type="http://schemas.openxmlformats.org/officeDocument/2006/relationships/hyperlink" Target="http://paperpile.com/b/oA8C2P/7xG8" TargetMode="External"/><Relationship Id="rId50" Type="http://schemas.openxmlformats.org/officeDocument/2006/relationships/hyperlink" Target="http://dx.doi.org/10.2807/1560-7917.ES.2020.25.3.2000045" TargetMode="External"/><Relationship Id="rId55" Type="http://schemas.openxmlformats.org/officeDocument/2006/relationships/hyperlink" Target="http://paperpile.com/b/oA8C2P/Wy2e" TargetMode="External"/><Relationship Id="rId7" Type="http://schemas.openxmlformats.org/officeDocument/2006/relationships/hyperlink" Target="https://paperpile.com/c/oA8C2P/tymG" TargetMode="External"/><Relationship Id="rId12" Type="http://schemas.openxmlformats.org/officeDocument/2006/relationships/hyperlink" Target="https://paperpile.com/c/oA8C2P/a1Ej" TargetMode="External"/><Relationship Id="rId17" Type="http://schemas.openxmlformats.org/officeDocument/2006/relationships/hyperlink" Target="https://paperpile.com/c/oA8C2P/kNDMb+7xG8"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dx.doi.org/10.1093/bioinformatics/bts635" TargetMode="External"/><Relationship Id="rId46" Type="http://schemas.openxmlformats.org/officeDocument/2006/relationships/hyperlink" Target="http://paperpile.com/b/oA8C2P/7xG8"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aperpile.com/c/oA8C2P/1Cfwn" TargetMode="External"/><Relationship Id="rId20" Type="http://schemas.openxmlformats.org/officeDocument/2006/relationships/hyperlink" Target="https://paperpile.com/c/oA8C2P/AbpWG" TargetMode="External"/><Relationship Id="rId29" Type="http://schemas.openxmlformats.org/officeDocument/2006/relationships/image" Target="media/image7.png"/><Relationship Id="rId41" Type="http://schemas.openxmlformats.org/officeDocument/2006/relationships/hyperlink" Target="http://paperpile.com/b/oA8C2P/kNDMb" TargetMode="External"/><Relationship Id="rId54" Type="http://schemas.openxmlformats.org/officeDocument/2006/relationships/hyperlink" Target="http://dx.doi.org/10.1126/science.abi5273" TargetMode="External"/><Relationship Id="rId1" Type="http://schemas.openxmlformats.org/officeDocument/2006/relationships/styles" Target="styles.xml"/><Relationship Id="rId6" Type="http://schemas.openxmlformats.org/officeDocument/2006/relationships/hyperlink" Target="https://paperpile.com/c/oA8C2P/Tldj" TargetMode="External"/><Relationship Id="rId11" Type="http://schemas.openxmlformats.org/officeDocument/2006/relationships/hyperlink" Target="https://paperpile.com/c/oA8C2P/YVxL"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paperpile.com/b/oA8C2P/tymG" TargetMode="External"/><Relationship Id="rId40" Type="http://schemas.openxmlformats.org/officeDocument/2006/relationships/hyperlink" Target="http://dx.doi.org/10.1016/j.cell.2021.04.048" TargetMode="External"/><Relationship Id="rId45" Type="http://schemas.openxmlformats.org/officeDocument/2006/relationships/hyperlink" Target="http://paperpile.com/b/oA8C2P/7xG8" TargetMode="External"/><Relationship Id="rId53" Type="http://schemas.openxmlformats.org/officeDocument/2006/relationships/hyperlink" Target="http://paperpile.com/b/oA8C2P/y3clc" TargetMode="External"/><Relationship Id="rId58" Type="http://schemas.openxmlformats.org/officeDocument/2006/relationships/hyperlink" Target="http://dx.doi.org/10.1371/journal.pbio.3001871" TargetMode="External"/><Relationship Id="rId5" Type="http://schemas.openxmlformats.org/officeDocument/2006/relationships/hyperlink" Target="https://paperpile.com/c/oA8C2P/a1Ej" TargetMode="External"/><Relationship Id="rId15" Type="http://schemas.openxmlformats.org/officeDocument/2006/relationships/hyperlink" Target="https://paperpile.com/c/oA8C2P/iHbv" TargetMode="External"/><Relationship Id="rId23" Type="http://schemas.openxmlformats.org/officeDocument/2006/relationships/hyperlink" Target="https://paperpile.com/c/oA8C2P/PJ28" TargetMode="External"/><Relationship Id="rId28" Type="http://schemas.openxmlformats.org/officeDocument/2006/relationships/image" Target="media/image6.png"/><Relationship Id="rId36" Type="http://schemas.openxmlformats.org/officeDocument/2006/relationships/hyperlink" Target="http://paperpile.com/b/oA8C2P/tymG" TargetMode="External"/><Relationship Id="rId49" Type="http://schemas.openxmlformats.org/officeDocument/2006/relationships/hyperlink" Target="http://paperpile.com/b/oA8C2P/AbpWG" TargetMode="External"/><Relationship Id="rId57" Type="http://schemas.openxmlformats.org/officeDocument/2006/relationships/hyperlink" Target="http://paperpile.com/b/oA8C2P/Wy2e" TargetMode="External"/><Relationship Id="rId10" Type="http://schemas.openxmlformats.org/officeDocument/2006/relationships/hyperlink" Target="https://paperpile.com/c/oA8C2P/iHbv" TargetMode="External"/><Relationship Id="rId19" Type="http://schemas.openxmlformats.org/officeDocument/2006/relationships/hyperlink" Target="https://paperpile.com/c/oA8C2P/y3clc" TargetMode="External"/><Relationship Id="rId31" Type="http://schemas.openxmlformats.org/officeDocument/2006/relationships/image" Target="media/image9.png"/><Relationship Id="rId44" Type="http://schemas.openxmlformats.org/officeDocument/2006/relationships/hyperlink" Target="http://dx.doi.org/10.3201/eid2607.200841" TargetMode="External"/><Relationship Id="rId52" Type="http://schemas.openxmlformats.org/officeDocument/2006/relationships/hyperlink" Target="http://paperpile.com/b/oA8C2P/y3clc" TargetMode="External"/><Relationship Id="rId60" Type="http://schemas.openxmlformats.org/officeDocument/2006/relationships/theme" Target="theme/theme1.xml"/><Relationship Id="rId4" Type="http://schemas.openxmlformats.org/officeDocument/2006/relationships/hyperlink" Target="https://paperpile.com/c/oA8C2P/Tldj" TargetMode="External"/><Relationship Id="rId9" Type="http://schemas.openxmlformats.org/officeDocument/2006/relationships/hyperlink" Target="https://paperpile.com/c/oA8C2P/Tldj" TargetMode="External"/><Relationship Id="rId14" Type="http://schemas.openxmlformats.org/officeDocument/2006/relationships/hyperlink" Target="https://paperpile.com/c/oA8C2P/Tldj"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paperpile.com/b/oA8C2P/tymG" TargetMode="External"/><Relationship Id="rId43" Type="http://schemas.openxmlformats.org/officeDocument/2006/relationships/hyperlink" Target="http://paperpile.com/b/oA8C2P/kNDMb" TargetMode="External"/><Relationship Id="rId48" Type="http://schemas.openxmlformats.org/officeDocument/2006/relationships/hyperlink" Target="http://dx.doi.org/10.1016/j.cmi.2021.06.008" TargetMode="External"/><Relationship Id="rId56" Type="http://schemas.openxmlformats.org/officeDocument/2006/relationships/hyperlink" Target="http://paperpile.com/b/oA8C2P/Wy2e" TargetMode="External"/><Relationship Id="rId8" Type="http://schemas.openxmlformats.org/officeDocument/2006/relationships/hyperlink" Target="https://github.com/broadinstitute/Drop-seq/" TargetMode="External"/><Relationship Id="rId51" Type="http://schemas.openxmlformats.org/officeDocument/2006/relationships/hyperlink" Target="http://paperpile.com/b/oA8C2P/y3clc"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3688</Words>
  <Characters>23238</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DURGA P</dc:creator>
  <cp:keywords/>
  <dc:description/>
  <cp:lastModifiedBy>Bosquillon de Jarcy, Laure</cp:lastModifiedBy>
  <cp:revision>2</cp:revision>
  <dcterms:created xsi:type="dcterms:W3CDTF">2023-05-08T12:29:00Z</dcterms:created>
  <dcterms:modified xsi:type="dcterms:W3CDTF">2023-05-08T12:29:00Z</dcterms:modified>
</cp:coreProperties>
</file>