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2BDF" w14:textId="3A173753" w:rsidR="00B16F99" w:rsidRPr="004A087F" w:rsidRDefault="00B16F99" w:rsidP="0072155D">
      <w:pPr>
        <w:spacing w:line="276" w:lineRule="auto"/>
        <w:rPr>
          <w:rFonts w:ascii="Arial" w:hAnsi="Arial" w:cs="Arial"/>
          <w:b/>
          <w:color w:val="000000" w:themeColor="text1"/>
          <w:sz w:val="22"/>
          <w:szCs w:val="22"/>
        </w:rPr>
      </w:pPr>
      <w:r w:rsidRPr="004A087F">
        <w:rPr>
          <w:rFonts w:ascii="Arial" w:hAnsi="Arial" w:cs="Arial"/>
          <w:b/>
          <w:color w:val="000000" w:themeColor="text1"/>
          <w:sz w:val="22"/>
          <w:szCs w:val="22"/>
        </w:rPr>
        <w:t>Supp</w:t>
      </w:r>
      <w:r w:rsidR="00B73A1C" w:rsidRPr="004A087F">
        <w:rPr>
          <w:rFonts w:ascii="Arial" w:hAnsi="Arial" w:cs="Arial"/>
          <w:b/>
          <w:color w:val="000000" w:themeColor="text1"/>
          <w:sz w:val="22"/>
          <w:szCs w:val="22"/>
        </w:rPr>
        <w:t>orting</w:t>
      </w:r>
      <w:r w:rsidRPr="004A087F">
        <w:rPr>
          <w:rFonts w:ascii="Arial" w:hAnsi="Arial" w:cs="Arial"/>
          <w:b/>
          <w:color w:val="000000" w:themeColor="text1"/>
          <w:sz w:val="22"/>
          <w:szCs w:val="22"/>
        </w:rPr>
        <w:t xml:space="preserve"> Information for</w:t>
      </w:r>
    </w:p>
    <w:p w14:paraId="07D12E9C" w14:textId="77777777" w:rsidR="00840DE7" w:rsidRPr="004A087F" w:rsidRDefault="00840DE7" w:rsidP="0072155D">
      <w:pPr>
        <w:spacing w:line="276" w:lineRule="auto"/>
        <w:rPr>
          <w:rFonts w:ascii="Arial" w:hAnsi="Arial" w:cs="Arial"/>
          <w:b/>
          <w:color w:val="000000" w:themeColor="text1"/>
          <w:sz w:val="22"/>
          <w:szCs w:val="22"/>
        </w:rPr>
      </w:pPr>
    </w:p>
    <w:p w14:paraId="09372402" w14:textId="77777777" w:rsidR="00126EA6" w:rsidRPr="004A087F" w:rsidRDefault="00126EA6" w:rsidP="0072155D">
      <w:pPr>
        <w:spacing w:line="276" w:lineRule="auto"/>
        <w:rPr>
          <w:rFonts w:ascii="Arial" w:hAnsi="Arial" w:cs="Arial"/>
          <w:color w:val="000000" w:themeColor="text1"/>
          <w:sz w:val="22"/>
          <w:szCs w:val="22"/>
        </w:rPr>
      </w:pPr>
      <w:r w:rsidRPr="004A087F">
        <w:rPr>
          <w:rFonts w:ascii="Arial" w:hAnsi="Arial" w:cs="Arial"/>
          <w:color w:val="000000" w:themeColor="text1"/>
          <w:sz w:val="22"/>
          <w:szCs w:val="22"/>
        </w:rPr>
        <w:t>Kinin receptors regulate skeletal muscle regeneration: differential effects for B1 and B2 receptors.</w:t>
      </w:r>
    </w:p>
    <w:p w14:paraId="315CEEE0" w14:textId="77777777" w:rsidR="00C57DAA" w:rsidRPr="004A087F" w:rsidRDefault="00C57DAA" w:rsidP="0072155D">
      <w:pPr>
        <w:spacing w:line="276" w:lineRule="auto"/>
        <w:rPr>
          <w:rFonts w:ascii="Arial" w:hAnsi="Arial" w:cs="Arial"/>
          <w:color w:val="000000" w:themeColor="text1"/>
          <w:sz w:val="22"/>
          <w:szCs w:val="22"/>
        </w:rPr>
      </w:pPr>
    </w:p>
    <w:p w14:paraId="236D0CDD" w14:textId="77777777" w:rsidR="00126EA6" w:rsidRPr="004A087F" w:rsidRDefault="00126EA6" w:rsidP="0072155D">
      <w:pPr>
        <w:spacing w:line="276" w:lineRule="auto"/>
        <w:rPr>
          <w:rFonts w:ascii="Arial" w:hAnsi="Arial" w:cs="Arial"/>
          <w:color w:val="000000" w:themeColor="text1"/>
          <w:sz w:val="22"/>
          <w:szCs w:val="22"/>
          <w:lang w:val="pt-BR"/>
        </w:rPr>
      </w:pPr>
      <w:r w:rsidRPr="004A087F">
        <w:rPr>
          <w:rFonts w:ascii="Arial" w:hAnsi="Arial" w:cs="Arial"/>
          <w:color w:val="000000" w:themeColor="text1"/>
          <w:sz w:val="22"/>
          <w:szCs w:val="22"/>
          <w:lang w:val="pt-BR"/>
        </w:rPr>
        <w:t>Leonardo Martins</w:t>
      </w:r>
      <w:r w:rsidRPr="004A087F">
        <w:rPr>
          <w:rFonts w:ascii="Arial" w:hAnsi="Arial" w:cs="Arial"/>
          <w:color w:val="000000" w:themeColor="text1"/>
          <w:sz w:val="22"/>
          <w:szCs w:val="22"/>
          <w:vertAlign w:val="superscript"/>
          <w:lang w:val="pt-BR"/>
        </w:rPr>
        <w:t>1,2,3*</w:t>
      </w:r>
      <w:r w:rsidRPr="004A087F">
        <w:rPr>
          <w:rFonts w:ascii="Arial" w:hAnsi="Arial" w:cs="Arial"/>
          <w:color w:val="000000" w:themeColor="text1"/>
          <w:sz w:val="22"/>
          <w:szCs w:val="22"/>
          <w:lang w:val="pt-BR"/>
        </w:rPr>
        <w:t>; Weslley Wallace Amorim</w:t>
      </w:r>
      <w:r w:rsidRPr="004A087F">
        <w:rPr>
          <w:rFonts w:ascii="Arial" w:hAnsi="Arial" w:cs="Arial"/>
          <w:color w:val="000000" w:themeColor="text1"/>
          <w:sz w:val="22"/>
          <w:szCs w:val="22"/>
          <w:vertAlign w:val="superscript"/>
          <w:lang w:val="pt-BR"/>
        </w:rPr>
        <w:t>2</w:t>
      </w:r>
      <w:r w:rsidRPr="004A087F">
        <w:rPr>
          <w:rFonts w:ascii="Arial" w:hAnsi="Arial" w:cs="Arial"/>
          <w:color w:val="000000" w:themeColor="text1"/>
          <w:sz w:val="22"/>
          <w:szCs w:val="22"/>
          <w:lang w:val="pt-BR"/>
        </w:rPr>
        <w:t>; Marcos Fernandes Gregnani</w:t>
      </w:r>
      <w:r w:rsidRPr="004A087F">
        <w:rPr>
          <w:rFonts w:ascii="Arial" w:hAnsi="Arial" w:cs="Arial"/>
          <w:color w:val="000000" w:themeColor="text1"/>
          <w:sz w:val="22"/>
          <w:szCs w:val="22"/>
          <w:vertAlign w:val="superscript"/>
          <w:lang w:val="pt-BR"/>
        </w:rPr>
        <w:t>4</w:t>
      </w:r>
      <w:r w:rsidRPr="004A087F">
        <w:rPr>
          <w:rFonts w:ascii="Arial" w:hAnsi="Arial" w:cs="Arial"/>
          <w:color w:val="000000" w:themeColor="text1"/>
          <w:sz w:val="22"/>
          <w:szCs w:val="22"/>
          <w:lang w:val="pt-BR"/>
        </w:rPr>
        <w:t>; Ronaldo de Carvalho Araújo</w:t>
      </w:r>
      <w:r w:rsidRPr="004A087F">
        <w:rPr>
          <w:rFonts w:ascii="Arial" w:hAnsi="Arial" w:cs="Arial"/>
          <w:color w:val="000000" w:themeColor="text1"/>
          <w:sz w:val="22"/>
          <w:szCs w:val="22"/>
          <w:vertAlign w:val="superscript"/>
          <w:lang w:val="pt-BR"/>
        </w:rPr>
        <w:t>4</w:t>
      </w:r>
      <w:r w:rsidRPr="004A087F">
        <w:rPr>
          <w:rFonts w:ascii="Arial" w:hAnsi="Arial" w:cs="Arial"/>
          <w:color w:val="000000" w:themeColor="text1"/>
          <w:sz w:val="22"/>
          <w:szCs w:val="22"/>
          <w:lang w:val="pt-BR"/>
        </w:rPr>
        <w:t xml:space="preserve">; </w:t>
      </w:r>
      <w:proofErr w:type="spellStart"/>
      <w:r w:rsidRPr="004A087F">
        <w:rPr>
          <w:rFonts w:ascii="Arial" w:hAnsi="Arial" w:cs="Arial"/>
          <w:color w:val="000000" w:themeColor="text1"/>
          <w:sz w:val="22"/>
          <w:szCs w:val="22"/>
          <w:lang w:val="pt-BR"/>
        </w:rPr>
        <w:t>Fatimunnisa</w:t>
      </w:r>
      <w:proofErr w:type="spellEnd"/>
      <w:r w:rsidRPr="004A087F">
        <w:rPr>
          <w:rFonts w:ascii="Arial" w:hAnsi="Arial" w:cs="Arial"/>
          <w:color w:val="000000" w:themeColor="text1"/>
          <w:sz w:val="22"/>
          <w:szCs w:val="22"/>
          <w:lang w:val="pt-BR"/>
        </w:rPr>
        <w:t xml:space="preserve"> Qadri</w:t>
      </w:r>
      <w:r w:rsidRPr="004A087F">
        <w:rPr>
          <w:rFonts w:ascii="Arial" w:hAnsi="Arial" w:cs="Arial"/>
          <w:color w:val="000000" w:themeColor="text1"/>
          <w:sz w:val="22"/>
          <w:szCs w:val="22"/>
          <w:vertAlign w:val="superscript"/>
          <w:lang w:val="pt-BR"/>
        </w:rPr>
        <w:t>5</w:t>
      </w:r>
      <w:r w:rsidRPr="004A087F">
        <w:rPr>
          <w:rFonts w:ascii="Arial" w:hAnsi="Arial" w:cs="Arial"/>
          <w:color w:val="000000" w:themeColor="text1"/>
          <w:sz w:val="22"/>
          <w:szCs w:val="22"/>
          <w:lang w:val="pt-BR"/>
        </w:rPr>
        <w:t>; Michael Bader</w:t>
      </w:r>
      <w:r w:rsidRPr="004A087F">
        <w:rPr>
          <w:rFonts w:ascii="Arial" w:hAnsi="Arial" w:cs="Arial"/>
          <w:color w:val="000000" w:themeColor="text1"/>
          <w:sz w:val="22"/>
          <w:szCs w:val="22"/>
          <w:vertAlign w:val="superscript"/>
          <w:lang w:val="pt-BR"/>
        </w:rPr>
        <w:t>5,6,7,8</w:t>
      </w:r>
      <w:r w:rsidRPr="004A087F">
        <w:rPr>
          <w:rFonts w:ascii="Arial" w:hAnsi="Arial" w:cs="Arial"/>
          <w:color w:val="000000" w:themeColor="text1"/>
          <w:sz w:val="22"/>
          <w:szCs w:val="22"/>
          <w:lang w:val="pt-BR"/>
        </w:rPr>
        <w:t>; João Bosco Pesquero</w:t>
      </w:r>
      <w:r w:rsidRPr="004A087F">
        <w:rPr>
          <w:rFonts w:ascii="Arial" w:hAnsi="Arial" w:cs="Arial"/>
          <w:color w:val="000000" w:themeColor="text1"/>
          <w:sz w:val="22"/>
          <w:szCs w:val="22"/>
          <w:vertAlign w:val="superscript"/>
          <w:lang w:val="pt-BR"/>
        </w:rPr>
        <w:t>2,9*</w:t>
      </w:r>
      <w:r w:rsidRPr="004A087F">
        <w:rPr>
          <w:rFonts w:ascii="Arial" w:hAnsi="Arial" w:cs="Arial"/>
          <w:color w:val="000000" w:themeColor="text1"/>
          <w:sz w:val="22"/>
          <w:szCs w:val="22"/>
          <w:lang w:val="pt-BR"/>
        </w:rPr>
        <w:br/>
      </w:r>
    </w:p>
    <w:p w14:paraId="29932D3D" w14:textId="77777777" w:rsidR="00126EA6" w:rsidRPr="004A087F" w:rsidRDefault="00126EA6" w:rsidP="0072155D">
      <w:pPr>
        <w:spacing w:line="276" w:lineRule="auto"/>
        <w:rPr>
          <w:rFonts w:ascii="Arial" w:hAnsi="Arial" w:cs="Arial"/>
          <w:color w:val="000000" w:themeColor="text1"/>
          <w:sz w:val="22"/>
          <w:szCs w:val="22"/>
        </w:rPr>
      </w:pPr>
      <w:r w:rsidRPr="004A087F">
        <w:rPr>
          <w:rFonts w:ascii="Arial" w:hAnsi="Arial" w:cs="Arial"/>
          <w:color w:val="000000" w:themeColor="text1"/>
          <w:sz w:val="22"/>
          <w:szCs w:val="22"/>
          <w:vertAlign w:val="superscript"/>
        </w:rPr>
        <w:t>1</w:t>
      </w:r>
      <w:r w:rsidRPr="004A087F">
        <w:rPr>
          <w:rFonts w:ascii="Arial" w:hAnsi="Arial" w:cs="Arial"/>
          <w:color w:val="000000" w:themeColor="text1"/>
          <w:sz w:val="22"/>
          <w:szCs w:val="22"/>
        </w:rPr>
        <w:t xml:space="preserve">Division of Medical Sciences, Institute of Medical Biology of Polish Academy of Sciences (IMB-PAN), 3a </w:t>
      </w:r>
      <w:proofErr w:type="spellStart"/>
      <w:r w:rsidRPr="004A087F">
        <w:rPr>
          <w:rFonts w:ascii="Arial" w:hAnsi="Arial" w:cs="Arial"/>
          <w:color w:val="000000" w:themeColor="text1"/>
          <w:sz w:val="22"/>
          <w:szCs w:val="22"/>
        </w:rPr>
        <w:t>Tylna</w:t>
      </w:r>
      <w:proofErr w:type="spellEnd"/>
      <w:r w:rsidRPr="004A087F">
        <w:rPr>
          <w:rFonts w:ascii="Arial" w:hAnsi="Arial" w:cs="Arial"/>
          <w:color w:val="000000" w:themeColor="text1"/>
          <w:sz w:val="22"/>
          <w:szCs w:val="22"/>
        </w:rPr>
        <w:t xml:space="preserve"> St., 90-364, </w:t>
      </w:r>
      <w:proofErr w:type="spellStart"/>
      <w:r w:rsidRPr="004A087F">
        <w:rPr>
          <w:rFonts w:ascii="Arial" w:hAnsi="Arial" w:cs="Arial"/>
          <w:color w:val="000000" w:themeColor="text1"/>
          <w:sz w:val="22"/>
          <w:szCs w:val="22"/>
        </w:rPr>
        <w:t>Łódź</w:t>
      </w:r>
      <w:proofErr w:type="spellEnd"/>
      <w:r w:rsidRPr="004A087F">
        <w:rPr>
          <w:rFonts w:ascii="Arial" w:hAnsi="Arial" w:cs="Arial"/>
          <w:color w:val="000000" w:themeColor="text1"/>
          <w:sz w:val="22"/>
          <w:szCs w:val="22"/>
        </w:rPr>
        <w:t>, Poland.</w:t>
      </w:r>
      <w:r w:rsidRPr="004A087F">
        <w:rPr>
          <w:rFonts w:ascii="Arial" w:hAnsi="Arial" w:cs="Arial"/>
          <w:color w:val="000000" w:themeColor="text1"/>
          <w:sz w:val="22"/>
          <w:szCs w:val="22"/>
        </w:rPr>
        <w:br/>
      </w:r>
      <w:r w:rsidRPr="004A087F">
        <w:rPr>
          <w:rFonts w:ascii="Arial" w:hAnsi="Arial" w:cs="Arial"/>
          <w:color w:val="000000" w:themeColor="text1"/>
          <w:sz w:val="22"/>
          <w:szCs w:val="22"/>
          <w:vertAlign w:val="superscript"/>
        </w:rPr>
        <w:t>2</w:t>
      </w:r>
      <w:r w:rsidRPr="004A087F">
        <w:rPr>
          <w:rFonts w:ascii="Arial" w:hAnsi="Arial" w:cs="Arial"/>
          <w:color w:val="000000" w:themeColor="text1"/>
          <w:sz w:val="22"/>
          <w:szCs w:val="22"/>
        </w:rPr>
        <w:t>Center for Research and Molecular Diagnosis of Genetic Diseases, Federal University of São Paulo, Rua Pedro de Toledo 669, 9th floor, 04039032, São Paulo, Brazil.</w:t>
      </w:r>
    </w:p>
    <w:p w14:paraId="0E3B446C" w14:textId="77777777" w:rsidR="00126EA6" w:rsidRPr="004A087F" w:rsidRDefault="00126EA6" w:rsidP="0072155D">
      <w:pPr>
        <w:spacing w:line="276" w:lineRule="auto"/>
        <w:rPr>
          <w:rFonts w:ascii="Arial" w:hAnsi="Arial" w:cs="Arial"/>
          <w:color w:val="000000" w:themeColor="text1"/>
          <w:sz w:val="22"/>
          <w:szCs w:val="22"/>
        </w:rPr>
      </w:pPr>
      <w:r w:rsidRPr="004A087F">
        <w:rPr>
          <w:rFonts w:ascii="Arial" w:hAnsi="Arial" w:cs="Arial"/>
          <w:color w:val="000000" w:themeColor="text1"/>
          <w:sz w:val="22"/>
          <w:szCs w:val="22"/>
          <w:vertAlign w:val="superscript"/>
        </w:rPr>
        <w:t>3</w:t>
      </w:r>
      <w:r w:rsidRPr="004A087F">
        <w:rPr>
          <w:rFonts w:ascii="Arial" w:hAnsi="Arial" w:cs="Arial"/>
          <w:color w:val="000000" w:themeColor="text1"/>
          <w:sz w:val="22"/>
          <w:szCs w:val="22"/>
        </w:rPr>
        <w:t xml:space="preserve">Department of Biochemistry and Molecular Biology, Federal University of São Paulo, Rua </w:t>
      </w:r>
      <w:proofErr w:type="spellStart"/>
      <w:r w:rsidRPr="004A087F">
        <w:rPr>
          <w:rFonts w:ascii="Arial" w:hAnsi="Arial" w:cs="Arial"/>
          <w:color w:val="000000" w:themeColor="text1"/>
          <w:sz w:val="22"/>
          <w:szCs w:val="22"/>
        </w:rPr>
        <w:t>Três</w:t>
      </w:r>
      <w:proofErr w:type="spellEnd"/>
      <w:r w:rsidRPr="004A087F">
        <w:rPr>
          <w:rFonts w:ascii="Arial" w:hAnsi="Arial" w:cs="Arial"/>
          <w:color w:val="000000" w:themeColor="text1"/>
          <w:sz w:val="22"/>
          <w:szCs w:val="22"/>
        </w:rPr>
        <w:t xml:space="preserve"> de Maio 100, 4th floor, 04044-020, São Paulo, Brazil.</w:t>
      </w:r>
      <w:r w:rsidRPr="004A087F">
        <w:rPr>
          <w:rFonts w:ascii="Arial" w:hAnsi="Arial" w:cs="Arial"/>
          <w:color w:val="000000" w:themeColor="text1"/>
          <w:sz w:val="22"/>
          <w:szCs w:val="22"/>
        </w:rPr>
        <w:br/>
      </w:r>
      <w:r w:rsidRPr="004A087F">
        <w:rPr>
          <w:rFonts w:ascii="Arial" w:hAnsi="Arial" w:cs="Arial"/>
          <w:color w:val="000000" w:themeColor="text1"/>
          <w:sz w:val="22"/>
          <w:szCs w:val="22"/>
          <w:vertAlign w:val="superscript"/>
        </w:rPr>
        <w:t>4</w:t>
      </w:r>
      <w:r w:rsidRPr="004A087F">
        <w:rPr>
          <w:rFonts w:ascii="Arial" w:hAnsi="Arial" w:cs="Arial"/>
          <w:color w:val="000000" w:themeColor="text1"/>
          <w:sz w:val="22"/>
          <w:szCs w:val="22"/>
        </w:rPr>
        <w:t>Laboratory of Exercise Genetics and Metabolism, Federal University of São Paulo, Rua Pedro de Toledo 669, 9th floor, 04039032, São Paulo, Brazil. </w:t>
      </w:r>
    </w:p>
    <w:p w14:paraId="12BC8CBF" w14:textId="77777777" w:rsidR="00126EA6" w:rsidRPr="00F245AD" w:rsidRDefault="00126EA6" w:rsidP="0072155D">
      <w:pPr>
        <w:spacing w:line="276" w:lineRule="auto"/>
        <w:rPr>
          <w:rFonts w:ascii="Arial" w:hAnsi="Arial" w:cs="Arial"/>
          <w:color w:val="000000" w:themeColor="text1"/>
          <w:sz w:val="22"/>
          <w:szCs w:val="22"/>
        </w:rPr>
      </w:pPr>
      <w:r w:rsidRPr="004A087F">
        <w:rPr>
          <w:rFonts w:ascii="Arial" w:hAnsi="Arial" w:cs="Arial"/>
          <w:color w:val="000000" w:themeColor="text1"/>
          <w:sz w:val="22"/>
          <w:szCs w:val="22"/>
          <w:vertAlign w:val="superscript"/>
        </w:rPr>
        <w:t>5</w:t>
      </w:r>
      <w:r w:rsidRPr="004A087F">
        <w:rPr>
          <w:rFonts w:ascii="Arial" w:hAnsi="Arial" w:cs="Arial"/>
          <w:color w:val="000000" w:themeColor="text1"/>
          <w:sz w:val="22"/>
          <w:szCs w:val="22"/>
        </w:rPr>
        <w:t>Max-Delbrück Center for Molecular Medicine (MDC), Robert-</w:t>
      </w:r>
      <w:proofErr w:type="spellStart"/>
      <w:r w:rsidRPr="004A087F">
        <w:rPr>
          <w:rFonts w:ascii="Arial" w:hAnsi="Arial" w:cs="Arial"/>
          <w:color w:val="000000" w:themeColor="text1"/>
          <w:sz w:val="22"/>
          <w:szCs w:val="22"/>
        </w:rPr>
        <w:t>Rössle</w:t>
      </w:r>
      <w:proofErr w:type="spellEnd"/>
      <w:r w:rsidRPr="004A087F">
        <w:rPr>
          <w:rFonts w:ascii="Arial" w:hAnsi="Arial" w:cs="Arial"/>
          <w:color w:val="000000" w:themeColor="text1"/>
          <w:sz w:val="22"/>
          <w:szCs w:val="22"/>
        </w:rPr>
        <w:t>-Str. 10, 13125, Berlin, Germany.</w:t>
      </w:r>
      <w:r w:rsidRPr="004A087F">
        <w:rPr>
          <w:rFonts w:ascii="Arial" w:hAnsi="Arial" w:cs="Arial"/>
          <w:color w:val="000000" w:themeColor="text1"/>
          <w:sz w:val="22"/>
          <w:szCs w:val="22"/>
        </w:rPr>
        <w:br/>
      </w:r>
      <w:r w:rsidRPr="004A087F">
        <w:rPr>
          <w:rFonts w:ascii="Arial" w:hAnsi="Arial" w:cs="Arial"/>
          <w:color w:val="000000" w:themeColor="text1"/>
          <w:sz w:val="22"/>
          <w:szCs w:val="22"/>
          <w:vertAlign w:val="superscript"/>
        </w:rPr>
        <w:t>6</w:t>
      </w:r>
      <w:r w:rsidRPr="004A087F">
        <w:rPr>
          <w:rFonts w:ascii="Arial" w:hAnsi="Arial" w:cs="Arial"/>
          <w:color w:val="000000" w:themeColor="text1"/>
          <w:sz w:val="22"/>
          <w:szCs w:val="22"/>
        </w:rPr>
        <w:t xml:space="preserve">Institute for Biology, University of Lübeck, </w:t>
      </w:r>
      <w:proofErr w:type="spellStart"/>
      <w:r w:rsidRPr="004A087F">
        <w:rPr>
          <w:rFonts w:ascii="Arial" w:hAnsi="Arial" w:cs="Arial"/>
          <w:color w:val="000000" w:themeColor="text1"/>
          <w:sz w:val="22"/>
          <w:szCs w:val="22"/>
        </w:rPr>
        <w:t>Ratzeburger</w:t>
      </w:r>
      <w:proofErr w:type="spellEnd"/>
      <w:r w:rsidRPr="004A087F">
        <w:rPr>
          <w:rFonts w:ascii="Arial" w:hAnsi="Arial" w:cs="Arial"/>
          <w:color w:val="000000" w:themeColor="text1"/>
          <w:sz w:val="22"/>
          <w:szCs w:val="22"/>
        </w:rPr>
        <w:t xml:space="preserve"> Allee 160, 23562, Lübeck, Germany.</w:t>
      </w:r>
      <w:r w:rsidRPr="004A087F">
        <w:rPr>
          <w:rFonts w:ascii="Arial" w:hAnsi="Arial" w:cs="Arial"/>
          <w:color w:val="000000" w:themeColor="text1"/>
          <w:sz w:val="22"/>
          <w:szCs w:val="22"/>
        </w:rPr>
        <w:br/>
      </w:r>
      <w:r w:rsidRPr="004A087F">
        <w:rPr>
          <w:rFonts w:ascii="Arial" w:hAnsi="Arial" w:cs="Arial"/>
          <w:color w:val="000000" w:themeColor="text1"/>
          <w:sz w:val="22"/>
          <w:szCs w:val="22"/>
          <w:vertAlign w:val="superscript"/>
        </w:rPr>
        <w:t>7</w:t>
      </w:r>
      <w:r w:rsidRPr="004A087F">
        <w:rPr>
          <w:rFonts w:ascii="Arial" w:hAnsi="Arial" w:cs="Arial"/>
          <w:color w:val="000000" w:themeColor="text1"/>
          <w:sz w:val="22"/>
          <w:szCs w:val="22"/>
        </w:rPr>
        <w:t xml:space="preserve">Charité University Medicine Berlin, </w:t>
      </w:r>
      <w:proofErr w:type="spellStart"/>
      <w:r w:rsidRPr="004A087F">
        <w:rPr>
          <w:rFonts w:ascii="Arial" w:hAnsi="Arial" w:cs="Arial"/>
          <w:color w:val="000000" w:themeColor="text1"/>
          <w:sz w:val="22"/>
          <w:szCs w:val="22"/>
        </w:rPr>
        <w:t>Charitéplatz</w:t>
      </w:r>
      <w:proofErr w:type="spellEnd"/>
      <w:r w:rsidRPr="004A087F">
        <w:rPr>
          <w:rFonts w:ascii="Arial" w:hAnsi="Arial" w:cs="Arial"/>
          <w:color w:val="000000" w:themeColor="text1"/>
          <w:sz w:val="22"/>
          <w:szCs w:val="22"/>
        </w:rPr>
        <w:t xml:space="preserve"> 1, 10117, Berlin, Germany.</w:t>
      </w:r>
      <w:r w:rsidRPr="004A087F">
        <w:rPr>
          <w:rFonts w:ascii="Arial" w:hAnsi="Arial" w:cs="Arial"/>
          <w:color w:val="000000" w:themeColor="text1"/>
          <w:sz w:val="22"/>
          <w:szCs w:val="22"/>
        </w:rPr>
        <w:br/>
      </w:r>
      <w:r w:rsidRPr="004A087F">
        <w:rPr>
          <w:rFonts w:ascii="Arial" w:hAnsi="Arial" w:cs="Arial"/>
          <w:color w:val="000000" w:themeColor="text1"/>
          <w:sz w:val="22"/>
          <w:szCs w:val="22"/>
          <w:vertAlign w:val="superscript"/>
        </w:rPr>
        <w:t>8</w:t>
      </w:r>
      <w:r w:rsidRPr="004A087F">
        <w:rPr>
          <w:rFonts w:ascii="Arial" w:hAnsi="Arial" w:cs="Arial"/>
          <w:color w:val="000000" w:themeColor="text1"/>
          <w:sz w:val="22"/>
          <w:szCs w:val="22"/>
        </w:rPr>
        <w:t>German Center for Cardiovascular Research (DZHK), Potsdamer Str. 58, 10785, Berlin, Germany.</w:t>
      </w:r>
      <w:r w:rsidRPr="004A087F">
        <w:rPr>
          <w:rFonts w:ascii="Arial" w:hAnsi="Arial" w:cs="Arial"/>
          <w:color w:val="000000" w:themeColor="text1"/>
          <w:sz w:val="22"/>
          <w:szCs w:val="22"/>
        </w:rPr>
        <w:br/>
      </w:r>
      <w:r w:rsidRPr="00F245AD">
        <w:rPr>
          <w:rFonts w:ascii="Arial" w:hAnsi="Arial" w:cs="Arial"/>
          <w:color w:val="000000" w:themeColor="text1"/>
          <w:sz w:val="22"/>
          <w:szCs w:val="22"/>
          <w:vertAlign w:val="superscript"/>
        </w:rPr>
        <w:t>9</w:t>
      </w:r>
      <w:r w:rsidRPr="00F245AD">
        <w:rPr>
          <w:rFonts w:ascii="Arial" w:hAnsi="Arial" w:cs="Arial"/>
          <w:color w:val="000000" w:themeColor="text1"/>
          <w:sz w:val="22"/>
          <w:szCs w:val="22"/>
        </w:rPr>
        <w:t xml:space="preserve">Department of Biophysics, Federal University of São Paulo, Rua </w:t>
      </w:r>
      <w:proofErr w:type="spellStart"/>
      <w:r w:rsidRPr="00F245AD">
        <w:rPr>
          <w:rFonts w:ascii="Arial" w:hAnsi="Arial" w:cs="Arial"/>
          <w:color w:val="000000" w:themeColor="text1"/>
          <w:sz w:val="22"/>
          <w:szCs w:val="22"/>
        </w:rPr>
        <w:t>Botucatu</w:t>
      </w:r>
      <w:proofErr w:type="spellEnd"/>
      <w:r w:rsidRPr="00F245AD">
        <w:rPr>
          <w:rFonts w:ascii="Arial" w:hAnsi="Arial" w:cs="Arial"/>
          <w:color w:val="000000" w:themeColor="text1"/>
          <w:sz w:val="22"/>
          <w:szCs w:val="22"/>
        </w:rPr>
        <w:t xml:space="preserve"> 862, 6th floor, 04023-062, São Paulo, Brazil.</w:t>
      </w:r>
    </w:p>
    <w:p w14:paraId="5F28DEBA" w14:textId="77777777" w:rsidR="0072155D" w:rsidRPr="00F245AD" w:rsidRDefault="0072155D" w:rsidP="0072155D">
      <w:pPr>
        <w:spacing w:line="276" w:lineRule="auto"/>
        <w:rPr>
          <w:rFonts w:ascii="Arial" w:hAnsi="Arial" w:cs="Arial"/>
          <w:color w:val="000000" w:themeColor="text1"/>
          <w:sz w:val="22"/>
          <w:szCs w:val="22"/>
        </w:rPr>
      </w:pPr>
    </w:p>
    <w:p w14:paraId="0200774F" w14:textId="634FC536" w:rsidR="0072155D" w:rsidRPr="00F245AD" w:rsidRDefault="0072155D" w:rsidP="0072155D">
      <w:pPr>
        <w:spacing w:line="276" w:lineRule="auto"/>
        <w:rPr>
          <w:rFonts w:ascii="Arial" w:hAnsi="Arial" w:cs="Arial"/>
          <w:color w:val="000000" w:themeColor="text1"/>
          <w:sz w:val="22"/>
          <w:szCs w:val="22"/>
        </w:rPr>
      </w:pPr>
      <w:r w:rsidRPr="00F245AD">
        <w:rPr>
          <w:rFonts w:ascii="Arial" w:hAnsi="Arial" w:cs="Arial"/>
          <w:color w:val="000000" w:themeColor="text1"/>
          <w:sz w:val="22"/>
          <w:szCs w:val="22"/>
        </w:rPr>
        <w:t>*</w:t>
      </w:r>
      <w:r w:rsidRPr="00F245AD">
        <w:rPr>
          <w:rFonts w:ascii="Arial" w:hAnsi="Arial" w:cs="Arial"/>
          <w:b/>
          <w:bCs/>
          <w:color w:val="000000" w:themeColor="text1"/>
          <w:sz w:val="22"/>
          <w:szCs w:val="22"/>
          <w:shd w:val="clear" w:color="auto" w:fill="FFFFFF"/>
        </w:rPr>
        <w:t>Corresponding Author</w:t>
      </w:r>
      <w:r w:rsidR="00C57DAA" w:rsidRPr="00F245AD">
        <w:rPr>
          <w:rFonts w:ascii="Arial" w:hAnsi="Arial" w:cs="Arial"/>
          <w:b/>
          <w:bCs/>
          <w:color w:val="000000" w:themeColor="text1"/>
          <w:sz w:val="22"/>
          <w:szCs w:val="22"/>
          <w:shd w:val="clear" w:color="auto" w:fill="FFFFFF"/>
        </w:rPr>
        <w:t>s</w:t>
      </w:r>
      <w:r w:rsidRPr="00F245AD">
        <w:rPr>
          <w:rFonts w:ascii="Arial" w:hAnsi="Arial" w:cs="Arial"/>
          <w:b/>
          <w:bCs/>
          <w:color w:val="000000" w:themeColor="text1"/>
          <w:sz w:val="22"/>
          <w:szCs w:val="22"/>
          <w:shd w:val="clear" w:color="auto" w:fill="FFFFFF"/>
        </w:rPr>
        <w:t>:</w:t>
      </w:r>
      <w:r w:rsidRPr="00F245AD">
        <w:rPr>
          <w:rFonts w:ascii="Arial" w:hAnsi="Arial" w:cs="Arial"/>
          <w:color w:val="000000" w:themeColor="text1"/>
          <w:sz w:val="22"/>
          <w:szCs w:val="22"/>
          <w:shd w:val="clear" w:color="auto" w:fill="FFFFFF"/>
        </w:rPr>
        <w:t xml:space="preserve"> </w:t>
      </w:r>
      <w:r w:rsidRPr="00F245AD">
        <w:rPr>
          <w:rFonts w:ascii="Arial" w:hAnsi="Arial" w:cs="Arial"/>
          <w:color w:val="000000" w:themeColor="text1"/>
          <w:sz w:val="22"/>
          <w:szCs w:val="22"/>
        </w:rPr>
        <w:t xml:space="preserve">Leonardo Martins and João Bosco </w:t>
      </w:r>
      <w:proofErr w:type="spellStart"/>
      <w:r w:rsidRPr="00F245AD">
        <w:rPr>
          <w:rFonts w:ascii="Arial" w:hAnsi="Arial" w:cs="Arial"/>
          <w:color w:val="000000" w:themeColor="text1"/>
          <w:sz w:val="22"/>
          <w:szCs w:val="22"/>
        </w:rPr>
        <w:t>Pesquero</w:t>
      </w:r>
      <w:proofErr w:type="spellEnd"/>
      <w:r w:rsidRPr="00F245AD">
        <w:rPr>
          <w:rFonts w:ascii="Arial" w:hAnsi="Arial" w:cs="Arial"/>
          <w:color w:val="000000" w:themeColor="text1"/>
          <w:sz w:val="22"/>
          <w:szCs w:val="22"/>
        </w:rPr>
        <w:t xml:space="preserve"> </w:t>
      </w:r>
    </w:p>
    <w:p w14:paraId="66EDB331" w14:textId="77777777" w:rsidR="0072155D" w:rsidRPr="00F245AD" w:rsidRDefault="0072155D" w:rsidP="0072155D">
      <w:pPr>
        <w:spacing w:line="276" w:lineRule="auto"/>
        <w:rPr>
          <w:rFonts w:ascii="Arial" w:hAnsi="Arial" w:cs="Arial"/>
          <w:color w:val="000000" w:themeColor="text1"/>
          <w:sz w:val="22"/>
          <w:szCs w:val="22"/>
        </w:rPr>
      </w:pPr>
    </w:p>
    <w:p w14:paraId="4800400F" w14:textId="2465ED5B" w:rsidR="0072155D" w:rsidRPr="00F245AD" w:rsidRDefault="0072155D" w:rsidP="0072155D">
      <w:pPr>
        <w:spacing w:line="276" w:lineRule="auto"/>
        <w:rPr>
          <w:rFonts w:ascii="Arial" w:hAnsi="Arial" w:cs="Arial"/>
          <w:color w:val="000000" w:themeColor="text1"/>
          <w:sz w:val="22"/>
          <w:szCs w:val="22"/>
        </w:rPr>
      </w:pPr>
      <w:r w:rsidRPr="00F245AD">
        <w:rPr>
          <w:rFonts w:ascii="Arial" w:hAnsi="Arial" w:cs="Arial"/>
          <w:b/>
          <w:color w:val="000000" w:themeColor="text1"/>
          <w:sz w:val="22"/>
          <w:szCs w:val="22"/>
        </w:rPr>
        <w:t>Email</w:t>
      </w:r>
      <w:r w:rsidR="00C57DAA" w:rsidRPr="00F245AD">
        <w:rPr>
          <w:rFonts w:ascii="Arial" w:hAnsi="Arial" w:cs="Arial"/>
          <w:b/>
          <w:color w:val="000000" w:themeColor="text1"/>
          <w:sz w:val="22"/>
          <w:szCs w:val="22"/>
        </w:rPr>
        <w:t>s</w:t>
      </w:r>
      <w:r w:rsidRPr="00F245AD">
        <w:rPr>
          <w:rFonts w:ascii="Arial" w:hAnsi="Arial" w:cs="Arial"/>
          <w:b/>
          <w:color w:val="000000" w:themeColor="text1"/>
          <w:sz w:val="22"/>
          <w:szCs w:val="22"/>
        </w:rPr>
        <w:t xml:space="preserve">: </w:t>
      </w:r>
      <w:r w:rsidRPr="00F245AD">
        <w:rPr>
          <w:rFonts w:ascii="Arial" w:hAnsi="Arial" w:cs="Arial"/>
          <w:color w:val="000000" w:themeColor="text1"/>
          <w:sz w:val="22"/>
          <w:szCs w:val="22"/>
          <w:shd w:val="clear" w:color="auto" w:fill="FFFFFF"/>
        </w:rPr>
        <w:t> </w:t>
      </w:r>
      <w:r w:rsidRPr="00F245AD">
        <w:rPr>
          <w:rFonts w:ascii="Arial" w:hAnsi="Arial" w:cs="Arial"/>
          <w:color w:val="000000" w:themeColor="text1"/>
          <w:sz w:val="22"/>
          <w:szCs w:val="22"/>
        </w:rPr>
        <w:t>lmartin@cbm.pan.pl</w:t>
      </w:r>
      <w:r w:rsidRPr="00F245AD">
        <w:rPr>
          <w:rFonts w:ascii="Arial" w:hAnsi="Arial" w:cs="Arial"/>
          <w:color w:val="000000" w:themeColor="text1"/>
          <w:sz w:val="22"/>
          <w:szCs w:val="22"/>
          <w:shd w:val="clear" w:color="auto" w:fill="FFFFFF"/>
        </w:rPr>
        <w:t xml:space="preserve">; </w:t>
      </w:r>
      <w:hyperlink r:id="rId8" w:tgtFrame="_self" w:history="1">
        <w:r w:rsidRPr="00F245AD">
          <w:rPr>
            <w:rStyle w:val="anchor-text"/>
            <w:rFonts w:ascii="Arial" w:hAnsi="Arial" w:cs="Arial"/>
            <w:color w:val="000000" w:themeColor="text1"/>
            <w:sz w:val="22"/>
            <w:szCs w:val="22"/>
            <w:shd w:val="clear" w:color="auto" w:fill="FFFFFF"/>
          </w:rPr>
          <w:t>jbpesquero@unifesp.br</w:t>
        </w:r>
      </w:hyperlink>
      <w:r w:rsidRPr="00F245AD">
        <w:rPr>
          <w:rFonts w:ascii="Arial" w:hAnsi="Arial" w:cs="Arial"/>
          <w:color w:val="000000" w:themeColor="text1"/>
          <w:sz w:val="22"/>
          <w:szCs w:val="22"/>
        </w:rPr>
        <w:t xml:space="preserve"> </w:t>
      </w:r>
    </w:p>
    <w:p w14:paraId="6C696ECA" w14:textId="77777777" w:rsidR="00F245AD" w:rsidRPr="00F245AD" w:rsidRDefault="00F245AD" w:rsidP="0072155D">
      <w:pPr>
        <w:spacing w:line="276" w:lineRule="auto"/>
        <w:rPr>
          <w:rFonts w:ascii="Arial" w:hAnsi="Arial" w:cs="Arial"/>
          <w:color w:val="000000" w:themeColor="text1"/>
          <w:sz w:val="22"/>
          <w:szCs w:val="22"/>
        </w:rPr>
      </w:pPr>
    </w:p>
    <w:p w14:paraId="7A568A6A" w14:textId="75BEC743" w:rsidR="00F245AD" w:rsidRPr="00F245AD" w:rsidRDefault="00F245AD" w:rsidP="0072155D">
      <w:pPr>
        <w:spacing w:line="276" w:lineRule="auto"/>
        <w:rPr>
          <w:rFonts w:ascii="Arial" w:hAnsi="Arial" w:cs="Arial"/>
          <w:color w:val="000000" w:themeColor="text1"/>
          <w:sz w:val="22"/>
          <w:szCs w:val="22"/>
          <w:shd w:val="clear" w:color="auto" w:fill="FFFFFF"/>
        </w:rPr>
      </w:pPr>
      <w:r w:rsidRPr="00F245AD">
        <w:rPr>
          <w:rFonts w:ascii="Arial" w:hAnsi="Arial" w:cs="Arial"/>
          <w:b/>
          <w:bCs/>
          <w:color w:val="000000"/>
          <w:sz w:val="22"/>
          <w:szCs w:val="22"/>
          <w:shd w:val="clear" w:color="auto" w:fill="FFFFFF"/>
        </w:rPr>
        <w:t>DOI:</w:t>
      </w:r>
      <w:r w:rsidRPr="00F245AD">
        <w:rPr>
          <w:rFonts w:ascii="Arial" w:hAnsi="Arial" w:cs="Arial"/>
          <w:color w:val="000000"/>
          <w:sz w:val="22"/>
          <w:szCs w:val="22"/>
          <w:shd w:val="clear" w:color="auto" w:fill="FFFFFF"/>
        </w:rPr>
        <w:t> </w:t>
      </w:r>
      <w:r w:rsidRPr="00F245AD">
        <w:rPr>
          <w:rStyle w:val="markoc95w9asz"/>
          <w:rFonts w:ascii="Arial" w:hAnsi="Arial" w:cs="Arial"/>
          <w:color w:val="000000"/>
          <w:sz w:val="22"/>
          <w:szCs w:val="22"/>
          <w:bdr w:val="none" w:sz="0" w:space="0" w:color="auto" w:frame="1"/>
          <w:shd w:val="clear" w:color="auto" w:fill="FFFFFF"/>
        </w:rPr>
        <w:t>10.1007/s00011-023-01766-4</w:t>
      </w:r>
    </w:p>
    <w:p w14:paraId="419B0740" w14:textId="327E607B" w:rsidR="00C57DAA" w:rsidRPr="004A087F" w:rsidRDefault="00C57DAA">
      <w:pPr>
        <w:rPr>
          <w:rFonts w:ascii="Arial" w:hAnsi="Arial" w:cs="Arial"/>
          <w:color w:val="000000" w:themeColor="text1"/>
          <w:szCs w:val="24"/>
        </w:rPr>
      </w:pPr>
      <w:r w:rsidRPr="004A087F">
        <w:rPr>
          <w:rFonts w:ascii="Arial" w:hAnsi="Arial" w:cs="Arial"/>
          <w:color w:val="000000" w:themeColor="text1"/>
          <w:szCs w:val="24"/>
        </w:rPr>
        <w:br w:type="page"/>
      </w:r>
    </w:p>
    <w:p w14:paraId="1F410ECE" w14:textId="1A7CC48B" w:rsidR="00015F74" w:rsidRPr="00505A7A" w:rsidRDefault="00B73A1C" w:rsidP="0072155D">
      <w:pPr>
        <w:spacing w:line="276" w:lineRule="auto"/>
        <w:jc w:val="both"/>
        <w:rPr>
          <w:rFonts w:ascii="Arial" w:hAnsi="Arial" w:cs="Arial"/>
          <w:b/>
          <w:bCs/>
          <w:color w:val="000000" w:themeColor="text1"/>
          <w:kern w:val="32"/>
          <w:sz w:val="22"/>
          <w:szCs w:val="22"/>
        </w:rPr>
      </w:pPr>
      <w:r w:rsidRPr="00505A7A">
        <w:rPr>
          <w:rFonts w:ascii="Arial" w:hAnsi="Arial" w:cs="Arial"/>
          <w:b/>
          <w:bCs/>
          <w:color w:val="000000" w:themeColor="text1"/>
          <w:sz w:val="22"/>
          <w:szCs w:val="22"/>
        </w:rPr>
        <w:lastRenderedPageBreak/>
        <w:t>Supporting</w:t>
      </w:r>
      <w:r w:rsidR="00015F74" w:rsidRPr="00505A7A">
        <w:rPr>
          <w:rFonts w:ascii="Arial" w:hAnsi="Arial" w:cs="Arial"/>
          <w:b/>
          <w:bCs/>
          <w:color w:val="000000" w:themeColor="text1"/>
          <w:sz w:val="22"/>
          <w:szCs w:val="22"/>
        </w:rPr>
        <w:t xml:space="preserve"> </w:t>
      </w:r>
      <w:r w:rsidR="001C0975" w:rsidRPr="00505A7A">
        <w:rPr>
          <w:rFonts w:ascii="Arial" w:hAnsi="Arial" w:cs="Arial"/>
          <w:b/>
          <w:bCs/>
          <w:color w:val="000000" w:themeColor="text1"/>
          <w:sz w:val="22"/>
          <w:szCs w:val="22"/>
        </w:rPr>
        <w:t>Information Text</w:t>
      </w:r>
    </w:p>
    <w:p w14:paraId="41565D83" w14:textId="73907AFA" w:rsidR="001C0975" w:rsidRPr="00505A7A" w:rsidRDefault="001C0975" w:rsidP="0072155D">
      <w:pPr>
        <w:pStyle w:val="SMText"/>
        <w:spacing w:line="276" w:lineRule="auto"/>
        <w:ind w:firstLine="0"/>
        <w:jc w:val="both"/>
        <w:rPr>
          <w:rFonts w:ascii="Arial" w:hAnsi="Arial" w:cs="Arial"/>
          <w:color w:val="000000" w:themeColor="text1"/>
          <w:sz w:val="22"/>
          <w:szCs w:val="22"/>
        </w:rPr>
      </w:pPr>
    </w:p>
    <w:p w14:paraId="4D447E75" w14:textId="77777777" w:rsidR="00A74541" w:rsidRPr="00505A7A" w:rsidRDefault="00A74541" w:rsidP="0072155D">
      <w:pPr>
        <w:spacing w:line="276" w:lineRule="auto"/>
        <w:jc w:val="both"/>
        <w:rPr>
          <w:rFonts w:ascii="Arial" w:hAnsi="Arial" w:cs="Arial"/>
          <w:b/>
          <w:color w:val="000000" w:themeColor="text1"/>
          <w:sz w:val="22"/>
          <w:szCs w:val="22"/>
        </w:rPr>
      </w:pPr>
      <w:r w:rsidRPr="00505A7A">
        <w:rPr>
          <w:rFonts w:ascii="Arial" w:hAnsi="Arial" w:cs="Arial"/>
          <w:b/>
          <w:color w:val="000000" w:themeColor="text1"/>
          <w:sz w:val="22"/>
          <w:szCs w:val="22"/>
        </w:rPr>
        <w:t xml:space="preserve">Genotyping </w:t>
      </w:r>
      <w:r w:rsidRPr="00505A7A">
        <w:rPr>
          <w:rFonts w:ascii="Arial" w:hAnsi="Arial" w:cs="Arial"/>
          <w:b/>
          <w:color w:val="000000" w:themeColor="text1"/>
          <w:sz w:val="22"/>
          <w:szCs w:val="22"/>
          <w:shd w:val="clear" w:color="auto" w:fill="FFFFFF"/>
        </w:rPr>
        <w:t>of kinin B1 and B2 knockout mice</w:t>
      </w:r>
      <w:r w:rsidRPr="00505A7A">
        <w:rPr>
          <w:rFonts w:ascii="Arial" w:hAnsi="Arial" w:cs="Arial"/>
          <w:b/>
          <w:color w:val="000000" w:themeColor="text1"/>
          <w:sz w:val="22"/>
          <w:szCs w:val="22"/>
        </w:rPr>
        <w:t xml:space="preserve"> and </w:t>
      </w:r>
      <w:r w:rsidRPr="00505A7A">
        <w:rPr>
          <w:rFonts w:ascii="Arial" w:hAnsi="Arial" w:cs="Arial"/>
          <w:b/>
          <w:i/>
          <w:iCs/>
          <w:color w:val="000000" w:themeColor="text1"/>
          <w:sz w:val="22"/>
          <w:szCs w:val="22"/>
        </w:rPr>
        <w:t xml:space="preserve">in vivo </w:t>
      </w:r>
      <w:r w:rsidRPr="00505A7A">
        <w:rPr>
          <w:rFonts w:ascii="Arial" w:hAnsi="Arial" w:cs="Arial"/>
          <w:b/>
          <w:color w:val="000000" w:themeColor="text1"/>
          <w:sz w:val="22"/>
          <w:szCs w:val="22"/>
        </w:rPr>
        <w:t>injury model</w:t>
      </w:r>
    </w:p>
    <w:p w14:paraId="57B433A8" w14:textId="5967C70A" w:rsidR="00A74541" w:rsidRPr="00505A7A" w:rsidRDefault="00A74541" w:rsidP="0072155D">
      <w:pPr>
        <w:spacing w:line="276" w:lineRule="auto"/>
        <w:jc w:val="both"/>
        <w:rPr>
          <w:rFonts w:ascii="Arial" w:hAnsi="Arial" w:cs="Arial"/>
          <w:color w:val="000000" w:themeColor="text1"/>
          <w:sz w:val="22"/>
          <w:szCs w:val="22"/>
          <w:shd w:val="clear" w:color="auto" w:fill="FFFFFF"/>
        </w:rPr>
      </w:pPr>
      <w:r w:rsidRPr="00505A7A">
        <w:rPr>
          <w:rFonts w:ascii="Arial" w:hAnsi="Arial" w:cs="Arial"/>
          <w:color w:val="000000" w:themeColor="text1"/>
          <w:sz w:val="22"/>
          <w:szCs w:val="22"/>
          <w:shd w:val="clear" w:color="auto" w:fill="FFFFFF"/>
        </w:rPr>
        <w:t>Genomic DNA was isolated from a mouse tail fragment using an NaOH extraction protocol</w:t>
      </w:r>
      <w:r w:rsidRPr="00505A7A">
        <w:rPr>
          <w:rFonts w:ascii="Arial" w:hAnsi="Arial" w:cs="Arial"/>
          <w:color w:val="000000" w:themeColor="text1"/>
          <w:sz w:val="22"/>
          <w:szCs w:val="22"/>
          <w:shd w:val="clear" w:color="auto" w:fill="FFFFFF"/>
        </w:rPr>
        <w:fldChar w:fldCharType="begin" w:fldLock="1"/>
      </w:r>
      <w:r w:rsidR="00004C0A" w:rsidRPr="00505A7A">
        <w:rPr>
          <w:rFonts w:ascii="Arial" w:hAnsi="Arial" w:cs="Arial"/>
          <w:color w:val="000000" w:themeColor="text1"/>
          <w:sz w:val="22"/>
          <w:szCs w:val="22"/>
          <w:shd w:val="clear" w:color="auto" w:fill="FFFFFF"/>
        </w:rPr>
        <w:instrText>ADDIN CSL_CITATION {"citationItems":[{"id":"ITEM-1","itemData":{"DOI":"10.2144/00291bm09","ISSN":"07366205","PMID":"10907076","abstract":"Preparation of mouse genomic DNA for PCR is costly and laborious, primarily because of the difficulty in physically separating DNA from other tissue components. This level of purification is unnecessary for many PCR applications. A simple alternative, lysis in an alkaline reagent and neutralization with a suitable buffer, has been used to prepare genomic DNA from buccal swabs, whole blood, semen and forensic samples collected from humans (2). A few modifications of this protocol make it possible to prepare PCR-quality mouse genomic DNA with a brief incubation in hot sodium hydroxide and pH adjustment with a Tris solution (HotSHOT). The HotSHOT method is rapid, inexpensive and may be carried out in 96-well plates, making it amenable to automation and high-throughput genotyping","author":[{"dropping-particle":"","family":"Truett","given":"Gary E.","non-dropping-particle":"","parse-names":false,"suffix":""},{"dropping-particle":"","family":"Heeger","given":"P.","non-dropping-particle":"","parse-names":false,"suffix":""},{"dropping-particle":"","family":"Mynatt","given":"R. L.","non-dropping-particle":"","parse-names":false,"suffix":""},{"dropping-particle":"","family":"Truett","given":"A. A.","non-dropping-particle":"","parse-names":false,"suffix":""},{"dropping-particle":"","family":"Walker","given":"J. A.","non-dropping-particle":"","parse-names":false,"suffix":""},{"dropping-particle":"","family":"Warman","given":"M. L.","non-dropping-particle":"","parse-names":false,"suffix":""}],"container-title":"BioTechniques","id":"ITEM-1","issue":"1","issued":{"date-parts":[["2000"]]},"page":"52-54","title":"Preparation of PCR-quality mouse genomic dna with hot sodium hydroxide and tris (HotSHOT)","type":"article-journal","volume":"29"},"uris":["http://www.mendeley.com/documents/?uuid=cc620039-4b8b-4a79-b726-15736f1fb154"]}],"mendeley":{"formattedCitation":"[1]","plainTextFormattedCitation":"[1]","previouslyFormattedCitation":"&lt;sup&gt;1&lt;/sup&gt;"},"properties":{"noteIndex":0},"schema":"https://github.com/citation-style-language/schema/raw/master/csl-citation.json"}</w:instrText>
      </w:r>
      <w:r w:rsidRPr="00505A7A">
        <w:rPr>
          <w:rFonts w:ascii="Arial" w:hAnsi="Arial" w:cs="Arial"/>
          <w:color w:val="000000" w:themeColor="text1"/>
          <w:sz w:val="22"/>
          <w:szCs w:val="22"/>
          <w:shd w:val="clear" w:color="auto" w:fill="FFFFFF"/>
        </w:rPr>
        <w:fldChar w:fldCharType="separate"/>
      </w:r>
      <w:r w:rsidR="00004C0A" w:rsidRPr="00505A7A">
        <w:rPr>
          <w:rFonts w:ascii="Arial" w:hAnsi="Arial" w:cs="Arial"/>
          <w:noProof/>
          <w:color w:val="000000" w:themeColor="text1"/>
          <w:sz w:val="22"/>
          <w:szCs w:val="22"/>
          <w:shd w:val="clear" w:color="auto" w:fill="FFFFFF"/>
        </w:rPr>
        <w:t>[1]</w:t>
      </w:r>
      <w:r w:rsidRPr="00505A7A">
        <w:rPr>
          <w:rFonts w:ascii="Arial" w:hAnsi="Arial" w:cs="Arial"/>
          <w:color w:val="000000" w:themeColor="text1"/>
          <w:sz w:val="22"/>
          <w:szCs w:val="22"/>
          <w:shd w:val="clear" w:color="auto" w:fill="FFFFFF"/>
        </w:rPr>
        <w:fldChar w:fldCharType="end"/>
      </w:r>
      <w:r w:rsidRPr="00505A7A">
        <w:rPr>
          <w:rFonts w:ascii="Arial" w:hAnsi="Arial" w:cs="Arial"/>
          <w:color w:val="000000" w:themeColor="text1"/>
          <w:sz w:val="22"/>
          <w:szCs w:val="22"/>
          <w:shd w:val="clear" w:color="auto" w:fill="FFFFFF"/>
        </w:rPr>
        <w:t>. Kinin B1 and B2 receptor genes were amplified by polymerase chain reaction (PCR) using the following primers: B1 receptor (NM_007539.2) sense 5′-TGAAGCTGTGAGCTCTTTG-3′ and antisense 5′-GCTACCCAGATGAGCAGGCA-3′; B2 (NM_009747.2) receptor sense 5′-TGTCCTCAGCGTGTTCTTCC-3′ and antisense 5′-GGTCCTGAACACCAACATGG-3′</w:t>
      </w:r>
      <w:r w:rsidR="00AA52F4" w:rsidRPr="00505A7A">
        <w:rPr>
          <w:rFonts w:ascii="Arial" w:hAnsi="Arial" w:cs="Arial"/>
          <w:color w:val="000000" w:themeColor="text1"/>
          <w:sz w:val="22"/>
          <w:szCs w:val="22"/>
          <w:shd w:val="clear" w:color="auto" w:fill="FFFFFF"/>
        </w:rPr>
        <w:t xml:space="preserve"> </w:t>
      </w:r>
      <w:r w:rsidR="00AA52F4" w:rsidRPr="00505A7A">
        <w:rPr>
          <w:rFonts w:ascii="Arial" w:hAnsi="Arial" w:cs="Arial"/>
          <w:color w:val="000000" w:themeColor="text1"/>
          <w:sz w:val="22"/>
          <w:szCs w:val="22"/>
        </w:rPr>
        <w:t>(</w:t>
      </w:r>
      <w:r w:rsidR="00AA52F4" w:rsidRPr="00505A7A">
        <w:rPr>
          <w:rFonts w:ascii="Arial" w:hAnsi="Arial" w:cs="Arial"/>
          <w:b/>
          <w:bCs/>
          <w:color w:val="000000" w:themeColor="text1"/>
          <w:sz w:val="22"/>
          <w:szCs w:val="22"/>
        </w:rPr>
        <w:t>Figure</w:t>
      </w:r>
      <w:r w:rsidR="00AA52F4" w:rsidRPr="00505A7A">
        <w:rPr>
          <w:rFonts w:ascii="Arial" w:hAnsi="Arial" w:cs="Arial"/>
          <w:color w:val="000000" w:themeColor="text1"/>
          <w:sz w:val="22"/>
          <w:szCs w:val="22"/>
        </w:rPr>
        <w:t xml:space="preserve"> S</w:t>
      </w:r>
      <w:r w:rsidR="00011892" w:rsidRPr="00505A7A">
        <w:rPr>
          <w:rFonts w:ascii="Arial" w:hAnsi="Arial" w:cs="Arial"/>
          <w:color w:val="000000" w:themeColor="text1"/>
          <w:sz w:val="22"/>
          <w:szCs w:val="22"/>
        </w:rPr>
        <w:t>1</w:t>
      </w:r>
      <w:r w:rsidR="00AA52F4" w:rsidRPr="00505A7A">
        <w:rPr>
          <w:rFonts w:ascii="Arial" w:hAnsi="Arial" w:cs="Arial"/>
          <w:color w:val="000000" w:themeColor="text1"/>
          <w:sz w:val="22"/>
          <w:szCs w:val="22"/>
        </w:rPr>
        <w:t>).</w:t>
      </w:r>
    </w:p>
    <w:p w14:paraId="209DFAD9" w14:textId="683DE866" w:rsidR="00AA52F4" w:rsidRPr="00505A7A" w:rsidRDefault="00AA52F4" w:rsidP="0072155D">
      <w:pPr>
        <w:spacing w:line="276" w:lineRule="auto"/>
        <w:jc w:val="both"/>
        <w:rPr>
          <w:rFonts w:ascii="Arial" w:hAnsi="Arial" w:cs="Arial"/>
          <w:color w:val="000000" w:themeColor="text1"/>
          <w:sz w:val="22"/>
          <w:szCs w:val="22"/>
          <w:shd w:val="clear" w:color="auto" w:fill="FFFFFF"/>
        </w:rPr>
      </w:pPr>
      <w:r w:rsidRPr="00505A7A">
        <w:rPr>
          <w:rFonts w:ascii="Arial" w:hAnsi="Arial" w:cs="Arial"/>
          <w:color w:val="000000" w:themeColor="text1"/>
          <w:sz w:val="22"/>
          <w:szCs w:val="22"/>
          <w:shd w:val="clear" w:color="auto" w:fill="FFFFFF"/>
        </w:rPr>
        <w:t xml:space="preserve">Animals were allowed to adapt to the laboratory for at least 1h before testing and were used only once. The experiments were conducted in accordance with the ethical principles established by the Brazilian College of Animal Experimentation (COBEA) and approved by the Ethics Committee for the use of animals (CEUA) of the </w:t>
      </w:r>
      <w:proofErr w:type="spellStart"/>
      <w:r w:rsidRPr="00505A7A">
        <w:rPr>
          <w:rFonts w:ascii="Arial" w:hAnsi="Arial" w:cs="Arial"/>
          <w:color w:val="000000" w:themeColor="text1"/>
          <w:sz w:val="22"/>
          <w:szCs w:val="22"/>
          <w:shd w:val="clear" w:color="auto" w:fill="FFFFFF"/>
        </w:rPr>
        <w:t>Universidade</w:t>
      </w:r>
      <w:proofErr w:type="spellEnd"/>
      <w:r w:rsidRPr="00505A7A">
        <w:rPr>
          <w:rFonts w:ascii="Arial" w:hAnsi="Arial" w:cs="Arial"/>
          <w:color w:val="000000" w:themeColor="text1"/>
          <w:sz w:val="22"/>
          <w:szCs w:val="22"/>
          <w:shd w:val="clear" w:color="auto" w:fill="FFFFFF"/>
        </w:rPr>
        <w:t xml:space="preserve"> Federal de São Paulo (Nº 6524250215).</w:t>
      </w:r>
      <w:r w:rsidR="00141C30" w:rsidRPr="00505A7A">
        <w:rPr>
          <w:rFonts w:ascii="Arial" w:hAnsi="Arial" w:cs="Arial"/>
          <w:color w:val="000000" w:themeColor="text1"/>
          <w:sz w:val="22"/>
          <w:szCs w:val="22"/>
          <w:shd w:val="clear" w:color="auto" w:fill="FFFFFF"/>
        </w:rPr>
        <w:t xml:space="preserve"> Food and water were supplied ad libitum and the animals were kept in a 12 h light/dark cycle and in a temperature-controlled room (22 ± 2° C).</w:t>
      </w:r>
    </w:p>
    <w:p w14:paraId="2EB7DE4C" w14:textId="1F360C0F" w:rsidR="00AA52F4" w:rsidRPr="00505A7A" w:rsidRDefault="00AA52F4" w:rsidP="0072155D">
      <w:pPr>
        <w:spacing w:line="276" w:lineRule="auto"/>
        <w:jc w:val="both"/>
        <w:rPr>
          <w:rFonts w:ascii="Arial" w:hAnsi="Arial" w:cs="Arial"/>
          <w:color w:val="000000" w:themeColor="text1"/>
          <w:sz w:val="22"/>
          <w:szCs w:val="22"/>
        </w:rPr>
      </w:pPr>
      <w:r w:rsidRPr="00505A7A">
        <w:rPr>
          <w:rFonts w:ascii="Arial" w:hAnsi="Arial" w:cs="Arial"/>
          <w:color w:val="000000" w:themeColor="text1"/>
          <w:sz w:val="22"/>
          <w:szCs w:val="22"/>
        </w:rPr>
        <w:t>Muscle contusion was performed based on the method previously described</w:t>
      </w:r>
      <w:r w:rsidR="00133AF9" w:rsidRPr="00505A7A">
        <w:rPr>
          <w:rFonts w:ascii="Arial" w:hAnsi="Arial" w:cs="Arial"/>
          <w:color w:val="000000" w:themeColor="text1"/>
          <w:sz w:val="22"/>
          <w:szCs w:val="22"/>
        </w:rPr>
        <w:t xml:space="preserve"> </w:t>
      </w:r>
      <w:r w:rsidRPr="00505A7A">
        <w:rPr>
          <w:rFonts w:ascii="Arial" w:hAnsi="Arial" w:cs="Arial"/>
          <w:color w:val="000000" w:themeColor="text1"/>
          <w:sz w:val="22"/>
          <w:szCs w:val="22"/>
        </w:rPr>
        <w:fldChar w:fldCharType="begin" w:fldLock="1"/>
      </w:r>
      <w:r w:rsidR="00004C0A" w:rsidRPr="00505A7A">
        <w:rPr>
          <w:rFonts w:ascii="Arial" w:hAnsi="Arial" w:cs="Arial"/>
          <w:color w:val="000000" w:themeColor="text1"/>
          <w:sz w:val="22"/>
          <w:szCs w:val="22"/>
        </w:rPr>
        <w:instrText>ADDIN CSL_CITATION {"citationItems":[{"id":"ITEM-1","itemData":{"DOI":"10.1016/S0963-6897(98)00037-2","ISSN":"09636897","PMID":"9853587","abstract":"Muscle injuries are a challenging problem in traumatology, and the most frequent occurrence in sports medicine. Muscle contusions are among the most common muscle injuries. Although this injury is capable of healing, an incomplete functional recovery often occurs, depending on the severity of the blunt trauma. We have developed an animal model of muscle contusion in mice (high energy blunt trauma) and characterized the muscle's ability to heal following this injury using histology and immunohistochemistry to determine the level of muscle regeneration and the development of scar tissues. We have observed a massive muscle regeneration occurring in the first 2 wk postinjury that is subsequently followed by the development of muscle fibrosis. Based on these observations, we propose that the enhancement of muscle growth and regeneration, as well as the prevention of fibrotic development, could be used as approach(es) to improve the healing of muscle injuries. In fact, we have identified three growth factors (bFGF, IGF-1, and NGF) capable of enhancing myoblast proliferation and differentiation in vitro and improving the healing of the injured muscle in vivo. Furthermore, the ability of adenovirus to mediate direct and ex vivo gene transfer of β-galactosidase into the injured site open possibilities of delivering an efficient and persistent expression of these growth factors in the injured muscle. These studies should help in the development of strategies to promote efficient muscle healing with complete functional recovery following muscle contusion.","author":[{"dropping-particle":"","family":"Kasemkijwattana","given":"Channarong","non-dropping-particle":"","parse-names":false,"suffix":""},{"dropping-particle":"","family":"Menetrey","given":"Jacques","non-dropping-particle":"","parse-names":false,"suffix":""},{"dropping-particle":"","family":"Somogyi","given":"George","non-dropping-particle":"","parse-names":false,"suffix":""},{"dropping-particle":"","family":"Moreland","given":"Morey S.","non-dropping-particle":"","parse-names":false,"suffix":""},{"dropping-particle":"","family":"Fu","given":"Freddie H.","non-dropping-particle":"","parse-names":false,"suffix":""},{"dropping-particle":"","family":"Buranapanitkit","given":"Boonsin","non-dropping-particle":"","parse-names":false,"suffix":""},{"dropping-particle":"","family":"Watkins","given":"Simon C.","non-dropping-particle":"","parse-names":false,"suffix":""},{"dropping-particle":"","family":"Huard","given":"Johnny","non-dropping-particle":"","parse-names":false,"suffix":""}],"container-title":"Cell Transplantation","id":"ITEM-1","issue":"6","issued":{"date-parts":[["1998","11"]]},"page":"585-598","publisher":"Cell Transplant","title":"Development of approaches to improve the healing following muscle contusion","type":"article-journal","volume":"7"},"uris":["http://www.mendeley.com/documents/?uuid=7b458d56-b2f7-34eb-ab73-5e9105d95e0b"]},{"id":"ITEM-2","itemData":{"DOI":"10.1186/s13287-020-01992-1","ISSN":"17576512","PMID":"33158459","abstract":"Background: After traumatic skeletal muscle injury, muscle healing is often incomplete and produces extensive fibrosis. The sequence of M1 and M2 macrophage accumulation and the duration of each subtype in the injured area may help to direct the relative extent of fibrogenesis and myogenesis during healing. We hypothesized that increasing the number of M1 macrophages early after traumatic muscle injury would produce more cellular and molecular substrates for myogenesis and fewer substrates for fibrosis, leading to better muscle healing. Methods: To test this hypothesis, we transfected skeletal muscle with a plasmid vector to transiently express GM-CSF shortly after injury to drive the polarization of macrophages towards the M1 subset. C57BL/6 mouse tibialis anterior (TA) muscles were injured by contusion and electroporated with uP-mGM, which is a plasmid vector that transiently expresses GM-CSF. Myogenesis, angiogenesis, and fibrosis were evaluated by histology, immunohistochemistry, and RT-qPCR; subpopulations of macrophages by flow cytometry; and muscle functioning by the maximum running speed on the treadmill and the recovery of muscle mass. Results: Muscle injury increased the number of local M1-like macrophages and decreased the number of M2-like macrophages on day 4, and uP-mGM treatment enhanced this variation. uP-mGM treatment decreased TGF-β1 protein expression on day 4, and the Sirius Red-positive area decreased from 35.93 ± 15.45% (no treatment) to 2.9% ± 6.5% (p &lt; 0.01) on day 30. uP-mGM electroporation also increased Hgf, Hif1α, and Mtor gene expression; arteriole density; and muscle fiber number during regeneration. The improvement in the quality of the muscle tissue after treatment with uP-mGM affected the increase in the TA muscle mass and the maximum running speed on a treadmill. Conclusion: Collectively, our data show that increasing the number of M1-like macrophages immediately after traumatic muscle injury promotes muscle recovery with less fibrosis, and this can be achieved by the transient expression of GM-CSF.","author":[{"dropping-particle":"","family":"Martins","given":"Leonardo","non-dropping-particle":"","parse-names":false,"suffix":""},{"dropping-particle":"","family":"Gallo","given":"Camila Congentino","non-dropping-particle":"","parse-names":false,"suffix":""},{"dropping-particle":"","family":"Honda","given":"Tâmisa Seeko Bandeira","non-dropping-particle":"","parse-names":false,"suffix":""},{"dropping-particle":"","family":"Alves","given":"Patrícia Terra","non-dropping-particle":"","parse-names":false,"suffix":""},{"dropping-particle":"","family":"Stilhano","given":"Roberta Sessa","non-dropping-particle":"","parse-names":false,"suffix":""},{"dropping-particle":"","family":"Rosa","given":"Daniela Santoro","non-dropping-particle":"","parse-names":false,"suffix":""},{"dropping-particle":"","family":"Koh","given":"Timothy Jon","non-dropping-particle":"","parse-names":false,"suffix":""},{"dropping-particle":"","family":"Han","given":"Sang Won","non-dropping-particle":"","parse-names":false,"suffix":""}],"container-title":"Stem Cell Research and Therapy","id":"ITEM-2","issue":"1","issued":{"date-parts":[["2020","12","6"]]},"page":"473","publisher":"BioMed Central","title":"Skeletal muscle healing by M1-like macrophages produced by transient expression of exogenous GM-CSF","type":"article-journal","volume":"11"},"uris":["http://www.mendeley.com/documents/?uuid=05ddaab0-7491-3f59-b7a9-0f3826097fe7"]}],"mendeley":{"formattedCitation":"[2], [3]","plainTextFormattedCitation":"[2], [3]","previouslyFormattedCitation":"&lt;sup&gt;2,3&lt;/sup&gt;"},"properties":{"noteIndex":0},"schema":"https://github.com/citation-style-language/schema/raw/master/csl-citation.json"}</w:instrText>
      </w:r>
      <w:r w:rsidRPr="00505A7A">
        <w:rPr>
          <w:rFonts w:ascii="Arial" w:hAnsi="Arial" w:cs="Arial"/>
          <w:color w:val="000000" w:themeColor="text1"/>
          <w:sz w:val="22"/>
          <w:szCs w:val="22"/>
        </w:rPr>
        <w:fldChar w:fldCharType="separate"/>
      </w:r>
      <w:r w:rsidR="00004C0A" w:rsidRPr="00505A7A">
        <w:rPr>
          <w:rFonts w:ascii="Arial" w:hAnsi="Arial" w:cs="Arial"/>
          <w:noProof/>
          <w:color w:val="000000" w:themeColor="text1"/>
          <w:sz w:val="22"/>
          <w:szCs w:val="22"/>
        </w:rPr>
        <w:t>[2,3]</w:t>
      </w:r>
      <w:r w:rsidRPr="00505A7A">
        <w:rPr>
          <w:rFonts w:ascii="Arial" w:hAnsi="Arial" w:cs="Arial"/>
          <w:color w:val="000000" w:themeColor="text1"/>
          <w:sz w:val="22"/>
          <w:szCs w:val="22"/>
        </w:rPr>
        <w:fldChar w:fldCharType="end"/>
      </w:r>
      <w:r w:rsidRPr="00505A7A">
        <w:rPr>
          <w:rFonts w:ascii="Arial" w:hAnsi="Arial" w:cs="Arial"/>
          <w:color w:val="000000" w:themeColor="text1"/>
          <w:sz w:val="22"/>
          <w:szCs w:val="22"/>
        </w:rPr>
        <w:t>. C57Bl/6 mice aging 10–12 weeks and weighting 25 g were anesthetized with an IP injection of ketamine (40 mg/kg of animal) and xylazine (10 mg/kg of animal). The mouse was positioned in ventral decubitus and the posterior limbs positioned extending the knee and plantar flexion. A stainless-steel ball weighting 16.2 g with 1.6 cm diameter was placed on the top of a PVC tube with 100 cm height to fall by gravity. At the bottom of the tube, a blunt-tipped nail (tip area is approximately equal to the TA muscle surface) was placed so that the impact was transferred to the entire TA muscle area (</w:t>
      </w:r>
      <w:r w:rsidRPr="00505A7A">
        <w:rPr>
          <w:rFonts w:ascii="Arial" w:hAnsi="Arial" w:cs="Arial"/>
          <w:b/>
          <w:bCs/>
          <w:color w:val="000000" w:themeColor="text1"/>
          <w:sz w:val="22"/>
          <w:szCs w:val="22"/>
        </w:rPr>
        <w:t>Figure</w:t>
      </w:r>
      <w:r w:rsidRPr="00505A7A">
        <w:rPr>
          <w:rFonts w:ascii="Arial" w:hAnsi="Arial" w:cs="Arial"/>
          <w:color w:val="000000" w:themeColor="text1"/>
          <w:sz w:val="22"/>
          <w:szCs w:val="22"/>
        </w:rPr>
        <w:t xml:space="preserve"> S</w:t>
      </w:r>
      <w:r w:rsidR="00011892" w:rsidRPr="00505A7A">
        <w:rPr>
          <w:rFonts w:ascii="Arial" w:hAnsi="Arial" w:cs="Arial"/>
          <w:color w:val="000000" w:themeColor="text1"/>
          <w:sz w:val="22"/>
          <w:szCs w:val="22"/>
        </w:rPr>
        <w:t>1</w:t>
      </w:r>
      <w:r w:rsidRPr="00505A7A">
        <w:rPr>
          <w:rFonts w:ascii="Arial" w:hAnsi="Arial" w:cs="Arial"/>
          <w:color w:val="000000" w:themeColor="text1"/>
          <w:sz w:val="22"/>
          <w:szCs w:val="22"/>
        </w:rPr>
        <w:t>). During first 4 days after contusion, fentanyl (0.05 mg/kg; IP) was administered to alleviate pain. Nonsteroidal anti-inflammatory drugs (NSAIDs) were not used here because these drugs affect muscle regeneration</w:t>
      </w:r>
      <w:r w:rsidRPr="00505A7A">
        <w:rPr>
          <w:rFonts w:ascii="Arial" w:hAnsi="Arial" w:cs="Arial"/>
          <w:color w:val="000000" w:themeColor="text1"/>
          <w:sz w:val="22"/>
          <w:szCs w:val="22"/>
        </w:rPr>
        <w:fldChar w:fldCharType="begin" w:fldLock="1"/>
      </w:r>
      <w:r w:rsidR="00004C0A" w:rsidRPr="00505A7A">
        <w:rPr>
          <w:rFonts w:ascii="Arial" w:hAnsi="Arial" w:cs="Arial"/>
          <w:color w:val="000000" w:themeColor="text1"/>
          <w:sz w:val="22"/>
          <w:szCs w:val="22"/>
        </w:rPr>
        <w:instrText>ADDIN CSL_CITATION {"citationItems":[{"id":"ITEM-1","itemData":{"DOI":"10.1016/S0002-9440(10)61199-6","ISSN":"00029440","PMID":"16192645","abstract":"Nonsteroidal anti-inflammatory drugs are often prescribed after muscle injury. However, the effect of nonsteroidal anti-inflammatory drugs on muscle healing remains primarily controversial. To further examine the validity of using these drugs after muscle injury, we investigated the working mechanism of NS-398, a cyclooxygenase-2-speciflc inhibitor. In vitro experiments showed that NS-398 inhibited the proliferation and maturation of differentiated myogenic precursor cells, suggesting a detrimental effect on skeletal muscle healing. Using a mouse laceration model, we analyzed the in vivo effect of NS-398 on skeletal muscle healing at time points up to 4 weeks after injury. The in vivo results revealed delayed muscle regeneration at early time points after injury in the NS-398-treated mice. Compared to controls, lacerated muscles treated with NS-398 expressed higher levels of transforming growth factor-β1, which corresponded with increased fibrosis. In addition, transforming growth factor-β1 co-localized with myostatin, a negative regulator of skeletal muscle growth. We also found reduced neutrophil and macrophage infiltration in treated muscles, indicating that the delayed skeletal muscle healing observed after NS-398 treatment could be influenced by the anti-inflammatory effect of NS-398. Our findings suggest that the use of cyclooxygenase-2-specific inhibitors to treat skeletal muscle injuries warrants caution because they may interfere with muscle healing. Copyright © American Society for Investigative Pathology.","author":[{"dropping-particle":"","family":"Shen","given":"Wei","non-dropping-particle":"","parse-names":false,"suffix":""},{"dropping-particle":"","family":"Li","given":"Yong","non-dropping-particle":"","parse-names":false,"suffix":""},{"dropping-particle":"","family":"Tang","given":"Ying","non-dropping-particle":"","parse-names":false,"suffix":""},{"dropping-particle":"","family":"Cummins","given":"James","non-dropping-particle":"","parse-names":false,"suffix":""},{"dropping-particle":"","family":"Huard","given":"Johnny","non-dropping-particle":"","parse-names":false,"suffix":""}],"container-title":"American Journal of Pathology","id":"ITEM-1","issue":"4","issued":{"date-parts":[["2005"]]},"page":"1105-1117","publisher":"American Society for Investigative Pathology Inc.","title":"NS-398, a cyclooxygenase-2-specific inhibitor, delays skeletal muscle healing by decreasing regeneration and promoting fibrosis","type":"article-journal","volume":"167"},"uris":["http://www.mendeley.com/documents/?uuid=bbe7f396-56c4-354b-adac-f946464755d7"]}],"mendeley":{"formattedCitation":"[4]","plainTextFormattedCitation":"[4]","previouslyFormattedCitation":"&lt;sup&gt;4&lt;/sup&gt;"},"properties":{"noteIndex":0},"schema":"https://github.com/citation-style-language/schema/raw/master/csl-citation.json"}</w:instrText>
      </w:r>
      <w:r w:rsidRPr="00505A7A">
        <w:rPr>
          <w:rFonts w:ascii="Arial" w:hAnsi="Arial" w:cs="Arial"/>
          <w:color w:val="000000" w:themeColor="text1"/>
          <w:sz w:val="22"/>
          <w:szCs w:val="22"/>
        </w:rPr>
        <w:fldChar w:fldCharType="separate"/>
      </w:r>
      <w:r w:rsidR="00004C0A" w:rsidRPr="00505A7A">
        <w:rPr>
          <w:rFonts w:ascii="Arial" w:hAnsi="Arial" w:cs="Arial"/>
          <w:noProof/>
          <w:color w:val="000000" w:themeColor="text1"/>
          <w:sz w:val="22"/>
          <w:szCs w:val="22"/>
        </w:rPr>
        <w:t>[4]</w:t>
      </w:r>
      <w:r w:rsidRPr="00505A7A">
        <w:rPr>
          <w:rFonts w:ascii="Arial" w:hAnsi="Arial" w:cs="Arial"/>
          <w:color w:val="000000" w:themeColor="text1"/>
          <w:sz w:val="22"/>
          <w:szCs w:val="22"/>
        </w:rPr>
        <w:fldChar w:fldCharType="end"/>
      </w:r>
      <w:r w:rsidRPr="00505A7A">
        <w:rPr>
          <w:rFonts w:ascii="Arial" w:hAnsi="Arial" w:cs="Arial"/>
          <w:color w:val="000000" w:themeColor="text1"/>
          <w:sz w:val="22"/>
          <w:szCs w:val="22"/>
        </w:rPr>
        <w:t>.</w:t>
      </w:r>
    </w:p>
    <w:p w14:paraId="372E961D" w14:textId="77777777" w:rsidR="00A74541" w:rsidRPr="00505A7A" w:rsidRDefault="00A74541" w:rsidP="0072155D">
      <w:pPr>
        <w:spacing w:line="276" w:lineRule="auto"/>
        <w:jc w:val="both"/>
        <w:rPr>
          <w:rFonts w:ascii="Arial" w:hAnsi="Arial" w:cs="Arial"/>
          <w:b/>
          <w:color w:val="000000" w:themeColor="text1"/>
          <w:sz w:val="22"/>
          <w:szCs w:val="22"/>
        </w:rPr>
      </w:pPr>
    </w:p>
    <w:p w14:paraId="1141A776" w14:textId="35A16D91" w:rsidR="00A74541" w:rsidRPr="00505A7A" w:rsidRDefault="00A74541" w:rsidP="0072155D">
      <w:pPr>
        <w:spacing w:line="276" w:lineRule="auto"/>
        <w:jc w:val="both"/>
        <w:rPr>
          <w:rFonts w:ascii="Arial" w:hAnsi="Arial" w:cs="Arial"/>
          <w:color w:val="000000" w:themeColor="text1"/>
          <w:sz w:val="22"/>
          <w:szCs w:val="22"/>
        </w:rPr>
      </w:pPr>
      <w:r w:rsidRPr="00505A7A">
        <w:rPr>
          <w:rFonts w:ascii="Arial" w:hAnsi="Arial" w:cs="Arial"/>
          <w:b/>
          <w:color w:val="000000" w:themeColor="text1"/>
          <w:sz w:val="22"/>
          <w:szCs w:val="22"/>
          <w:shd w:val="clear" w:color="auto" w:fill="FFFFFF"/>
        </w:rPr>
        <w:t xml:space="preserve">Histological Evaluation and Analysis. </w:t>
      </w:r>
      <w:r w:rsidRPr="00505A7A">
        <w:rPr>
          <w:rFonts w:ascii="Arial" w:hAnsi="Arial" w:cs="Arial"/>
          <w:color w:val="000000" w:themeColor="text1"/>
          <w:sz w:val="22"/>
          <w:szCs w:val="22"/>
          <w:shd w:val="clear" w:color="auto" w:fill="FFFFFF"/>
        </w:rPr>
        <w:t>After the mice are euthanized 0, 4, 8, 15 or 30 days after injury, bilateral TA muscles were instantly frozen in isopentane (precooled in liquid nitrogen) and stored at -80°C until sectioned. Serial cryosections of 8-mm thickness were prepared (</w:t>
      </w:r>
      <w:proofErr w:type="spellStart"/>
      <w:r w:rsidRPr="00505A7A">
        <w:rPr>
          <w:rFonts w:ascii="Arial" w:hAnsi="Arial" w:cs="Arial"/>
          <w:color w:val="000000" w:themeColor="text1"/>
          <w:sz w:val="22"/>
          <w:szCs w:val="22"/>
          <w:shd w:val="clear" w:color="auto" w:fill="FFFFFF"/>
        </w:rPr>
        <w:t>CryoStar</w:t>
      </w:r>
      <w:proofErr w:type="spellEnd"/>
      <w:r w:rsidRPr="00505A7A">
        <w:rPr>
          <w:rFonts w:ascii="Arial" w:hAnsi="Arial" w:cs="Arial"/>
          <w:color w:val="000000" w:themeColor="text1"/>
          <w:sz w:val="22"/>
          <w:szCs w:val="22"/>
          <w:shd w:val="clear" w:color="auto" w:fill="FFFFFF"/>
        </w:rPr>
        <w:t xml:space="preserve">™ NX70 Cryostat - </w:t>
      </w:r>
      <w:proofErr w:type="spellStart"/>
      <w:r w:rsidRPr="00505A7A">
        <w:rPr>
          <w:rFonts w:ascii="Arial" w:hAnsi="Arial" w:cs="Arial"/>
          <w:color w:val="000000" w:themeColor="text1"/>
          <w:sz w:val="22"/>
          <w:szCs w:val="22"/>
          <w:shd w:val="clear" w:color="auto" w:fill="FFFFFF"/>
        </w:rPr>
        <w:t>Thermo</w:t>
      </w:r>
      <w:proofErr w:type="spellEnd"/>
      <w:r w:rsidRPr="00505A7A">
        <w:rPr>
          <w:rFonts w:ascii="Arial" w:hAnsi="Arial" w:cs="Arial"/>
          <w:color w:val="000000" w:themeColor="text1"/>
          <w:sz w:val="22"/>
          <w:szCs w:val="22"/>
          <w:shd w:val="clear" w:color="auto" w:fill="FFFFFF"/>
        </w:rPr>
        <w:t xml:space="preserve"> Fisher Scientific) for immunostaining according to the protocol of </w:t>
      </w:r>
      <w:r w:rsidRPr="00505A7A">
        <w:rPr>
          <w:rFonts w:ascii="Arial" w:hAnsi="Arial" w:cs="Arial"/>
          <w:b/>
          <w:bCs/>
          <w:color w:val="000000" w:themeColor="text1"/>
          <w:sz w:val="22"/>
          <w:szCs w:val="22"/>
          <w:shd w:val="clear" w:color="auto" w:fill="FFFFFF"/>
        </w:rPr>
        <w:t xml:space="preserve">Table </w:t>
      </w:r>
      <w:r w:rsidRPr="00505A7A">
        <w:rPr>
          <w:rFonts w:ascii="Arial" w:hAnsi="Arial" w:cs="Arial"/>
          <w:color w:val="000000" w:themeColor="text1"/>
          <w:sz w:val="22"/>
          <w:szCs w:val="22"/>
          <w:shd w:val="clear" w:color="auto" w:fill="FFFFFF"/>
        </w:rPr>
        <w:t>S1. All images were captured inside injured areas and 10 randomly selected 200x or 400x high-powered fields (HPF) from each sample as previously described</w:t>
      </w:r>
      <w:r w:rsidRPr="00505A7A">
        <w:rPr>
          <w:rFonts w:ascii="Arial" w:hAnsi="Arial" w:cs="Arial"/>
          <w:color w:val="000000" w:themeColor="text1"/>
          <w:sz w:val="22"/>
          <w:szCs w:val="22"/>
          <w:shd w:val="clear" w:color="auto" w:fill="FFFFFF"/>
        </w:rPr>
        <w:fldChar w:fldCharType="begin" w:fldLock="1"/>
      </w:r>
      <w:r w:rsidR="00004C0A" w:rsidRPr="00505A7A">
        <w:rPr>
          <w:rFonts w:ascii="Arial" w:hAnsi="Arial" w:cs="Arial"/>
          <w:color w:val="000000" w:themeColor="text1"/>
          <w:sz w:val="22"/>
          <w:szCs w:val="22"/>
          <w:shd w:val="clear" w:color="auto" w:fill="FFFFFF"/>
        </w:rPr>
        <w:instrText>ADDIN CSL_CITATION {"citationItems":[{"id":"ITEM-1","itemData":{"DOI":"10.1016/S0736-0266(03)00059-7","ISSN":"1554-527X","PMID":"12919866","abstract":"Muscle injuries are a common problem in sports medicine. Skeletal muscle can regenerate itself, but the process is both slow and incomplete. Previously we and others have used growth factors to improve the regeneration of muscle, but the muscle healing was impeded by scar tissue formation. However, when we blocked the fibrosis process with decorin, an antifibrosis agent, we improved the muscle healing. Here we show that γinterferon (γINF) - a cytokine that inhibits the signaling of transforming growth factor β1 (TGFβ1), a fibrotic stimulator - reduces fibrosis formation and improves the healing of lacerated skeletal muscle. With γINF treatment, the growth rate of muscle-derived fibroblasts was reduced and the level of fibrotic protein expression induced by TGFβ1 (including TGFβ1, vimentin, and α-smooth muscle actin) was down-regulated in vitro. In a mouse laceration model, the area of fibrosis decreased when γINF was injected at either 1 or 2 weeks after injury. More importantly, the injection of γINF at either 1 or 2 weeks post-injury was found to improve muscle function in terms of both fast-twitch and tetanic strength. This study demonstrates that γINF is a potent antifibrosis agent that can improve muscle healing after laceration injury. © 2003 Orthopaedic Research Society. Published by Elsevier Ltd. All rights reserved.","author":[{"dropping-particle":"","family":"Foster","given":"William","non-dropping-particle":"","parse-names":false,"suffix":""},{"dropping-particle":"","family":"Li","given":"Yong","non-dropping-particle":"","parse-names":false,"suffix":""},{"dropping-particle":"","family":"Usas","given":"Arvydas","non-dropping-particle":"","parse-names":false,"suffix":""},{"dropping-particle":"","family":"Somogyi","given":"George","non-dropping-particle":"","parse-names":false,"suffix":""},{"dropping-particle":"","family":"Huard","given":"Johnny","non-dropping-particle":"","parse-names":false,"suffix":""}],"container-title":"Journal of Orthopaedic Research","id":"ITEM-1","issue":"5","issued":{"date-parts":[["2003","9","1"]]},"page":"798-804","publisher":"John Wiley &amp; Sons, Ltd","title":"Gamma interferon as an antifibrosis agent in skeletal muscle","type":"article-journal","volume":"21"},"uris":["http://www.mendeley.com/documents/?uuid=c0b2b7cd-b420-3694-a351-4147335e25d4"]},{"id":"ITEM-2","itemData":{"DOI":"10.1177/03635465010290040201","ISSN":"03635465","PMID":"11476375","abstract":"Muscle injuries are challenging problems in traumatology and the most frequent injuries in sports medicine. Muscle injuries are capable of healing, although slowly and occasionally with incomplete functional recovery. We observed that lacerated muscle undergoes a rapid process of regeneration, which is hindered by the development of fibrosis. Biologic approaches to enhance muscle regeneration and prevent fibrosis are being investigated to improve muscle healing after injuries. We observed that growth factors can improve muscle regeneration but cannot prevent muscle fibrosis. We investigated the use of an antifibrosis substance, decorin, as an approach to prevent fibrosis and thereby improve muscle healing after injury in murine muscle. We observed that direct injection of human recombinant decorin can efficiently prevent fibrosis and enhance muscle regeneration in the lacerated muscle. More importantly, decorin can improve the recovery of strength in the injured muscle to a level similar to that observed in normal noninjured muscle. These results suggest that injection of decorin improves both the muscle structure and the function of the lacerated muscle to near complete recovery. This study will contribute significantly to the development of strategies to promote efficient muscle healing and complete functional recovery after muscle injuries.","author":[{"dropping-particle":"","family":"Fukushima","given":"Kazumasa","non-dropping-particle":"","parse-names":false,"suffix":""},{"dropping-particle":"","family":"Badlani","given":"Neil","non-dropping-particle":"","parse-names":false,"suffix":""},{"dropping-particle":"","family":"Usas","given":"Arvydas","non-dropping-particle":"","parse-names":false,"suffix":""},{"dropping-particle":"","family":"Riano","given":"Felix","non-dropping-particle":"","parse-names":false,"suffix":""},{"dropping-particle":"","family":"Fu","given":"Freddie H.","non-dropping-particle":"","parse-names":false,"suffix":""},{"dropping-particle":"","family":"Huard","given":"Johnny","non-dropping-particle":"","parse-names":false,"suffix":""}],"container-title":"American Journal of Sports Medicine","id":"ITEM-2","issue":"4","issued":{"date-parts":[["2001"]]},"page":"394-402","publisher":"American Orthopaedic Society for Sports Medicine","title":"The use of an antifibrosis agent to improve muscle recovery after laceration","type":"article-journal","volume":"29"},"uris":["http://www.mendeley.com/documents/?uuid=f327b809-930e-38c3-8178-1f86a53c0581"]},{"id":"ITEM-3","itemData":{"author":[{"dropping-particle":"","family":"C Kasemkijwattana","given":"J Menetrey, G Somogyl","non-dropping-particle":"","parse-names":false,"suffix":""}],"container-title":"Cell Transplant","id":"ITEM-3","issued":{"date-parts":[["1998"]]},"page":"585-598","title":"Development of approaches to improve the healing following muscle contusion","type":"article-journal","volume":"7"},"uris":["http://www.mendeley.com/documents/?uuid=ce3f42ce-7fd2-3360-93cd-823505a03382"]},{"id":"ITEM-4","itemData":{"DOI":"10.1186/scrt245","ISSN":"17576512","PMID":"23890057","abstract":"Introduction. BALB/c mice and C57/BL6 mice have different abilities to recover from ischemia. C57/BL6 mice display increased vessel collateralization and vascular endothelial growth factor expression with a consequent rapid recovery from ischemia compared with BALB/c mice. Mesenchymal stem cells (MSCs) are one of the main cell types that contribute to the recovery from ischemia because, among their biological activities, they produce several proangiogenic paracrine factors and differentiate into endothelial cells. The objective of this study was to evaluate whether the MSCs of these two mouse strains have different inductive capacities for recovering ischemic limbs. Methods. MSCs from these two strains were obtained from the bone marrow, purified and characterized before being used for in vivo experiments. Limb ischemia was surgically induced in BALB/c mice, and MSCs were injected on the fifth day. The evolution of limb necrosis was evaluated over the subsequent month. Muscle strength was assessed on the 30th day after the injection, and then the animals were sacrificed to determine the muscle mass and perform histological analyses to detect cellular infiltration, capillary and microvessel densities, fibrosis, necrosis and tissue regeneration. Results: The MSCs from both strains promoted high level of angiogenesis similarly, resulting in good recovery from ischemia. However, BALB/c MSCs promoted more muscle regeneration (57%) than C57/BL6 MSCs (44%), which was reflected in the increased muscle strength (0.79 N versus 0.45 N). Conclusion: The different genetic background of MSCs from BALB/c mice and C57/BL6 mice was not a relevant factor in promoting angiogenesis of limb ischemia, because both cells showed a similar angiogenic activity. These cells also showed a potential myogenic effect, but the stronger effect promoted by BALB/c MSCs indicates that the different genetic background of MSCs was more relevant in myogenesis than angiogesis. © 2013 da Cunha et al.; licensee BioMed Central Ltd.","author":[{"dropping-particle":"","family":"Cunha","given":"Flavia Franco","non-dropping-particle":"","parse-names":false,"suffix":""},{"dropping-particle":"","family":"Martins","given":"Leonardo","non-dropping-particle":"","parse-names":false,"suffix":""},{"dropping-particle":"","family":"Martin","given":"Priscila Keiko Matsumoto","non-dropping-particle":"","parse-names":false,"suffix":""},{"dropping-particle":"","family":"Stilhano","given":"Roberta Sessa","non-dropping-particle":"","parse-names":false,"suffix":""},{"dropping-particle":"","family":"Han","given":"Sang Won","non-dropping-particle":"","parse-names":false,"suffix":""}],"container-title":"Stem Cell Research and Therapy","id":"ITEM-4","issue":"4","issued":{"date-parts":[["2013"]]},"page":"86","publisher":"BioMed Central","title":"A comparison of the reparative and angiogenic properties of mesenchymal stem cells derived from the bone marrow of BALB/c and C57/BL6 mice in a model of limb ischemia","type":"article-journal","volume":"4"},"uris":["http://www.mendeley.com/documents/?uuid=47ef7dde-6d57-3662-b6fe-3d79013e8641"]},{"id":"ITEM-5","itemData":{"DOI":"10.1186/s13287-020-01992-1","ISSN":"17576512","PMID":"33158459","abstract":"Background: After traumatic skeletal muscle injury, muscle healing is often incomplete and produces extensive fibrosis. The sequence of M1 and M2 macrophage accumulation and the duration of each subtype in the injured area may help to direct the relative extent of fibrogenesis and myogenesis during healing. We hypothesized that increasing the number of M1 macrophages early after traumatic muscle injury would produce more cellular and molecular substrates for myogenesis and fewer substrates for fibrosis, leading to better muscle healing. Methods: To test this hypothesis, we transfected skeletal muscle with a plasmid vector to transiently express GM-CSF shortly after injury to drive the polarization of macrophages towards the M1 subset. C57BL/6 mouse tibialis anterior (TA) muscles were injured by contusion and electroporated with uP-mGM, which is a plasmid vector that transiently expresses GM-CSF. Myogenesis, angiogenesis, and fibrosis were evaluated by histology, immunohistochemistry, and RT-qPCR; subpopulations of macrophages by flow cytometry; and muscle functioning by the maximum running speed on the treadmill and the recovery of muscle mass. Results: Muscle injury increased the number of local M1-like macrophages and decreased the number of M2-like macrophages on day 4, and uP-mGM treatment enhanced this variation. uP-mGM treatment decreased TGF-β1 protein expression on day 4, and the Sirius Red-positive area decreased from 35.93 ± 15.45% (no treatment) to 2.9% ± 6.5% (p &lt; 0.01) on day 30. uP-mGM electroporation also increased Hgf, Hif1α, and Mtor gene expression; arteriole density; and muscle fiber number during regeneration. The improvement in the quality of the muscle tissue after treatment with uP-mGM affected the increase in the TA muscle mass and the maximum running speed on a treadmill. Conclusion: Collectively, our data show that increasing the number of M1-like macrophages immediately after traumatic muscle injury promotes muscle recovery with less fibrosis, and this can be achieved by the transient expression of GM-CSF.","author":[{"dropping-particle":"","family":"Martins","given":"Leonardo","non-dropping-particle":"","parse-names":false,"suffix":""},{"dropping-particle":"","family":"Gallo","given":"Camila Congentino","non-dropping-particle":"","parse-names":false,"suffix":""},{"dropping-particle":"","family":"Honda","given":"Tâmisa Seeko Bandeira","non-dropping-particle":"","parse-names":false,"suffix":""},{"dropping-particle":"","family":"Alves","given":"Patrícia Terra","non-dropping-particle":"","parse-names":false,"suffix":""},{"dropping-particle":"","family":"Stilhano","given":"Roberta Sessa","non-dropping-particle":"","parse-names":false,"suffix":""},{"dropping-particle":"","family":"Rosa","given":"Daniela Santoro","non-dropping-particle":"","parse-names":false,"suffix":""},{"dropping-particle":"","family":"Koh","given":"Timothy Jon","non-dropping-particle":"","parse-names":false,"suffix":""},{"dropping-particle":"","family":"Han","given":"Sang Won","non-dropping-particle":"","parse-names":false,"suffix":""}],"container-title":"Stem Cell Research and Therapy","id":"ITEM-5","issue":"1","issued":{"date-parts":[["2020","12","6"]]},"page":"473","publisher":"BioMed Central","title":"Skeletal muscle healing by M1-like macrophages produced by transient expression of exogenous GM-CSF","type":"article-journal","volume":"11"},"uris":["http://www.mendeley.com/documents/?uuid=05ddaab0-7491-3f59-b7a9-0f3826097fe7"]}],"mendeley":{"formattedCitation":"[3], [5]–[8]","plainTextFormattedCitation":"[3], [5]–[8]","previouslyFormattedCitation":"&lt;sup&gt;3,5–8&lt;/sup&gt;"},"properties":{"noteIndex":0},"schema":"https://github.com/citation-style-language/schema/raw/master/csl-citation.json"}</w:instrText>
      </w:r>
      <w:r w:rsidRPr="00505A7A">
        <w:rPr>
          <w:rFonts w:ascii="Arial" w:hAnsi="Arial" w:cs="Arial"/>
          <w:color w:val="000000" w:themeColor="text1"/>
          <w:sz w:val="22"/>
          <w:szCs w:val="22"/>
          <w:shd w:val="clear" w:color="auto" w:fill="FFFFFF"/>
        </w:rPr>
        <w:fldChar w:fldCharType="separate"/>
      </w:r>
      <w:r w:rsidR="00004C0A" w:rsidRPr="00505A7A">
        <w:rPr>
          <w:rFonts w:ascii="Arial" w:hAnsi="Arial" w:cs="Arial"/>
          <w:noProof/>
          <w:color w:val="000000" w:themeColor="text1"/>
          <w:sz w:val="22"/>
          <w:szCs w:val="22"/>
          <w:shd w:val="clear" w:color="auto" w:fill="FFFFFF"/>
        </w:rPr>
        <w:t>[3], [5]–[8]</w:t>
      </w:r>
      <w:r w:rsidRPr="00505A7A">
        <w:rPr>
          <w:rFonts w:ascii="Arial" w:hAnsi="Arial" w:cs="Arial"/>
          <w:color w:val="000000" w:themeColor="text1"/>
          <w:sz w:val="22"/>
          <w:szCs w:val="22"/>
          <w:shd w:val="clear" w:color="auto" w:fill="FFFFFF"/>
        </w:rPr>
        <w:fldChar w:fldCharType="end"/>
      </w:r>
      <w:r w:rsidRPr="00505A7A">
        <w:rPr>
          <w:rFonts w:ascii="Arial" w:hAnsi="Arial" w:cs="Arial"/>
          <w:color w:val="000000" w:themeColor="text1"/>
          <w:sz w:val="22"/>
          <w:szCs w:val="22"/>
          <w:shd w:val="clear" w:color="auto" w:fill="FFFFFF"/>
        </w:rPr>
        <w:t xml:space="preserve">. </w:t>
      </w:r>
      <w:r w:rsidRPr="00505A7A">
        <w:rPr>
          <w:rFonts w:ascii="Arial" w:hAnsi="Arial" w:cs="Arial"/>
          <w:color w:val="000000" w:themeColor="text1"/>
          <w:sz w:val="22"/>
          <w:szCs w:val="22"/>
        </w:rPr>
        <w:t xml:space="preserve">The percentages of cells expressing each marker of the </w:t>
      </w:r>
      <w:r w:rsidRPr="00505A7A">
        <w:rPr>
          <w:rFonts w:ascii="Arial" w:hAnsi="Arial" w:cs="Arial"/>
          <w:b/>
          <w:bCs/>
          <w:color w:val="000000" w:themeColor="text1"/>
          <w:sz w:val="22"/>
          <w:szCs w:val="22"/>
        </w:rPr>
        <w:t>Table</w:t>
      </w:r>
      <w:r w:rsidRPr="00505A7A">
        <w:rPr>
          <w:rFonts w:ascii="Arial" w:hAnsi="Arial" w:cs="Arial"/>
          <w:color w:val="000000" w:themeColor="text1"/>
          <w:sz w:val="22"/>
          <w:szCs w:val="22"/>
        </w:rPr>
        <w:t xml:space="preserve"> S2 was obtained after image acquisition with a fluorescence microscope </w:t>
      </w:r>
      <w:r w:rsidRPr="00505A7A">
        <w:rPr>
          <w:rFonts w:ascii="Arial" w:hAnsi="Arial" w:cs="Arial"/>
          <w:color w:val="000000" w:themeColor="text1"/>
          <w:spacing w:val="3"/>
          <w:sz w:val="22"/>
          <w:szCs w:val="22"/>
          <w:shd w:val="clear" w:color="auto" w:fill="FFFFFF"/>
        </w:rPr>
        <w:t xml:space="preserve">(Keyence, Osaka, Japan; BZ-9000) and </w:t>
      </w:r>
      <w:r w:rsidRPr="00505A7A">
        <w:rPr>
          <w:rFonts w:ascii="Arial" w:hAnsi="Arial" w:cs="Arial"/>
          <w:color w:val="000000" w:themeColor="text1"/>
          <w:sz w:val="22"/>
          <w:szCs w:val="22"/>
        </w:rPr>
        <w:t>quantified using ImageJ (</w:t>
      </w:r>
      <w:r w:rsidRPr="00505A7A">
        <w:rPr>
          <w:rFonts w:ascii="Arial" w:hAnsi="Arial" w:cs="Arial"/>
          <w:color w:val="000000" w:themeColor="text1"/>
          <w:sz w:val="22"/>
          <w:szCs w:val="22"/>
          <w:shd w:val="clear" w:color="auto" w:fill="FFFFFF"/>
        </w:rPr>
        <w:t>Rasband, W.S., </w:t>
      </w:r>
      <w:r w:rsidRPr="00505A7A">
        <w:rPr>
          <w:rStyle w:val="Emphasis"/>
          <w:rFonts w:ascii="Arial" w:hAnsi="Arial" w:cs="Arial"/>
          <w:bCs/>
          <w:color w:val="000000" w:themeColor="text1"/>
          <w:sz w:val="22"/>
          <w:szCs w:val="22"/>
          <w:shd w:val="clear" w:color="auto" w:fill="FFFFFF"/>
        </w:rPr>
        <w:t>ImageJ</w:t>
      </w:r>
      <w:r w:rsidRPr="00505A7A">
        <w:rPr>
          <w:rFonts w:ascii="Arial" w:hAnsi="Arial" w:cs="Arial"/>
          <w:color w:val="000000" w:themeColor="text1"/>
          <w:sz w:val="22"/>
          <w:szCs w:val="22"/>
          <w:shd w:val="clear" w:color="auto" w:fill="FFFFFF"/>
        </w:rPr>
        <w:t>, U. S. National Institutes of Health, </w:t>
      </w:r>
      <w:r w:rsidRPr="00505A7A">
        <w:rPr>
          <w:rStyle w:val="Emphasis"/>
          <w:rFonts w:ascii="Arial" w:hAnsi="Arial" w:cs="Arial"/>
          <w:bCs/>
          <w:color w:val="000000" w:themeColor="text1"/>
          <w:sz w:val="22"/>
          <w:szCs w:val="22"/>
          <w:shd w:val="clear" w:color="auto" w:fill="FFFFFF"/>
        </w:rPr>
        <w:t>Bethesda</w:t>
      </w:r>
      <w:r w:rsidRPr="00505A7A">
        <w:rPr>
          <w:rFonts w:ascii="Arial" w:hAnsi="Arial" w:cs="Arial"/>
          <w:color w:val="000000" w:themeColor="text1"/>
          <w:sz w:val="22"/>
          <w:szCs w:val="22"/>
          <w:shd w:val="clear" w:color="auto" w:fill="FFFFFF"/>
        </w:rPr>
        <w:t>, </w:t>
      </w:r>
      <w:r w:rsidRPr="00505A7A">
        <w:rPr>
          <w:rStyle w:val="Emphasis"/>
          <w:rFonts w:ascii="Arial" w:hAnsi="Arial" w:cs="Arial"/>
          <w:bCs/>
          <w:color w:val="000000" w:themeColor="text1"/>
          <w:sz w:val="22"/>
          <w:szCs w:val="22"/>
          <w:shd w:val="clear" w:color="auto" w:fill="FFFFFF"/>
        </w:rPr>
        <w:t>Maryland</w:t>
      </w:r>
      <w:r w:rsidRPr="00505A7A">
        <w:rPr>
          <w:rFonts w:ascii="Arial" w:hAnsi="Arial" w:cs="Arial"/>
          <w:color w:val="000000" w:themeColor="text1"/>
          <w:sz w:val="22"/>
          <w:szCs w:val="22"/>
          <w:shd w:val="clear" w:color="auto" w:fill="FFFFFF"/>
        </w:rPr>
        <w:t xml:space="preserve">, USA) or </w:t>
      </w:r>
      <w:proofErr w:type="spellStart"/>
      <w:r w:rsidRPr="00505A7A">
        <w:rPr>
          <w:rFonts w:ascii="Arial" w:hAnsi="Arial" w:cs="Arial"/>
          <w:color w:val="000000" w:themeColor="text1"/>
          <w:sz w:val="22"/>
          <w:szCs w:val="22"/>
          <w:shd w:val="clear" w:color="auto" w:fill="FFFFFF"/>
        </w:rPr>
        <w:t>ImagePro</w:t>
      </w:r>
      <w:proofErr w:type="spellEnd"/>
      <w:r w:rsidRPr="00505A7A">
        <w:rPr>
          <w:rFonts w:ascii="Arial" w:hAnsi="Arial" w:cs="Arial"/>
          <w:color w:val="000000" w:themeColor="text1"/>
          <w:sz w:val="22"/>
          <w:szCs w:val="22"/>
          <w:shd w:val="clear" w:color="auto" w:fill="FFFFFF"/>
        </w:rPr>
        <w:t xml:space="preserve"> Plus (</w:t>
      </w:r>
      <w:r w:rsidRPr="00505A7A">
        <w:rPr>
          <w:rStyle w:val="Emphasis"/>
          <w:rFonts w:ascii="Arial" w:hAnsi="Arial" w:cs="Arial"/>
          <w:bCs/>
          <w:color w:val="000000" w:themeColor="text1"/>
          <w:sz w:val="22"/>
          <w:szCs w:val="22"/>
          <w:shd w:val="clear" w:color="auto" w:fill="FFFFFF"/>
        </w:rPr>
        <w:t>Media Cybernetics</w:t>
      </w:r>
      <w:r w:rsidRPr="00505A7A">
        <w:rPr>
          <w:rFonts w:ascii="Arial" w:hAnsi="Arial" w:cs="Arial"/>
          <w:color w:val="000000" w:themeColor="text1"/>
          <w:sz w:val="22"/>
          <w:szCs w:val="22"/>
          <w:shd w:val="clear" w:color="auto" w:fill="FFFFFF"/>
        </w:rPr>
        <w:t xml:space="preserve">, Rockville, MD, USA) </w:t>
      </w:r>
      <w:r w:rsidRPr="00505A7A">
        <w:rPr>
          <w:rFonts w:ascii="Arial" w:hAnsi="Arial" w:cs="Arial"/>
          <w:color w:val="000000" w:themeColor="text1"/>
          <w:sz w:val="22"/>
          <w:szCs w:val="22"/>
        </w:rPr>
        <w:t>according to a previously described protocol</w:t>
      </w:r>
      <w:r w:rsidRPr="00505A7A">
        <w:rPr>
          <w:rFonts w:ascii="Arial" w:hAnsi="Arial" w:cs="Arial"/>
          <w:color w:val="000000" w:themeColor="text1"/>
          <w:sz w:val="22"/>
          <w:szCs w:val="22"/>
        </w:rPr>
        <w:fldChar w:fldCharType="begin" w:fldLock="1"/>
      </w:r>
      <w:r w:rsidR="00004C0A" w:rsidRPr="00505A7A">
        <w:rPr>
          <w:rFonts w:ascii="Arial" w:hAnsi="Arial" w:cs="Arial"/>
          <w:color w:val="000000" w:themeColor="text1"/>
          <w:sz w:val="22"/>
          <w:szCs w:val="22"/>
        </w:rPr>
        <w:instrText>ADDIN CSL_CITATION {"citationItems":[{"id":"ITEM-1","itemData":{"DOI":"10.1359/JBMR.050513","ISSN":"1523-4681","PMID":"16059633","abstract":"After intramuscular implantation, BMP4-expressing NIH/3T3 fibroblasts and BMP4-expressing C2C12 myoblasts can promote ectopic cartilage and bone formation. Fibroblasts tend to undergo chondrogenesis, whereas myoblasts primarily undergo osteogenesis. These results suggest that endochondral bone formation may involve different cell types, a finding that could have major implications for the tissue engineering of bone and cartilage. Introduction: The delivery of BMP4 through cell-based gene therapy can trigger ectopic endochondral bone formation in skeletal muscle. We hypothesized that, when stimulated with or transduced to express BMP4, different types of cells residing within skeletal muscle might participate in different stages of endochondral bone formation. Materials and Methods: We compared the responses of a fibroblast cell line (NIH/3T3), a myoblast cell line (C2C12), primary fibroblasts, and primary myoblasts to BMP4 stimulation in vitro. We then transduced the four cell populations to express BMP4 and compared their ability to promote ectopic endochondral bone formation in skeletal muscle. Results: Under the influence of BMP4 in vitro and in vivo, NIH/3T3 cells differentiated toward both chondrogenic and osteogenic lineages, whereas most C2C12 cells underwent primarily osteogenic differentiation. NIH/3T3 cells genetically modified to express BMP4 induced delayed but more robust cartilage formation than did genetically modified C2C12 cells, which promoted rapid ossification. These differences in terms of the timing and amount of cartilage and bone formation persisted even after we introduced a retrovirus encoding dominant negative Runx2 (DNRunx2) into the C2C12 cells, which interferes with the function of Runx2. Superior osteogenic potential was also displayed by the primary myoblasts in vitro and in vivo compared with the primary fibroblasts. The different proliferation abilities and differentiation potentials exhibited by these cells when influenced by BMP4 may at least partially explain the differing roles that BMP4-expressing myogenic cells and BMP4-expressing fibroblastic cells play in endochondral bone formation. Conclusions: Our findings suggest that the process of endochondral bone formation in skeletal muscle after delivery of BMP4 involves different cell types, including fibroblastic cells, which are more involved in the chondrogenic phases, and myoblastic cells, which are primarily involved in osteogenesis. These findings could have imp…","author":[{"dropping-particle":"","family":"Li","given":"Guangheng","non-dropping-particle":"","parse-names":false,"suffix":""},{"dropping-particle":"","family":"Peng","given":"Hairong","non-dropping-particle":"","parse-names":false,"suffix":""},{"dropping-particle":"","family":"Corsi","given":"Karin","non-dropping-particle":"","parse-names":false,"suffix":""},{"dropping-particle":"","family":"Usas","given":"Arvydas","non-dropping-particle":"","parse-names":false,"suffix":""},{"dropping-particle":"","family":"Olshanski","given":"Anne","non-dropping-particle":"","parse-names":false,"suffix":""},{"dropping-particle":"","family":"Huard","given":"Johnny","non-dropping-particle":"","parse-names":false,"suffix":""}],"container-title":"Journal of Bone and Mineral Research","id":"ITEM-1","issue":"9","issued":{"date-parts":[["2005","9","1"]]},"page":"1611-1623","publisher":"John Wiley &amp; Sons, Ltd","title":"Differential Effect of BMP4 on NIH/3T3 and C2C12 Cells: Implications for Endochondral Bone Formation","type":"article-journal","volume":"20"},"uris":["http://www.mendeley.com/documents/?uuid=1c881f61-9d0b-3f83-9cf7-054ff64bcdc9"]},{"id":"ITEM-2","itemData":{"DOI":"10.1089/TEN.1999.5.119","ISSN":"10763279","PMID":"10358219","abstract":"Segmental bone defects and nonunions are relatively common problems facing all orthopaedic surgeons. Osteogenic proteins, i.e., BMP-2, can promote bone healing in segmental bone defects. However, a...","author":[{"dropping-particle":"","family":"Day","given":"Charles S.","non-dropping-particle":"","parse-names":false,"suffix":""},{"dropping-particle":"","family":"Bosch","given":"Patrick","non-dropping-particle":"","parse-names":false,"suffix":""},{"dropping-particle":"","family":"Kasemkijwattana","given":"Channarong","non-dropping-particle":"","parse-names":false,"suffix":""},{"dropping-particle":"","family":"Menetrey","given":"Jacques","non-dropping-particle":"","parse-names":false,"suffix":""},{"dropping-particle":"","family":"Moreland","given":"Morey S.","non-dropping-particle":"","parse-names":false,"suffix":""},{"dropping-particle":"","family":"Fu","given":"Freddie H.","non-dropping-particle":"","parse-names":false,"suffix":""},{"dropping-particle":"","family":"Ziran","given":"Bruce","non-dropping-particle":"","parse-names":false,"suffix":""},{"dropping-particle":"","family":"Huard","given":"Johnny","non-dropping-particle":"","parse-names":false,"suffix":""}],"container-title":"https://home.liebertpub.com/ten","id":"ITEM-2","issue":"2","issued":{"date-parts":[["2007","1","16"]]},"page":"119-125","publisher":" Mary Ann Liebert, Inc.  2 Madison Avenue Larchmont, NY 10538 USA  ","title":"Use of Muscle Cells to Mediate Gene Transfer to the Bone Defect","type":"article-journal","volume":"5"},"uris":["http://www.mendeley.com/documents/?uuid=0c527b54-d444-3e7d-a70f-df58e2bd8998"]},{"id":"ITEM-3","itemData":{"author":[{"dropping-particle":"","family":"C Kasemkijwattana","given":"J Menetrey, G Somogyl","non-dropping-particle":"","parse-names":false,"suffix":""}],"container-title":"Cell Transplant","id":"ITEM-3","issued":{"date-parts":[["1998"]]},"page":"585-598","title":"Development of approaches to improve the healing following muscle contusion","type":"article-journal","volume":"7"},"uris":["http://www.mendeley.com/documents/?uuid=ce3f42ce-7fd2-3360-93cd-823505a03382"]},{"id":"ITEM-4","itemData":{"DOI":"10.1089/104303402320138989","ISSN":"10430342","PMID":"12133273","abstract":"Molecular biological advances have allowed the use of gene therapy in a clinical setting. In addition, numerous reports have indicated the existence of inducible osteoprogenitor cells in skeletal m...","author":[{"dropping-particle":"","family":"Lee","given":"Joon Yung","non-dropping-particle":"","parse-names":false,"suffix":""},{"dropping-particle":"","family":"Peng","given":"Hairong","non-dropping-particle":"","parse-names":false,"suffix":""},{"dropping-particle":"","family":"Usas","given":"Arvydas","non-dropping-particle":"","parse-names":false,"suffix":""},{"dropping-particle":"","family":"Musgrave","given":"Douglas","non-dropping-particle":"","parse-names":false,"suffix":""},{"dropping-particle":"","family":"Cummins","given":"James","non-dropping-particle":"","parse-names":false,"suffix":""},{"dropping-particle":"","family":"Pelinkovic","given":"Dalip","non-dropping-particle":"","parse-names":false,"suffix":""},{"dropping-particle":"","family":"Jankowski","given":"Ron","non-dropping-particle":"","parse-names":false,"suffix":""},{"dropping-particle":"","family":"Huard","given":"Johnny","non-dropping-particle":"","parse-names":false,"suffix":""},{"dropping-particle":"","family":"Lee","given":"Joon Yung","non-dropping-particle":"","parse-names":false,"suffix":""},{"dropping-particle":"","family":"Peng","given":"Hairong","non-dropping-particle":"","parse-names":false,"suffix":""},{"dropping-particle":"","family":"Ziran","given":"Bruce","non-dropping-particle":"","parse-names":false,"suffix":""},{"dropping-particle":"","family":"Lee","given":"Joon Yung","non-dropping-particle":"","parse-names":false,"suffix":""},{"dropping-particle":"","family":"Robbins","given":"Paul","non-dropping-particle":"","parse-names":false,"suffix":""},{"dropping-particle":"","family":"Huard","given":"Johnny","non-dropping-particle":"","parse-names":false,"suffix":""}],"container-title":"https://home.liebertpub.com/hum","id":"ITEM-4","issue":"10","issued":{"date-parts":[["2004","7","6"]]},"page":"1201-1211","publisher":" Mary Ann Liebert, Inc. ","title":"Enhancement of Bone Healing Based on Ex Vivo Gene Therapy Using Human Muscle-Derived Cells Expressing Bone Morphogenetic Protein 2","type":"article-journal","volume":"13"},"uris":["http://www.mendeley.com/documents/?uuid=ae4d1b51-f043-3aec-bf1f-16fbaacc56ab"]},{"id":"ITEM-5","itemData":{"DOI":"10.1007/978-1-4939-1453-1_13","ISSN":"10643745","abstract":"Mesenchymal stem cells (MSCs) can be obtained from adult bone marrow and adipose tissue in large quantities and are the main cell types that contribute to recovery from ischemia because, among their biological activities, they produce several proangiogenic paracrine factors and differentiate into endothelial cells. Mouse hind limb ischemia induced by surgery is a useful animal model to study the angiogenic properties of MSCs, but it requires several precautions to be reproducible. The preparation of MSCs, the ischemic surgery, and the physiological and histological analyses are described in detail.","author":[{"dropping-particle":"","family":"Martins","given":"Leonardo","non-dropping-particle":"","parse-names":false,"suffix":""},{"dropping-particle":"","family":"Martin","given":"Priscila Keiko Matsumoto","non-dropping-particle":"","parse-names":false,"suffix":""},{"dropping-particle":"","family":"Han","given":"Sang Won","non-dropping-particle":"","parse-names":false,"suffix":""}],"container-title":"Methods in Molecular Biology","id":"ITEM-5","issued":{"date-parts":[["2014"]]},"page":"147-169","publisher":"Humana Press Inc.","title":"Angiogenic properties of mesenchymal stem cells in a mouse model of limb ischemia","type":"article-journal","volume":"1213"},"uris":["http://www.mendeley.com/documents/?uuid=371f0557-03dd-344f-8722-a2c07960a597"]}],"mendeley":{"formattedCitation":"[7], [9]–[12]","plainTextFormattedCitation":"[7], [9]–[12]","previouslyFormattedCitation":"&lt;sup&gt;7,9–12&lt;/sup&gt;"},"properties":{"noteIndex":0},"schema":"https://github.com/citation-style-language/schema/raw/master/csl-citation.json"}</w:instrText>
      </w:r>
      <w:r w:rsidRPr="00505A7A">
        <w:rPr>
          <w:rFonts w:ascii="Arial" w:hAnsi="Arial" w:cs="Arial"/>
          <w:color w:val="000000" w:themeColor="text1"/>
          <w:sz w:val="22"/>
          <w:szCs w:val="22"/>
        </w:rPr>
        <w:fldChar w:fldCharType="separate"/>
      </w:r>
      <w:r w:rsidR="00004C0A" w:rsidRPr="00505A7A">
        <w:rPr>
          <w:rFonts w:ascii="Arial" w:hAnsi="Arial" w:cs="Arial"/>
          <w:noProof/>
          <w:color w:val="000000" w:themeColor="text1"/>
          <w:sz w:val="22"/>
          <w:szCs w:val="22"/>
        </w:rPr>
        <w:t>[7], [9]–[12]</w:t>
      </w:r>
      <w:r w:rsidRPr="00505A7A">
        <w:rPr>
          <w:rFonts w:ascii="Arial" w:hAnsi="Arial" w:cs="Arial"/>
          <w:color w:val="000000" w:themeColor="text1"/>
          <w:sz w:val="22"/>
          <w:szCs w:val="22"/>
        </w:rPr>
        <w:fldChar w:fldCharType="end"/>
      </w:r>
      <w:r w:rsidRPr="00505A7A">
        <w:rPr>
          <w:rFonts w:ascii="Arial" w:hAnsi="Arial" w:cs="Arial"/>
          <w:color w:val="000000" w:themeColor="text1"/>
          <w:sz w:val="22"/>
          <w:szCs w:val="22"/>
        </w:rPr>
        <w:t>. The results from the control group and each of the KO groups were compared.</w:t>
      </w:r>
    </w:p>
    <w:p w14:paraId="1EC213F0" w14:textId="77777777" w:rsidR="00A74541" w:rsidRPr="00505A7A" w:rsidRDefault="00A74541" w:rsidP="0072155D">
      <w:pPr>
        <w:spacing w:line="276" w:lineRule="auto"/>
        <w:jc w:val="both"/>
        <w:rPr>
          <w:rFonts w:ascii="Arial" w:hAnsi="Arial" w:cs="Arial"/>
          <w:color w:val="000000" w:themeColor="text1"/>
          <w:sz w:val="22"/>
          <w:szCs w:val="22"/>
        </w:rPr>
      </w:pPr>
    </w:p>
    <w:p w14:paraId="1683AF43" w14:textId="3CA9BBDE" w:rsidR="00A74541" w:rsidRPr="00505A7A" w:rsidRDefault="00A74541" w:rsidP="0072155D">
      <w:pPr>
        <w:spacing w:line="276" w:lineRule="auto"/>
        <w:jc w:val="both"/>
        <w:rPr>
          <w:rFonts w:ascii="Arial" w:hAnsi="Arial" w:cs="Arial"/>
          <w:iCs/>
          <w:color w:val="000000" w:themeColor="text1"/>
          <w:sz w:val="22"/>
          <w:szCs w:val="22"/>
        </w:rPr>
      </w:pPr>
      <w:r w:rsidRPr="00505A7A">
        <w:rPr>
          <w:rFonts w:ascii="Arial" w:hAnsi="Arial" w:cs="Arial"/>
          <w:b/>
          <w:iCs/>
          <w:color w:val="000000" w:themeColor="text1"/>
          <w:sz w:val="22"/>
          <w:szCs w:val="22"/>
        </w:rPr>
        <w:t>Sirius red staining combined with polarized light microscopy</w:t>
      </w:r>
      <w:r w:rsidRPr="00505A7A">
        <w:rPr>
          <w:rFonts w:ascii="Arial" w:hAnsi="Arial" w:cs="Arial"/>
          <w:b/>
          <w:i/>
          <w:color w:val="000000" w:themeColor="text1"/>
          <w:sz w:val="22"/>
          <w:szCs w:val="22"/>
        </w:rPr>
        <w:t>.</w:t>
      </w:r>
      <w:r w:rsidRPr="00505A7A">
        <w:rPr>
          <w:rFonts w:ascii="Arial" w:hAnsi="Arial" w:cs="Arial"/>
          <w:i/>
          <w:color w:val="000000" w:themeColor="text1"/>
          <w:sz w:val="22"/>
          <w:szCs w:val="22"/>
        </w:rPr>
        <w:t xml:space="preserve"> </w:t>
      </w:r>
      <w:r w:rsidRPr="00505A7A">
        <w:rPr>
          <w:rFonts w:ascii="Arial" w:hAnsi="Arial" w:cs="Arial"/>
          <w:iCs/>
          <w:color w:val="000000" w:themeColor="text1"/>
          <w:sz w:val="22"/>
          <w:szCs w:val="22"/>
        </w:rPr>
        <w:t xml:space="preserve">Collagen fibers are anisotropic and therefore birefringent. Picrosirius Red binds to collagen and enhances its natural birefringence. Placing the TA section stained with </w:t>
      </w:r>
      <w:proofErr w:type="spellStart"/>
      <w:r w:rsidRPr="00505A7A">
        <w:rPr>
          <w:rFonts w:ascii="Arial" w:hAnsi="Arial" w:cs="Arial"/>
          <w:iCs/>
          <w:color w:val="000000" w:themeColor="text1"/>
          <w:sz w:val="22"/>
          <w:szCs w:val="22"/>
        </w:rPr>
        <w:t>PicroSirius</w:t>
      </w:r>
      <w:proofErr w:type="spellEnd"/>
      <w:r w:rsidRPr="00505A7A">
        <w:rPr>
          <w:rFonts w:ascii="Arial" w:hAnsi="Arial" w:cs="Arial"/>
          <w:iCs/>
          <w:color w:val="000000" w:themeColor="text1"/>
          <w:sz w:val="22"/>
          <w:szCs w:val="22"/>
        </w:rPr>
        <w:t xml:space="preserve"> Red (Sirius red F3B (80115, </w:t>
      </w:r>
      <w:proofErr w:type="spellStart"/>
      <w:r w:rsidRPr="00505A7A">
        <w:rPr>
          <w:rFonts w:ascii="Arial" w:hAnsi="Arial" w:cs="Arial"/>
          <w:iCs/>
          <w:color w:val="000000" w:themeColor="text1"/>
          <w:sz w:val="22"/>
          <w:szCs w:val="22"/>
        </w:rPr>
        <w:t>Klinipath</w:t>
      </w:r>
      <w:proofErr w:type="spellEnd"/>
      <w:r w:rsidRPr="00505A7A">
        <w:rPr>
          <w:rFonts w:ascii="Arial" w:hAnsi="Arial" w:cs="Arial"/>
          <w:iCs/>
          <w:color w:val="000000" w:themeColor="text1"/>
          <w:sz w:val="22"/>
          <w:szCs w:val="22"/>
        </w:rPr>
        <w:t xml:space="preserve">) between two polarization filters with 90 degrees of rotational difference between both filters allows clear identification of birefringent fibrils. </w:t>
      </w:r>
      <w:r w:rsidRPr="00505A7A">
        <w:rPr>
          <w:rFonts w:ascii="Arial" w:hAnsi="Arial" w:cs="Arial"/>
          <w:color w:val="000000" w:themeColor="text1"/>
          <w:sz w:val="22"/>
          <w:szCs w:val="22"/>
          <w:shd w:val="clear" w:color="auto" w:fill="FFFFFF"/>
        </w:rPr>
        <w:t xml:space="preserve">Representative images of the injury areas stained with Sirius Red in all experimental groups are shown in </w:t>
      </w:r>
      <w:r w:rsidRPr="00505A7A">
        <w:rPr>
          <w:rFonts w:ascii="Arial" w:hAnsi="Arial" w:cs="Arial"/>
          <w:b/>
          <w:bCs/>
          <w:color w:val="000000" w:themeColor="text1"/>
          <w:sz w:val="22"/>
          <w:szCs w:val="22"/>
          <w:shd w:val="clear" w:color="auto" w:fill="FFFFFF"/>
        </w:rPr>
        <w:t xml:space="preserve">Figure </w:t>
      </w:r>
      <w:r w:rsidRPr="00505A7A">
        <w:rPr>
          <w:rFonts w:ascii="Arial" w:hAnsi="Arial" w:cs="Arial"/>
          <w:color w:val="000000" w:themeColor="text1"/>
          <w:sz w:val="22"/>
          <w:szCs w:val="22"/>
          <w:shd w:val="clear" w:color="auto" w:fill="FFFFFF"/>
        </w:rPr>
        <w:t>S</w:t>
      </w:r>
      <w:r w:rsidR="00BC305B" w:rsidRPr="00505A7A">
        <w:rPr>
          <w:rFonts w:ascii="Arial" w:hAnsi="Arial" w:cs="Arial"/>
          <w:color w:val="000000" w:themeColor="text1"/>
          <w:sz w:val="22"/>
          <w:szCs w:val="22"/>
          <w:shd w:val="clear" w:color="auto" w:fill="FFFFFF"/>
        </w:rPr>
        <w:t>3</w:t>
      </w:r>
      <w:r w:rsidRPr="00505A7A">
        <w:rPr>
          <w:rFonts w:ascii="Arial" w:hAnsi="Arial" w:cs="Arial"/>
          <w:color w:val="000000" w:themeColor="text1"/>
          <w:sz w:val="22"/>
          <w:szCs w:val="22"/>
          <w:shd w:val="clear" w:color="auto" w:fill="FFFFFF"/>
        </w:rPr>
        <w:t xml:space="preserve"> along with Col1A labeling by immunofluorescence highlighting the borders of the injury zones.</w:t>
      </w:r>
    </w:p>
    <w:p w14:paraId="54E76558" w14:textId="77777777" w:rsidR="00A74541" w:rsidRPr="00505A7A" w:rsidRDefault="00A74541" w:rsidP="0072155D">
      <w:pPr>
        <w:spacing w:line="276" w:lineRule="auto"/>
        <w:jc w:val="both"/>
        <w:rPr>
          <w:rFonts w:ascii="Arial" w:hAnsi="Arial" w:cs="Arial"/>
          <w:color w:val="000000" w:themeColor="text1"/>
          <w:sz w:val="22"/>
          <w:szCs w:val="22"/>
        </w:rPr>
      </w:pPr>
    </w:p>
    <w:p w14:paraId="4C27D029" w14:textId="77777777" w:rsidR="00A74541" w:rsidRPr="00505A7A" w:rsidRDefault="00A74541" w:rsidP="0072155D">
      <w:pPr>
        <w:autoSpaceDE w:val="0"/>
        <w:autoSpaceDN w:val="0"/>
        <w:adjustRightInd w:val="0"/>
        <w:spacing w:line="276" w:lineRule="auto"/>
        <w:jc w:val="both"/>
        <w:rPr>
          <w:rFonts w:ascii="Arial" w:hAnsi="Arial" w:cs="Arial"/>
          <w:color w:val="000000" w:themeColor="text1"/>
          <w:sz w:val="22"/>
          <w:szCs w:val="22"/>
        </w:rPr>
      </w:pPr>
      <w:r w:rsidRPr="00505A7A">
        <w:rPr>
          <w:rFonts w:ascii="Arial" w:hAnsi="Arial" w:cs="Arial"/>
          <w:b/>
          <w:color w:val="000000" w:themeColor="text1"/>
          <w:sz w:val="22"/>
          <w:szCs w:val="22"/>
        </w:rPr>
        <w:t xml:space="preserve">RNA Isolation and quantitative RT-PCR. </w:t>
      </w:r>
      <w:r w:rsidRPr="00505A7A">
        <w:rPr>
          <w:rFonts w:ascii="Arial" w:hAnsi="Arial" w:cs="Arial"/>
          <w:color w:val="000000" w:themeColor="text1"/>
          <w:sz w:val="22"/>
          <w:szCs w:val="22"/>
        </w:rPr>
        <w:t xml:space="preserve">Injury or trauma alter the patterns of gene expression in tissues. The purpose of this procedure is to obtain total cellular RNA from mouse muscle for subsequent analysis of mRNA populations, either by the polymerase chain reaction (following reverse transcription). The protocol is based on a commercial preparation, RNeasy® Fibrous Tissue Mini Kit (Qiagen, Cat# 74704). The initial processing of the </w:t>
      </w:r>
      <w:r w:rsidRPr="00505A7A">
        <w:rPr>
          <w:rFonts w:ascii="Arial" w:hAnsi="Arial" w:cs="Arial"/>
          <w:color w:val="000000" w:themeColor="text1"/>
          <w:sz w:val="22"/>
          <w:szCs w:val="22"/>
        </w:rPr>
        <w:lastRenderedPageBreak/>
        <w:t>tissues requires a mechanical homogenization in the Polytron Tissue Homogenizer (Glen Mills, USA. A proteinase K digestion follows and nucleic acids are removed by the addition of ethanol, followed by application to a RNeasy column that retains the RNA and washes away the contaminants. RNA is then eluted with distilled water</w:t>
      </w:r>
      <w:bookmarkStart w:id="0" w:name="_Hlk116571101"/>
      <w:r w:rsidRPr="00505A7A">
        <w:rPr>
          <w:rFonts w:ascii="Arial" w:hAnsi="Arial" w:cs="Arial"/>
          <w:color w:val="000000" w:themeColor="text1"/>
          <w:sz w:val="22"/>
          <w:szCs w:val="22"/>
        </w:rPr>
        <w:t xml:space="preserve">. In order to amplify the gene transcripts, the primers listed in </w:t>
      </w:r>
      <w:r w:rsidRPr="00505A7A">
        <w:rPr>
          <w:rFonts w:ascii="Arial" w:hAnsi="Arial" w:cs="Arial"/>
          <w:b/>
          <w:bCs/>
          <w:color w:val="000000" w:themeColor="text1"/>
          <w:sz w:val="22"/>
          <w:szCs w:val="22"/>
        </w:rPr>
        <w:t xml:space="preserve">table </w:t>
      </w:r>
      <w:r w:rsidRPr="00505A7A">
        <w:rPr>
          <w:rFonts w:ascii="Arial" w:hAnsi="Arial" w:cs="Arial"/>
          <w:color w:val="000000" w:themeColor="text1"/>
          <w:sz w:val="22"/>
          <w:szCs w:val="22"/>
        </w:rPr>
        <w:t xml:space="preserve">S3 were used in the SYBR Green or TaqMan system on the device of </w:t>
      </w:r>
      <w:r w:rsidRPr="00505A7A">
        <w:rPr>
          <w:rFonts w:ascii="Arial" w:hAnsi="Arial" w:cs="Arial"/>
          <w:color w:val="000000" w:themeColor="text1"/>
          <w:sz w:val="22"/>
          <w:szCs w:val="22"/>
          <w:shd w:val="clear" w:color="auto" w:fill="FFFFFF"/>
        </w:rPr>
        <w:t xml:space="preserve">The Applied Biosystems® </w:t>
      </w:r>
      <w:proofErr w:type="spellStart"/>
      <w:r w:rsidRPr="00505A7A">
        <w:rPr>
          <w:rFonts w:ascii="Arial" w:hAnsi="Arial" w:cs="Arial"/>
          <w:color w:val="000000" w:themeColor="text1"/>
          <w:sz w:val="22"/>
          <w:szCs w:val="22"/>
          <w:shd w:val="clear" w:color="auto" w:fill="FFFFFF"/>
        </w:rPr>
        <w:t>QuantStudio</w:t>
      </w:r>
      <w:proofErr w:type="spellEnd"/>
      <w:r w:rsidRPr="00505A7A">
        <w:rPr>
          <w:rFonts w:ascii="Arial" w:hAnsi="Arial" w:cs="Arial"/>
          <w:color w:val="000000" w:themeColor="text1"/>
          <w:sz w:val="22"/>
          <w:szCs w:val="22"/>
          <w:shd w:val="clear" w:color="auto" w:fill="FFFFFF"/>
        </w:rPr>
        <w:t>® 5 Real-Time PCR System</w:t>
      </w:r>
      <w:r w:rsidRPr="00505A7A">
        <w:rPr>
          <w:rFonts w:ascii="Arial" w:hAnsi="Arial" w:cs="Arial"/>
          <w:color w:val="000000" w:themeColor="text1"/>
          <w:sz w:val="22"/>
          <w:szCs w:val="22"/>
        </w:rPr>
        <w:t xml:space="preserve"> (</w:t>
      </w:r>
      <w:proofErr w:type="spellStart"/>
      <w:r w:rsidRPr="00505A7A">
        <w:rPr>
          <w:rFonts w:ascii="Arial" w:hAnsi="Arial" w:cs="Arial"/>
          <w:color w:val="000000" w:themeColor="text1"/>
          <w:sz w:val="22"/>
          <w:szCs w:val="22"/>
          <w:shd w:val="clear" w:color="auto" w:fill="FFFFFF"/>
        </w:rPr>
        <w:t>Thermo</w:t>
      </w:r>
      <w:proofErr w:type="spellEnd"/>
      <w:r w:rsidRPr="00505A7A">
        <w:rPr>
          <w:rFonts w:ascii="Arial" w:hAnsi="Arial" w:cs="Arial"/>
          <w:color w:val="000000" w:themeColor="text1"/>
          <w:sz w:val="22"/>
          <w:szCs w:val="22"/>
          <w:shd w:val="clear" w:color="auto" w:fill="FFFFFF"/>
        </w:rPr>
        <w:t xml:space="preserve"> Fisher, USA</w:t>
      </w:r>
      <w:r w:rsidRPr="00505A7A">
        <w:rPr>
          <w:rFonts w:ascii="Arial" w:hAnsi="Arial" w:cs="Arial"/>
          <w:color w:val="000000" w:themeColor="text1"/>
          <w:sz w:val="22"/>
          <w:szCs w:val="22"/>
        </w:rPr>
        <w:t>).</w:t>
      </w:r>
    </w:p>
    <w:bookmarkEnd w:id="0"/>
    <w:p w14:paraId="2E69A404" w14:textId="77777777" w:rsidR="00A74541" w:rsidRPr="00505A7A" w:rsidRDefault="00A74541" w:rsidP="0072155D">
      <w:pPr>
        <w:autoSpaceDE w:val="0"/>
        <w:autoSpaceDN w:val="0"/>
        <w:adjustRightInd w:val="0"/>
        <w:spacing w:line="276" w:lineRule="auto"/>
        <w:jc w:val="both"/>
        <w:rPr>
          <w:rFonts w:ascii="Arial" w:hAnsi="Arial" w:cs="Arial"/>
          <w:color w:val="000000" w:themeColor="text1"/>
          <w:sz w:val="22"/>
          <w:szCs w:val="22"/>
          <w:shd w:val="clear" w:color="auto" w:fill="FFFFFF"/>
        </w:rPr>
      </w:pPr>
      <w:r w:rsidRPr="00505A7A">
        <w:rPr>
          <w:rFonts w:ascii="Arial" w:hAnsi="Arial" w:cs="Arial"/>
          <w:color w:val="000000" w:themeColor="text1"/>
          <w:sz w:val="22"/>
          <w:szCs w:val="22"/>
        </w:rPr>
        <w:br/>
      </w:r>
      <w:r w:rsidRPr="00505A7A">
        <w:rPr>
          <w:rFonts w:ascii="Arial" w:hAnsi="Arial" w:cs="Arial"/>
          <w:b/>
          <w:color w:val="000000" w:themeColor="text1"/>
          <w:sz w:val="22"/>
          <w:szCs w:val="22"/>
          <w:shd w:val="clear" w:color="auto" w:fill="FFFFFF"/>
        </w:rPr>
        <w:t>Endurance Stress Test.</w:t>
      </w:r>
      <w:r w:rsidRPr="00505A7A">
        <w:rPr>
          <w:rFonts w:ascii="Arial" w:hAnsi="Arial" w:cs="Arial"/>
          <w:color w:val="000000" w:themeColor="text1"/>
          <w:sz w:val="22"/>
          <w:szCs w:val="22"/>
          <w:shd w:val="clear" w:color="auto" w:fill="FFFFFF"/>
        </w:rPr>
        <w:t xml:space="preserve"> The mice were subjected to five separate endurance stress tests over the course of the study to indirectly assess improvements in aerobic capacity with exercise (a test in the basal condition (day zero) and in the days following the injury). Animals from all groups were placed in individual lanes on the treadmill (Columbus Instruments, </w:t>
      </w:r>
      <w:r w:rsidRPr="00505A7A">
        <w:rPr>
          <w:rStyle w:val="Emphasis"/>
          <w:rFonts w:ascii="Arial" w:hAnsi="Arial" w:cs="Arial"/>
          <w:bCs/>
          <w:color w:val="000000" w:themeColor="text1"/>
          <w:sz w:val="22"/>
          <w:szCs w:val="22"/>
          <w:shd w:val="clear" w:color="auto" w:fill="FFFFFF"/>
        </w:rPr>
        <w:t>Columbus</w:t>
      </w:r>
      <w:r w:rsidRPr="00505A7A">
        <w:rPr>
          <w:rFonts w:ascii="Arial" w:hAnsi="Arial" w:cs="Arial"/>
          <w:color w:val="000000" w:themeColor="text1"/>
          <w:sz w:val="22"/>
          <w:szCs w:val="22"/>
          <w:shd w:val="clear" w:color="auto" w:fill="FFFFFF"/>
        </w:rPr>
        <w:t>, </w:t>
      </w:r>
      <w:r w:rsidRPr="00505A7A">
        <w:rPr>
          <w:rStyle w:val="Emphasis"/>
          <w:rFonts w:ascii="Arial" w:hAnsi="Arial" w:cs="Arial"/>
          <w:bCs/>
          <w:color w:val="000000" w:themeColor="text1"/>
          <w:sz w:val="22"/>
          <w:szCs w:val="22"/>
          <w:shd w:val="clear" w:color="auto" w:fill="FFFFFF"/>
        </w:rPr>
        <w:t>OH</w:t>
      </w:r>
      <w:r w:rsidRPr="00505A7A">
        <w:rPr>
          <w:rFonts w:ascii="Arial" w:hAnsi="Arial" w:cs="Arial"/>
          <w:color w:val="000000" w:themeColor="text1"/>
          <w:sz w:val="22"/>
          <w:szCs w:val="22"/>
          <w:shd w:val="clear" w:color="auto" w:fill="FFFFFF"/>
        </w:rPr>
        <w:t>, USA) and allowed to acclimatize for 30 min to eliminate any confounding effects due to stress or anxiety related to a new environment. The test began with a 5-min warm-up session at 5 m/min, followed by 1-m/min increases in speed every 1 min until the mouse reached exhaustion. A low-intensity electrically stimulus was provided to ensure compliance. Time to exhaustion (in min) was recorded when the mouse sat at the lower end of the treadmill, near a shock bar, for &gt;10 s and was unresponsive to further stimulation to continue running.</w:t>
      </w:r>
    </w:p>
    <w:p w14:paraId="4329B17F" w14:textId="3941E247" w:rsidR="000B3C64" w:rsidRPr="00505A7A" w:rsidRDefault="00A74541" w:rsidP="0072155D">
      <w:pPr>
        <w:pStyle w:val="SMText"/>
        <w:spacing w:line="276" w:lineRule="auto"/>
        <w:ind w:firstLine="0"/>
        <w:jc w:val="both"/>
        <w:rPr>
          <w:rFonts w:ascii="Arial" w:hAnsi="Arial" w:cs="Arial"/>
          <w:color w:val="000000" w:themeColor="text1"/>
          <w:sz w:val="22"/>
          <w:szCs w:val="22"/>
          <w:shd w:val="clear" w:color="auto" w:fill="FFFFFF"/>
        </w:rPr>
      </w:pPr>
      <w:r w:rsidRPr="00505A7A">
        <w:rPr>
          <w:rFonts w:ascii="Arial" w:hAnsi="Arial" w:cs="Arial"/>
          <w:color w:val="000000" w:themeColor="text1"/>
          <w:sz w:val="22"/>
          <w:szCs w:val="22"/>
        </w:rPr>
        <w:br/>
      </w:r>
      <w:r w:rsidRPr="00505A7A">
        <w:rPr>
          <w:rFonts w:ascii="Arial" w:hAnsi="Arial" w:cs="Arial"/>
          <w:b/>
          <w:bCs/>
          <w:color w:val="000000" w:themeColor="text1"/>
          <w:spacing w:val="-2"/>
          <w:sz w:val="22"/>
          <w:szCs w:val="22"/>
        </w:rPr>
        <w:t xml:space="preserve">Ladder climbing test. </w:t>
      </w:r>
      <w:r w:rsidRPr="00505A7A">
        <w:rPr>
          <w:rFonts w:ascii="Arial" w:hAnsi="Arial" w:cs="Arial"/>
          <w:color w:val="000000" w:themeColor="text1"/>
          <w:sz w:val="22"/>
          <w:szCs w:val="22"/>
          <w:shd w:val="clear" w:color="auto" w:fill="FFFFFF"/>
        </w:rPr>
        <w:t>The climbing training protocol was adapted from Hornberger and Farrar</w:t>
      </w:r>
      <w:r w:rsidRPr="00505A7A">
        <w:rPr>
          <w:rFonts w:ascii="Arial" w:hAnsi="Arial" w:cs="Arial"/>
          <w:color w:val="000000" w:themeColor="text1"/>
          <w:sz w:val="22"/>
          <w:szCs w:val="22"/>
          <w:shd w:val="clear" w:color="auto" w:fill="FFFFFF"/>
        </w:rPr>
        <w:fldChar w:fldCharType="begin" w:fldLock="1"/>
      </w:r>
      <w:r w:rsidR="00004C0A" w:rsidRPr="00505A7A">
        <w:rPr>
          <w:rFonts w:ascii="Arial" w:hAnsi="Arial" w:cs="Arial"/>
          <w:color w:val="000000" w:themeColor="text1"/>
          <w:sz w:val="22"/>
          <w:szCs w:val="22"/>
          <w:shd w:val="clear" w:color="auto" w:fill="FFFFFF"/>
        </w:rPr>
        <w:instrText>ADDIN CSL_CITATION {"citationItems":[{"id":"ITEM-1","itemData":{"DOI":"10.1139/h04-002","ISSN":"10667814","PMID":"15001801","abstract":"In humans, progressive resistance exercise is recognized for its ability to induce skeletal muscle hypertrophy. In an attempt to develop an animal model which mimics human progressive resistance exercise, Sprague-Dawley rats were trained to climb a 1.1-m vertical (80° incline) ladder with weights secured to their tail. The rats were trained once every 3 days for 8 weeks. Each training session consisted of 4-9 (6.02 ± 0.23) climbs requiring 8-12 dynamic movements per climb. Based on performance, the weight carried during each session was progressively increased. Over the course of 8 weeks, the maximal amount of weight the rats could carry increased 287%, p ≤ 0.001. The improved training performance was associated with a 23% absolute increase in the weight of the flexor hallucis longus (FHL), with a concomitant 24% increase in both total and myofibrillar protein, p ≤ 0.001. Peak tetanic tension (Po) of the FHL increased 20%, p ≤ 0.001, while specific tetanic tension (SPo) was not altered. No change in twitch tension (Pt) was observed, which resulted in a 22% decrease in specific twitch tension (SPt) p ≤ 0.01. Despite a decrease in resistance to fatigue, p ≤ 0.05, myosin heavy chain composition, ATP, ADP, creatine, and creatine phosphate concentrations of the FHL were not altered. The results of this study describe an animal model that mimics many of the training parameters and physiological adaptations observed with human progressive resistance exercise.","author":[{"dropping-particle":"","family":"Hornberger","given":"Troy A.","non-dropping-particle":"","parse-names":false,"suffix":""},{"dropping-particle":"","family":"Farrar","given":"Roger P.","non-dropping-particle":"","parse-names":false,"suffix":""}],"container-title":"Canadian Journal of Applied Physiology","id":"ITEM-1","issue":"1","issued":{"date-parts":[["2004"]]},"page":"16-31","publisher":"Human Kinetics Publishers Inc.","title":"Physiological Hypertrophy of the FHL Muscle Following 8 Weeks of Progressive Resistance Exercise in the Rat","type":"article-journal","volume":"29"},"uris":["http://www.mendeley.com/documents/?uuid=357abd23-4ded-3c02-82fc-0705ed2ca297"]}],"mendeley":{"formattedCitation":"[13]","plainTextFormattedCitation":"[13]","previouslyFormattedCitation":"&lt;sup&gt;13&lt;/sup&gt;"},"properties":{"noteIndex":0},"schema":"https://github.com/citation-style-language/schema/raw/master/csl-citation.json"}</w:instrText>
      </w:r>
      <w:r w:rsidRPr="00505A7A">
        <w:rPr>
          <w:rFonts w:ascii="Arial" w:hAnsi="Arial" w:cs="Arial"/>
          <w:color w:val="000000" w:themeColor="text1"/>
          <w:sz w:val="22"/>
          <w:szCs w:val="22"/>
          <w:shd w:val="clear" w:color="auto" w:fill="FFFFFF"/>
        </w:rPr>
        <w:fldChar w:fldCharType="separate"/>
      </w:r>
      <w:r w:rsidR="00004C0A" w:rsidRPr="00505A7A">
        <w:rPr>
          <w:rFonts w:ascii="Arial" w:hAnsi="Arial" w:cs="Arial"/>
          <w:noProof/>
          <w:color w:val="000000" w:themeColor="text1"/>
          <w:sz w:val="22"/>
          <w:szCs w:val="22"/>
          <w:shd w:val="clear" w:color="auto" w:fill="FFFFFF"/>
        </w:rPr>
        <w:t>[13]</w:t>
      </w:r>
      <w:r w:rsidRPr="00505A7A">
        <w:rPr>
          <w:rFonts w:ascii="Arial" w:hAnsi="Arial" w:cs="Arial"/>
          <w:color w:val="000000" w:themeColor="text1"/>
          <w:sz w:val="22"/>
          <w:szCs w:val="22"/>
          <w:shd w:val="clear" w:color="auto" w:fill="FFFFFF"/>
        </w:rPr>
        <w:fldChar w:fldCharType="end"/>
      </w:r>
      <w:r w:rsidRPr="00505A7A">
        <w:rPr>
          <w:rFonts w:ascii="Arial" w:hAnsi="Arial" w:cs="Arial"/>
          <w:color w:val="000000" w:themeColor="text1"/>
          <w:sz w:val="22"/>
          <w:szCs w:val="22"/>
          <w:shd w:val="clear" w:color="auto" w:fill="FFFFFF"/>
        </w:rPr>
        <w:t>. For all the groups, ladder climbing test was conducted by using 1 m ladder with 1.0 cm grids. The ladder was set to attain 85-degree angle with the ground. One week adaptation was conducted by letting mice to climb up the ladder without any resistance. To reduce stress, outsource stimulus such as food reward and electrical stimulation were not given to the mice during the ladder climbing exercise. The mice were positioned at the very bottom of 1 meter ladder and motivated to climb up the ladder. When mice reached the very top of the ladder, 2-minute rest was given before the next trail of ladder climbing. After the one-week adaptation, resistance at 10 % of body weight was given to the mice by adding weight on the tail. The loads were increased gradually as the exercise sessions proceeded. To progressively increase exercise intensity, 3 grams of additional weights were applied after four successful trails.</w:t>
      </w:r>
    </w:p>
    <w:p w14:paraId="7D0AB8C9" w14:textId="77777777" w:rsidR="00141C30" w:rsidRPr="00505A7A" w:rsidRDefault="00141C30" w:rsidP="0072155D">
      <w:pPr>
        <w:pStyle w:val="SMText"/>
        <w:spacing w:line="276" w:lineRule="auto"/>
        <w:ind w:firstLine="0"/>
        <w:jc w:val="both"/>
        <w:rPr>
          <w:rFonts w:ascii="Arial" w:hAnsi="Arial" w:cs="Arial"/>
          <w:color w:val="000000" w:themeColor="text1"/>
          <w:sz w:val="22"/>
          <w:szCs w:val="22"/>
          <w:shd w:val="clear" w:color="auto" w:fill="FFFFFF"/>
        </w:rPr>
      </w:pPr>
    </w:p>
    <w:p w14:paraId="6C81416D" w14:textId="252AAADF" w:rsidR="00126EA6" w:rsidRPr="00505A7A" w:rsidRDefault="00C57DAA" w:rsidP="0072155D">
      <w:pPr>
        <w:autoSpaceDE w:val="0"/>
        <w:autoSpaceDN w:val="0"/>
        <w:adjustRightInd w:val="0"/>
        <w:spacing w:line="276" w:lineRule="auto"/>
        <w:jc w:val="both"/>
        <w:rPr>
          <w:rFonts w:ascii="Arial" w:hAnsi="Arial" w:cs="Arial"/>
          <w:b/>
          <w:bCs/>
          <w:color w:val="000000" w:themeColor="text1"/>
          <w:sz w:val="22"/>
          <w:szCs w:val="22"/>
        </w:rPr>
      </w:pPr>
      <w:r w:rsidRPr="00505A7A">
        <w:rPr>
          <w:rFonts w:ascii="Arial" w:hAnsi="Arial" w:cs="Arial"/>
          <w:b/>
          <w:bCs/>
          <w:color w:val="000000" w:themeColor="text1"/>
          <w:sz w:val="22"/>
          <w:szCs w:val="22"/>
        </w:rPr>
        <w:t>SI Figures</w:t>
      </w:r>
    </w:p>
    <w:p w14:paraId="58B77743" w14:textId="77777777" w:rsidR="00C57DAA" w:rsidRPr="00505A7A" w:rsidRDefault="00C57DAA" w:rsidP="0072155D">
      <w:pPr>
        <w:autoSpaceDE w:val="0"/>
        <w:autoSpaceDN w:val="0"/>
        <w:adjustRightInd w:val="0"/>
        <w:spacing w:line="276" w:lineRule="auto"/>
        <w:jc w:val="both"/>
        <w:rPr>
          <w:rFonts w:ascii="Arial" w:hAnsi="Arial" w:cs="Arial"/>
          <w:b/>
          <w:bCs/>
          <w:color w:val="000000" w:themeColor="text1"/>
          <w:sz w:val="22"/>
          <w:szCs w:val="22"/>
        </w:rPr>
      </w:pPr>
    </w:p>
    <w:p w14:paraId="34A1CADD" w14:textId="0429D4BD" w:rsidR="00B71BFB" w:rsidRDefault="00811E58" w:rsidP="00B71BFB">
      <w:pPr>
        <w:autoSpaceDE w:val="0"/>
        <w:autoSpaceDN w:val="0"/>
        <w:adjustRightInd w:val="0"/>
        <w:spacing w:line="276" w:lineRule="auto"/>
        <w:jc w:val="both"/>
        <w:rPr>
          <w:rFonts w:ascii="Arial" w:hAnsi="Arial" w:cs="Arial"/>
          <w:b/>
          <w:bCs/>
          <w:noProof/>
          <w:color w:val="000000" w:themeColor="text1"/>
          <w:sz w:val="22"/>
          <w:szCs w:val="22"/>
        </w:rPr>
      </w:pPr>
      <w:r w:rsidRPr="00505A7A">
        <w:rPr>
          <w:rFonts w:ascii="Arial" w:hAnsi="Arial" w:cs="Arial"/>
          <w:b/>
          <w:bCs/>
          <w:color w:val="000000" w:themeColor="text1"/>
          <w:sz w:val="22"/>
          <w:szCs w:val="22"/>
        </w:rPr>
        <w:t>Fig</w:t>
      </w:r>
      <w:r w:rsidR="00BC305B" w:rsidRPr="00505A7A">
        <w:rPr>
          <w:rFonts w:ascii="Arial" w:hAnsi="Arial" w:cs="Arial"/>
          <w:b/>
          <w:bCs/>
          <w:color w:val="000000" w:themeColor="text1"/>
          <w:sz w:val="22"/>
          <w:szCs w:val="22"/>
        </w:rPr>
        <w:t>ure</w:t>
      </w:r>
      <w:r w:rsidRPr="00505A7A">
        <w:rPr>
          <w:rFonts w:ascii="Arial" w:hAnsi="Arial" w:cs="Arial"/>
          <w:b/>
          <w:bCs/>
          <w:color w:val="000000" w:themeColor="text1"/>
          <w:sz w:val="22"/>
          <w:szCs w:val="22"/>
        </w:rPr>
        <w:t xml:space="preserve"> S1.</w:t>
      </w:r>
      <w:r w:rsidRPr="00505A7A">
        <w:rPr>
          <w:rFonts w:ascii="Arial" w:hAnsi="Arial" w:cs="Arial"/>
          <w:color w:val="000000" w:themeColor="text1"/>
          <w:sz w:val="22"/>
          <w:szCs w:val="22"/>
        </w:rPr>
        <w:t xml:space="preserve"> </w:t>
      </w:r>
      <w:r w:rsidRPr="00505A7A">
        <w:rPr>
          <w:rFonts w:ascii="Arial" w:hAnsi="Arial" w:cs="Arial"/>
          <w:color w:val="000000" w:themeColor="text1"/>
          <w:sz w:val="22"/>
          <w:szCs w:val="22"/>
          <w:shd w:val="clear" w:color="auto" w:fill="FFFFFF"/>
        </w:rPr>
        <w:t xml:space="preserve">Representative genotyping of kinin </w:t>
      </w:r>
      <w:r w:rsidRPr="00505A7A">
        <w:rPr>
          <w:rFonts w:ascii="Arial" w:hAnsi="Arial" w:cs="Arial"/>
          <w:i/>
          <w:iCs/>
          <w:color w:val="000000" w:themeColor="text1"/>
          <w:sz w:val="22"/>
          <w:szCs w:val="22"/>
          <w:shd w:val="clear" w:color="auto" w:fill="FFFFFF"/>
        </w:rPr>
        <w:t>Bdkrb1</w:t>
      </w:r>
      <w:r w:rsidRPr="00505A7A">
        <w:rPr>
          <w:rFonts w:ascii="Arial" w:hAnsi="Arial" w:cs="Arial"/>
          <w:color w:val="000000" w:themeColor="text1"/>
          <w:sz w:val="22"/>
          <w:szCs w:val="22"/>
          <w:shd w:val="clear" w:color="auto" w:fill="FFFFFF"/>
        </w:rPr>
        <w:t xml:space="preserve"> and </w:t>
      </w:r>
      <w:r w:rsidRPr="00505A7A">
        <w:rPr>
          <w:rFonts w:ascii="Arial" w:hAnsi="Arial" w:cs="Arial"/>
          <w:i/>
          <w:iCs/>
          <w:color w:val="000000" w:themeColor="text1"/>
          <w:sz w:val="22"/>
          <w:szCs w:val="22"/>
          <w:shd w:val="clear" w:color="auto" w:fill="FFFFFF"/>
        </w:rPr>
        <w:t>Bdkrb2</w:t>
      </w:r>
      <w:r w:rsidRPr="00505A7A">
        <w:rPr>
          <w:rFonts w:ascii="Arial" w:hAnsi="Arial" w:cs="Arial"/>
          <w:color w:val="000000" w:themeColor="text1"/>
          <w:sz w:val="22"/>
          <w:szCs w:val="22"/>
          <w:shd w:val="clear" w:color="auto" w:fill="FFFFFF"/>
        </w:rPr>
        <w:t xml:space="preserve"> receptor in all mouse groups (Top). The scheme of the </w:t>
      </w:r>
      <w:r w:rsidRPr="00882FE6">
        <w:rPr>
          <w:rFonts w:ascii="Arial" w:hAnsi="Arial" w:cs="Arial"/>
          <w:i/>
          <w:iCs/>
          <w:color w:val="000000" w:themeColor="text1"/>
          <w:sz w:val="22"/>
          <w:szCs w:val="22"/>
          <w:shd w:val="clear" w:color="auto" w:fill="FFFFFF"/>
        </w:rPr>
        <w:t>in vivo</w:t>
      </w:r>
      <w:r w:rsidRPr="00505A7A">
        <w:rPr>
          <w:rFonts w:ascii="Arial" w:hAnsi="Arial" w:cs="Arial"/>
          <w:color w:val="000000" w:themeColor="text1"/>
          <w:sz w:val="22"/>
          <w:szCs w:val="22"/>
          <w:shd w:val="clear" w:color="auto" w:fill="FFFFFF"/>
        </w:rPr>
        <w:t xml:space="preserve"> injury model (Bottom). Apparatus height of 100 cm used for the transfer of the projectile weighing 16.2 g (A) to the tibialis anterior (TA) muscle of the animal placed in a supine position (B). Representative image of an injured leg after 24 hours (C). Division of animal groups: wild-type mice - C57BL/6 strains (WT), kinin B1 and B2 receptor knockout mice (B1KO, </w:t>
      </w:r>
      <w:r w:rsidRPr="00505A7A">
        <w:rPr>
          <w:rFonts w:ascii="Arial" w:hAnsi="Arial" w:cs="Arial"/>
          <w:i/>
          <w:iCs/>
          <w:color w:val="000000" w:themeColor="text1"/>
          <w:sz w:val="22"/>
          <w:szCs w:val="22"/>
          <w:shd w:val="clear" w:color="auto" w:fill="FFFFFF"/>
        </w:rPr>
        <w:t>Bdkrb1</w:t>
      </w:r>
      <w:r w:rsidRPr="00505A7A">
        <w:rPr>
          <w:rFonts w:ascii="Arial" w:hAnsi="Arial" w:cs="Arial"/>
          <w:color w:val="000000" w:themeColor="text1"/>
          <w:sz w:val="22"/>
          <w:szCs w:val="22"/>
          <w:shd w:val="clear" w:color="auto" w:fill="FFFFFF"/>
        </w:rPr>
        <w:t xml:space="preserve">-/- and B2KO, </w:t>
      </w:r>
      <w:r w:rsidRPr="00505A7A">
        <w:rPr>
          <w:rFonts w:ascii="Arial" w:hAnsi="Arial" w:cs="Arial"/>
          <w:i/>
          <w:iCs/>
          <w:color w:val="000000" w:themeColor="text1"/>
          <w:sz w:val="22"/>
          <w:szCs w:val="22"/>
          <w:shd w:val="clear" w:color="auto" w:fill="FFFFFF"/>
        </w:rPr>
        <w:t>Bdkrb2</w:t>
      </w:r>
      <w:r w:rsidRPr="00505A7A">
        <w:rPr>
          <w:rFonts w:ascii="Arial" w:hAnsi="Arial" w:cs="Arial"/>
          <w:color w:val="000000" w:themeColor="text1"/>
          <w:sz w:val="22"/>
          <w:szCs w:val="22"/>
          <w:shd w:val="clear" w:color="auto" w:fill="FFFFFF"/>
        </w:rPr>
        <w:t>-/-) and double knockout mice (B1B2KO,</w:t>
      </w:r>
      <w:r w:rsidRPr="00505A7A">
        <w:rPr>
          <w:rFonts w:ascii="Arial" w:hAnsi="Arial" w:cs="Arial"/>
          <w:i/>
          <w:iCs/>
          <w:color w:val="000000" w:themeColor="text1"/>
          <w:sz w:val="22"/>
          <w:szCs w:val="22"/>
          <w:shd w:val="clear" w:color="auto" w:fill="FFFFFF"/>
        </w:rPr>
        <w:t xml:space="preserve"> Bdkrb1</w:t>
      </w:r>
      <w:r w:rsidRPr="00505A7A">
        <w:rPr>
          <w:rFonts w:ascii="Arial" w:hAnsi="Arial" w:cs="Arial"/>
          <w:color w:val="000000" w:themeColor="text1"/>
          <w:sz w:val="22"/>
          <w:szCs w:val="22"/>
          <w:shd w:val="clear" w:color="auto" w:fill="FFFFFF"/>
        </w:rPr>
        <w:t xml:space="preserve">-/- </w:t>
      </w:r>
      <w:r w:rsidRPr="00505A7A">
        <w:rPr>
          <w:rFonts w:ascii="Arial" w:hAnsi="Arial" w:cs="Arial"/>
          <w:i/>
          <w:iCs/>
          <w:color w:val="000000" w:themeColor="text1"/>
          <w:sz w:val="22"/>
          <w:szCs w:val="22"/>
          <w:shd w:val="clear" w:color="auto" w:fill="FFFFFF"/>
        </w:rPr>
        <w:t>Bdkrb2</w:t>
      </w:r>
      <w:r w:rsidRPr="00505A7A">
        <w:rPr>
          <w:rFonts w:ascii="Arial" w:hAnsi="Arial" w:cs="Arial"/>
          <w:color w:val="000000" w:themeColor="text1"/>
          <w:sz w:val="22"/>
          <w:szCs w:val="22"/>
          <w:shd w:val="clear" w:color="auto" w:fill="FFFFFF"/>
        </w:rPr>
        <w:t xml:space="preserve">-/-), indicating the time of study for groups (D). </w:t>
      </w:r>
      <w:r w:rsidRPr="00505A7A">
        <w:rPr>
          <w:rFonts w:ascii="Arial" w:hAnsi="Arial" w:cs="Arial"/>
          <w:i/>
          <w:iCs/>
          <w:color w:val="000000" w:themeColor="text1"/>
          <w:sz w:val="22"/>
          <w:szCs w:val="22"/>
          <w:shd w:val="clear" w:color="auto" w:fill="FFFFFF"/>
        </w:rPr>
        <w:t>N</w:t>
      </w:r>
      <w:r w:rsidRPr="00505A7A">
        <w:rPr>
          <w:rFonts w:ascii="Arial" w:hAnsi="Arial" w:cs="Arial"/>
          <w:color w:val="000000" w:themeColor="text1"/>
          <w:sz w:val="22"/>
          <w:szCs w:val="22"/>
          <w:shd w:val="clear" w:color="auto" w:fill="FFFFFF"/>
        </w:rPr>
        <w:t>=10/group.</w:t>
      </w:r>
      <w:r w:rsidR="00C57DAA" w:rsidRPr="00505A7A">
        <w:rPr>
          <w:rFonts w:ascii="Arial" w:hAnsi="Arial" w:cs="Arial"/>
          <w:b/>
          <w:bCs/>
          <w:noProof/>
          <w:color w:val="000000" w:themeColor="text1"/>
          <w:sz w:val="22"/>
          <w:szCs w:val="22"/>
        </w:rPr>
        <w:t xml:space="preserve"> </w:t>
      </w:r>
    </w:p>
    <w:p w14:paraId="6397629B" w14:textId="6A6EFF05" w:rsidR="00352D82" w:rsidRPr="00352D82" w:rsidRDefault="00352D82" w:rsidP="00B71BFB">
      <w:pPr>
        <w:autoSpaceDE w:val="0"/>
        <w:autoSpaceDN w:val="0"/>
        <w:adjustRightInd w:val="0"/>
        <w:spacing w:line="276"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lastRenderedPageBreak/>
        <w:drawing>
          <wp:inline distT="0" distB="0" distL="0" distR="0" wp14:anchorId="3F3A4D4A" wp14:editId="1989D4E3">
            <wp:extent cx="6716716" cy="8434317"/>
            <wp:effectExtent l="0" t="0" r="8255" b="5080"/>
            <wp:docPr id="616068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68636" name="Picture 616068636"/>
                    <pic:cNvPicPr/>
                  </pic:nvPicPr>
                  <pic:blipFill rotWithShape="1">
                    <a:blip r:embed="rId9" cstate="print">
                      <a:extLst>
                        <a:ext uri="{28A0092B-C50C-407E-A947-70E740481C1C}">
                          <a14:useLocalDpi xmlns:a14="http://schemas.microsoft.com/office/drawing/2010/main" val="0"/>
                        </a:ext>
                      </a:extLst>
                    </a:blip>
                    <a:srcRect t="1791" b="4030"/>
                    <a:stretch/>
                  </pic:blipFill>
                  <pic:spPr bwMode="auto">
                    <a:xfrm>
                      <a:off x="0" y="0"/>
                      <a:ext cx="6720244" cy="8438747"/>
                    </a:xfrm>
                    <a:prstGeom prst="rect">
                      <a:avLst/>
                    </a:prstGeom>
                    <a:ln>
                      <a:noFill/>
                    </a:ln>
                    <a:extLst>
                      <a:ext uri="{53640926-AAD7-44D8-BBD7-CCE9431645EC}">
                        <a14:shadowObscured xmlns:a14="http://schemas.microsoft.com/office/drawing/2010/main"/>
                      </a:ext>
                    </a:extLst>
                  </pic:spPr>
                </pic:pic>
              </a:graphicData>
            </a:graphic>
          </wp:inline>
        </w:drawing>
      </w:r>
    </w:p>
    <w:p w14:paraId="72BF489A" w14:textId="77777777" w:rsidR="000D2049" w:rsidRDefault="000D2049" w:rsidP="000D2049">
      <w:pPr>
        <w:autoSpaceDE w:val="0"/>
        <w:autoSpaceDN w:val="0"/>
        <w:adjustRightInd w:val="0"/>
        <w:spacing w:line="276" w:lineRule="auto"/>
        <w:jc w:val="both"/>
        <w:rPr>
          <w:rFonts w:ascii="Arial" w:hAnsi="Arial" w:cs="Arial"/>
          <w:color w:val="000000" w:themeColor="text1"/>
        </w:rPr>
      </w:pPr>
      <w:r w:rsidRPr="00505A7A">
        <w:rPr>
          <w:rFonts w:ascii="Arial" w:hAnsi="Arial" w:cs="Arial"/>
          <w:b/>
          <w:color w:val="000000" w:themeColor="text1"/>
          <w:sz w:val="22"/>
          <w:szCs w:val="18"/>
        </w:rPr>
        <w:lastRenderedPageBreak/>
        <w:t xml:space="preserve">Figure S2. </w:t>
      </w:r>
      <w:r w:rsidRPr="00505A7A">
        <w:rPr>
          <w:rFonts w:ascii="Arial" w:hAnsi="Arial" w:cs="Arial"/>
          <w:color w:val="000000" w:themeColor="text1"/>
          <w:sz w:val="22"/>
          <w:szCs w:val="18"/>
        </w:rPr>
        <w:t>Differential macroscopic evaluation for B1 and B2KO mice. Macroscopic evaluation of representative injury in the skeletal muscle at 4, 8, and 15 days after injury and non-injured muscle (0 day) in each group. Animals from the B2KO group (C, G, L, and P) presented a worsening of the repair process and had a marked fibrotic area on the 8</w:t>
      </w:r>
      <w:r w:rsidRPr="00505A7A">
        <w:rPr>
          <w:rFonts w:ascii="Arial" w:hAnsi="Arial" w:cs="Arial"/>
          <w:color w:val="000000" w:themeColor="text1"/>
          <w:sz w:val="22"/>
          <w:szCs w:val="18"/>
          <w:vertAlign w:val="superscript"/>
        </w:rPr>
        <w:t>th</w:t>
      </w:r>
      <w:r w:rsidRPr="00505A7A">
        <w:rPr>
          <w:rFonts w:ascii="Arial" w:hAnsi="Arial" w:cs="Arial"/>
          <w:color w:val="000000" w:themeColor="text1"/>
          <w:sz w:val="22"/>
          <w:szCs w:val="18"/>
        </w:rPr>
        <w:t xml:space="preserve"> and 15</w:t>
      </w:r>
      <w:r w:rsidRPr="00505A7A">
        <w:rPr>
          <w:rFonts w:ascii="Arial" w:hAnsi="Arial" w:cs="Arial"/>
          <w:color w:val="000000" w:themeColor="text1"/>
          <w:sz w:val="22"/>
          <w:szCs w:val="18"/>
          <w:vertAlign w:val="superscript"/>
        </w:rPr>
        <w:t>th</w:t>
      </w:r>
      <w:r w:rsidRPr="00505A7A">
        <w:rPr>
          <w:rFonts w:ascii="Arial" w:hAnsi="Arial" w:cs="Arial"/>
          <w:color w:val="000000" w:themeColor="text1"/>
          <w:sz w:val="22"/>
          <w:szCs w:val="18"/>
        </w:rPr>
        <w:t xml:space="preserve"> (white arrow) post-injury days compared to the B1KO (B, F, J, and O) and WT animals (A, E, I, and N). </w:t>
      </w:r>
    </w:p>
    <w:p w14:paraId="76F6BD0B" w14:textId="77777777" w:rsidR="000D2049" w:rsidRPr="00B71BFB" w:rsidRDefault="000D2049" w:rsidP="00B71BFB">
      <w:pPr>
        <w:autoSpaceDE w:val="0"/>
        <w:autoSpaceDN w:val="0"/>
        <w:adjustRightInd w:val="0"/>
        <w:spacing w:line="276" w:lineRule="auto"/>
        <w:jc w:val="both"/>
        <w:rPr>
          <w:rFonts w:ascii="Arial" w:hAnsi="Arial" w:cs="Arial"/>
          <w:b/>
          <w:bCs/>
          <w:noProof/>
          <w:color w:val="000000" w:themeColor="text1"/>
          <w:sz w:val="20"/>
        </w:rPr>
      </w:pPr>
    </w:p>
    <w:p w14:paraId="438705CE" w14:textId="00E05785" w:rsidR="00C76417" w:rsidRPr="00406DB1" w:rsidRDefault="000D2049" w:rsidP="00C57DAA">
      <w:pPr>
        <w:pStyle w:val="HTMLPreformatted"/>
        <w:shd w:val="clear" w:color="auto" w:fill="FFFFFF"/>
        <w:spacing w:line="276" w:lineRule="auto"/>
        <w:jc w:val="both"/>
        <w:rPr>
          <w:rFonts w:ascii="Arial" w:hAnsi="Arial" w:cs="Arial"/>
          <w:color w:val="000000" w:themeColor="text1"/>
        </w:rPr>
      </w:pPr>
      <w:r>
        <w:rPr>
          <w:rFonts w:ascii="Arial" w:hAnsi="Arial" w:cs="Arial"/>
          <w:noProof/>
          <w:color w:val="000000" w:themeColor="text1"/>
        </w:rPr>
        <w:drawing>
          <wp:inline distT="0" distB="0" distL="0" distR="0" wp14:anchorId="398A2DF5" wp14:editId="1C904018">
            <wp:extent cx="6769100" cy="5259070"/>
            <wp:effectExtent l="0" t="0" r="0" b="0"/>
            <wp:docPr id="1685123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23745" name="Picture 1685123745"/>
                    <pic:cNvPicPr/>
                  </pic:nvPicPr>
                  <pic:blipFill rotWithShape="1">
                    <a:blip r:embed="rId10" cstate="print">
                      <a:extLst>
                        <a:ext uri="{28A0092B-C50C-407E-A947-70E740481C1C}">
                          <a14:useLocalDpi xmlns:a14="http://schemas.microsoft.com/office/drawing/2010/main" val="0"/>
                        </a:ext>
                      </a:extLst>
                    </a:blip>
                    <a:srcRect l="3704" b="43889"/>
                    <a:stretch/>
                  </pic:blipFill>
                  <pic:spPr bwMode="auto">
                    <a:xfrm>
                      <a:off x="0" y="0"/>
                      <a:ext cx="6769100" cy="5259070"/>
                    </a:xfrm>
                    <a:prstGeom prst="rect">
                      <a:avLst/>
                    </a:prstGeom>
                    <a:ln>
                      <a:noFill/>
                    </a:ln>
                    <a:extLst>
                      <a:ext uri="{53640926-AAD7-44D8-BBD7-CCE9431645EC}">
                        <a14:shadowObscured xmlns:a14="http://schemas.microsoft.com/office/drawing/2010/main"/>
                      </a:ext>
                    </a:extLst>
                  </pic:spPr>
                </pic:pic>
              </a:graphicData>
            </a:graphic>
          </wp:inline>
        </w:drawing>
      </w:r>
    </w:p>
    <w:p w14:paraId="154D039B" w14:textId="36745C70" w:rsidR="00C76417" w:rsidRPr="00406DB1" w:rsidRDefault="00C76417">
      <w:pPr>
        <w:rPr>
          <w:rFonts w:ascii="Arial" w:hAnsi="Arial" w:cs="Arial"/>
          <w:color w:val="000000" w:themeColor="text1"/>
          <w:sz w:val="20"/>
          <w:shd w:val="clear" w:color="auto" w:fill="FFFFFF"/>
        </w:rPr>
      </w:pPr>
      <w:r w:rsidRPr="00406DB1">
        <w:rPr>
          <w:rFonts w:ascii="Arial" w:hAnsi="Arial" w:cs="Arial"/>
          <w:color w:val="000000" w:themeColor="text1"/>
          <w:sz w:val="20"/>
          <w:shd w:val="clear" w:color="auto" w:fill="FFFFFF"/>
        </w:rPr>
        <w:br w:type="page"/>
      </w:r>
    </w:p>
    <w:p w14:paraId="1B535AB8" w14:textId="77777777" w:rsidR="00C57DAA" w:rsidRPr="00505A7A" w:rsidRDefault="00112C5B" w:rsidP="0072155D">
      <w:pPr>
        <w:autoSpaceDE w:val="0"/>
        <w:autoSpaceDN w:val="0"/>
        <w:adjustRightInd w:val="0"/>
        <w:spacing w:line="276" w:lineRule="auto"/>
        <w:jc w:val="both"/>
        <w:rPr>
          <w:rFonts w:ascii="Arial" w:hAnsi="Arial" w:cs="Arial"/>
          <w:b/>
          <w:bCs/>
          <w:noProof/>
          <w:color w:val="000000" w:themeColor="text1"/>
          <w:sz w:val="22"/>
          <w:szCs w:val="22"/>
        </w:rPr>
      </w:pPr>
      <w:r w:rsidRPr="00505A7A">
        <w:rPr>
          <w:rFonts w:ascii="Arial" w:hAnsi="Arial" w:cs="Arial"/>
          <w:b/>
          <w:bCs/>
          <w:color w:val="000000" w:themeColor="text1"/>
          <w:sz w:val="22"/>
          <w:szCs w:val="22"/>
        </w:rPr>
        <w:lastRenderedPageBreak/>
        <w:t>Fig</w:t>
      </w:r>
      <w:r w:rsidR="00BC305B" w:rsidRPr="00505A7A">
        <w:rPr>
          <w:rFonts w:ascii="Arial" w:hAnsi="Arial" w:cs="Arial"/>
          <w:b/>
          <w:bCs/>
          <w:color w:val="000000" w:themeColor="text1"/>
          <w:sz w:val="22"/>
          <w:szCs w:val="22"/>
        </w:rPr>
        <w:t>ure</w:t>
      </w:r>
      <w:r w:rsidRPr="00505A7A">
        <w:rPr>
          <w:rFonts w:ascii="Arial" w:hAnsi="Arial" w:cs="Arial"/>
          <w:b/>
          <w:bCs/>
          <w:color w:val="000000" w:themeColor="text1"/>
          <w:sz w:val="22"/>
          <w:szCs w:val="22"/>
        </w:rPr>
        <w:t xml:space="preserve"> S</w:t>
      </w:r>
      <w:r w:rsidR="00BC305B" w:rsidRPr="00505A7A">
        <w:rPr>
          <w:rFonts w:ascii="Arial" w:hAnsi="Arial" w:cs="Arial"/>
          <w:b/>
          <w:bCs/>
          <w:color w:val="000000" w:themeColor="text1"/>
          <w:sz w:val="22"/>
          <w:szCs w:val="22"/>
        </w:rPr>
        <w:t>3</w:t>
      </w:r>
      <w:r w:rsidR="00B42F9C" w:rsidRPr="00505A7A">
        <w:rPr>
          <w:rFonts w:ascii="Arial" w:hAnsi="Arial" w:cs="Arial"/>
          <w:b/>
          <w:bCs/>
          <w:color w:val="000000" w:themeColor="text1"/>
          <w:sz w:val="22"/>
          <w:szCs w:val="22"/>
        </w:rPr>
        <w:t>.</w:t>
      </w:r>
      <w:r w:rsidR="000B3C64" w:rsidRPr="00505A7A">
        <w:rPr>
          <w:rFonts w:ascii="Arial" w:hAnsi="Arial" w:cs="Arial"/>
          <w:color w:val="000000" w:themeColor="text1"/>
          <w:sz w:val="22"/>
          <w:szCs w:val="22"/>
        </w:rPr>
        <w:t xml:space="preserve"> </w:t>
      </w:r>
      <w:r w:rsidR="00845FD8" w:rsidRPr="00505A7A">
        <w:rPr>
          <w:rFonts w:ascii="Arial" w:hAnsi="Arial" w:cs="Arial"/>
          <w:color w:val="000000" w:themeColor="text1"/>
          <w:sz w:val="22"/>
          <w:szCs w:val="22"/>
          <w:shd w:val="clear" w:color="auto" w:fill="FFFFFF"/>
        </w:rPr>
        <w:t>Representative images of the injury areas stained with Sirius Red</w:t>
      </w:r>
      <w:r w:rsidR="00845FD8" w:rsidRPr="00505A7A">
        <w:rPr>
          <w:rFonts w:ascii="Arial" w:hAnsi="Arial" w:cs="Arial"/>
          <w:b/>
          <w:bCs/>
          <w:color w:val="000000" w:themeColor="text1"/>
          <w:sz w:val="22"/>
          <w:szCs w:val="22"/>
          <w:shd w:val="clear" w:color="auto" w:fill="FFFFFF"/>
        </w:rPr>
        <w:t xml:space="preserve">. </w:t>
      </w:r>
      <w:r w:rsidR="00845FD8" w:rsidRPr="00505A7A">
        <w:rPr>
          <w:rFonts w:ascii="Arial" w:hAnsi="Arial" w:cs="Arial"/>
          <w:color w:val="000000" w:themeColor="text1"/>
          <w:sz w:val="22"/>
          <w:szCs w:val="22"/>
          <w:shd w:val="clear" w:color="auto" w:fill="FFFFFF"/>
        </w:rPr>
        <w:t xml:space="preserve">(A) Representative Sirius red staining’s at 4, 8, 15 and 30 days after injury in each group (Scale bars = 100 </w:t>
      </w:r>
      <w:proofErr w:type="spellStart"/>
      <w:r w:rsidR="00845FD8" w:rsidRPr="00505A7A">
        <w:rPr>
          <w:rFonts w:ascii="Arial" w:hAnsi="Arial" w:cs="Arial"/>
          <w:color w:val="000000" w:themeColor="text1"/>
          <w:sz w:val="22"/>
          <w:szCs w:val="22"/>
          <w:shd w:val="clear" w:color="auto" w:fill="FFFFFF"/>
        </w:rPr>
        <w:t>μm</w:t>
      </w:r>
      <w:proofErr w:type="spellEnd"/>
      <w:r w:rsidR="00845FD8" w:rsidRPr="00505A7A">
        <w:rPr>
          <w:rFonts w:ascii="Arial" w:hAnsi="Arial" w:cs="Arial"/>
          <w:color w:val="000000" w:themeColor="text1"/>
          <w:sz w:val="22"/>
          <w:szCs w:val="22"/>
          <w:shd w:val="clear" w:color="auto" w:fill="FFFFFF"/>
        </w:rPr>
        <w:t xml:space="preserve">.) (B) Representative Sirius red staining combined with polarized light microscopy for collagen fiber structure. Yellow-red strong birefringence (type I collagen) and greenish color with thinner fibers (type III collagen) (white arrow) at 4, 8, 15 and 30 days after injury in each group (Scale bars = 100 </w:t>
      </w:r>
      <w:proofErr w:type="spellStart"/>
      <w:r w:rsidR="00845FD8" w:rsidRPr="00505A7A">
        <w:rPr>
          <w:rFonts w:ascii="Arial" w:hAnsi="Arial" w:cs="Arial"/>
          <w:color w:val="000000" w:themeColor="text1"/>
          <w:sz w:val="22"/>
          <w:szCs w:val="22"/>
          <w:shd w:val="clear" w:color="auto" w:fill="FFFFFF"/>
        </w:rPr>
        <w:t>μm</w:t>
      </w:r>
      <w:proofErr w:type="spellEnd"/>
      <w:r w:rsidR="00845FD8" w:rsidRPr="00505A7A">
        <w:rPr>
          <w:rFonts w:ascii="Arial" w:hAnsi="Arial" w:cs="Arial"/>
          <w:color w:val="000000" w:themeColor="text1"/>
          <w:sz w:val="22"/>
          <w:szCs w:val="22"/>
          <w:shd w:val="clear" w:color="auto" w:fill="FFFFFF"/>
        </w:rPr>
        <w:t xml:space="preserve">.) (C) Representative immunofluorescence analyses of Col1A in boundary areas found in injury zones of the TA skeletal muscle. Col1A (red) DAPI, 4’,6-diamidino-2-phenylindole stain (blue). (Scale bars = 100 </w:t>
      </w:r>
      <w:proofErr w:type="spellStart"/>
      <w:r w:rsidR="00845FD8" w:rsidRPr="00505A7A">
        <w:rPr>
          <w:rFonts w:ascii="Arial" w:hAnsi="Arial" w:cs="Arial"/>
          <w:color w:val="000000" w:themeColor="text1"/>
          <w:sz w:val="22"/>
          <w:szCs w:val="22"/>
          <w:shd w:val="clear" w:color="auto" w:fill="FFFFFF"/>
        </w:rPr>
        <w:t>μm</w:t>
      </w:r>
      <w:proofErr w:type="spellEnd"/>
      <w:r w:rsidR="00845FD8" w:rsidRPr="00505A7A">
        <w:rPr>
          <w:rFonts w:ascii="Arial" w:hAnsi="Arial" w:cs="Arial"/>
          <w:color w:val="000000" w:themeColor="text1"/>
          <w:sz w:val="22"/>
          <w:szCs w:val="22"/>
          <w:shd w:val="clear" w:color="auto" w:fill="FFFFFF"/>
        </w:rPr>
        <w:t xml:space="preserve">.) </w:t>
      </w:r>
      <w:r w:rsidR="00845FD8" w:rsidRPr="00505A7A">
        <w:rPr>
          <w:rFonts w:ascii="Arial" w:hAnsi="Arial" w:cs="Arial"/>
          <w:color w:val="000000" w:themeColor="text1"/>
          <w:sz w:val="22"/>
          <w:szCs w:val="22"/>
          <w:shd w:val="clear" w:color="auto" w:fill="FFFFFF"/>
          <w:lang w:val="de-DE"/>
        </w:rPr>
        <w:t>Perimysium (arrow); injury area (asterisk); border (line).</w:t>
      </w:r>
      <w:r w:rsidR="00C57DAA" w:rsidRPr="00505A7A">
        <w:rPr>
          <w:rFonts w:ascii="Arial" w:hAnsi="Arial" w:cs="Arial"/>
          <w:b/>
          <w:bCs/>
          <w:noProof/>
          <w:color w:val="000000" w:themeColor="text1"/>
          <w:sz w:val="22"/>
          <w:szCs w:val="22"/>
        </w:rPr>
        <w:t xml:space="preserve"> </w:t>
      </w:r>
    </w:p>
    <w:p w14:paraId="40102879" w14:textId="01D33C2E" w:rsidR="00C76417" w:rsidRPr="00406DB1" w:rsidRDefault="000D2049" w:rsidP="0072155D">
      <w:pPr>
        <w:autoSpaceDE w:val="0"/>
        <w:autoSpaceDN w:val="0"/>
        <w:adjustRightInd w:val="0"/>
        <w:spacing w:line="276" w:lineRule="auto"/>
        <w:jc w:val="both"/>
        <w:rPr>
          <w:rFonts w:ascii="Arial" w:hAnsi="Arial" w:cs="Arial"/>
          <w:b/>
          <w:bCs/>
          <w:noProof/>
          <w:color w:val="000000" w:themeColor="text1"/>
          <w:sz w:val="20"/>
        </w:rPr>
      </w:pPr>
      <w:r>
        <w:rPr>
          <w:rFonts w:ascii="Arial" w:hAnsi="Arial" w:cs="Arial"/>
          <w:b/>
          <w:bCs/>
          <w:noProof/>
          <w:color w:val="000000" w:themeColor="text1"/>
          <w:sz w:val="20"/>
        </w:rPr>
        <w:drawing>
          <wp:inline distT="0" distB="0" distL="0" distR="0" wp14:anchorId="1FB87114" wp14:editId="0B917176">
            <wp:extent cx="6997700" cy="6971784"/>
            <wp:effectExtent l="0" t="0" r="0" b="635"/>
            <wp:docPr id="1795216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16822" name="Picture 1795216822"/>
                    <pic:cNvPicPr/>
                  </pic:nvPicPr>
                  <pic:blipFill rotWithShape="1">
                    <a:blip r:embed="rId11" cstate="print">
                      <a:extLst>
                        <a:ext uri="{28A0092B-C50C-407E-A947-70E740481C1C}">
                          <a14:useLocalDpi xmlns:a14="http://schemas.microsoft.com/office/drawing/2010/main" val="0"/>
                        </a:ext>
                      </a:extLst>
                    </a:blip>
                    <a:srcRect b="25277"/>
                    <a:stretch/>
                  </pic:blipFill>
                  <pic:spPr bwMode="auto">
                    <a:xfrm>
                      <a:off x="0" y="0"/>
                      <a:ext cx="6998317" cy="6972399"/>
                    </a:xfrm>
                    <a:prstGeom prst="rect">
                      <a:avLst/>
                    </a:prstGeom>
                    <a:ln>
                      <a:noFill/>
                    </a:ln>
                    <a:extLst>
                      <a:ext uri="{53640926-AAD7-44D8-BBD7-CCE9431645EC}">
                        <a14:shadowObscured xmlns:a14="http://schemas.microsoft.com/office/drawing/2010/main"/>
                      </a:ext>
                    </a:extLst>
                  </pic:spPr>
                </pic:pic>
              </a:graphicData>
            </a:graphic>
          </wp:inline>
        </w:drawing>
      </w:r>
    </w:p>
    <w:p w14:paraId="4FF3A485" w14:textId="1C2117C6" w:rsidR="00C76417" w:rsidRPr="00406DB1" w:rsidRDefault="00C76417">
      <w:pPr>
        <w:rPr>
          <w:rFonts w:ascii="Arial" w:hAnsi="Arial" w:cs="Arial"/>
          <w:b/>
          <w:bCs/>
          <w:color w:val="000000" w:themeColor="text1"/>
          <w:sz w:val="20"/>
        </w:rPr>
      </w:pPr>
      <w:r w:rsidRPr="00406DB1">
        <w:rPr>
          <w:rFonts w:ascii="Arial" w:hAnsi="Arial" w:cs="Arial"/>
          <w:b/>
          <w:bCs/>
          <w:color w:val="000000" w:themeColor="text1"/>
          <w:sz w:val="20"/>
        </w:rPr>
        <w:br w:type="page"/>
      </w:r>
    </w:p>
    <w:p w14:paraId="67DD7763" w14:textId="3C4BC434" w:rsidR="00845FD8" w:rsidRPr="00505A7A" w:rsidRDefault="000B3C64" w:rsidP="0072155D">
      <w:pPr>
        <w:autoSpaceDE w:val="0"/>
        <w:autoSpaceDN w:val="0"/>
        <w:adjustRightInd w:val="0"/>
        <w:spacing w:line="276" w:lineRule="auto"/>
        <w:jc w:val="both"/>
        <w:rPr>
          <w:rFonts w:ascii="Arial" w:hAnsi="Arial" w:cs="Arial"/>
          <w:color w:val="000000" w:themeColor="text1"/>
          <w:sz w:val="22"/>
          <w:szCs w:val="22"/>
          <w:shd w:val="clear" w:color="auto" w:fill="FFFFFF"/>
          <w:lang w:val="pt-BR"/>
        </w:rPr>
      </w:pPr>
      <w:r w:rsidRPr="00505A7A">
        <w:rPr>
          <w:rFonts w:ascii="Arial" w:hAnsi="Arial" w:cs="Arial"/>
          <w:b/>
          <w:bCs/>
          <w:color w:val="000000" w:themeColor="text1"/>
          <w:sz w:val="22"/>
          <w:szCs w:val="22"/>
        </w:rPr>
        <w:lastRenderedPageBreak/>
        <w:t>Fig</w:t>
      </w:r>
      <w:r w:rsidR="00BC305B" w:rsidRPr="00505A7A">
        <w:rPr>
          <w:rFonts w:ascii="Arial" w:hAnsi="Arial" w:cs="Arial"/>
          <w:b/>
          <w:bCs/>
          <w:color w:val="000000" w:themeColor="text1"/>
          <w:sz w:val="22"/>
          <w:szCs w:val="22"/>
        </w:rPr>
        <w:t>ure</w:t>
      </w:r>
      <w:r w:rsidRPr="00505A7A">
        <w:rPr>
          <w:rFonts w:ascii="Arial" w:hAnsi="Arial" w:cs="Arial"/>
          <w:b/>
          <w:bCs/>
          <w:color w:val="000000" w:themeColor="text1"/>
          <w:sz w:val="22"/>
          <w:szCs w:val="22"/>
        </w:rPr>
        <w:t xml:space="preserve"> S</w:t>
      </w:r>
      <w:r w:rsidR="00BC305B" w:rsidRPr="00505A7A">
        <w:rPr>
          <w:rFonts w:ascii="Arial" w:hAnsi="Arial" w:cs="Arial"/>
          <w:b/>
          <w:bCs/>
          <w:color w:val="000000" w:themeColor="text1"/>
          <w:sz w:val="22"/>
          <w:szCs w:val="22"/>
        </w:rPr>
        <w:t>4</w:t>
      </w:r>
      <w:r w:rsidRPr="00505A7A">
        <w:rPr>
          <w:rFonts w:ascii="Arial" w:hAnsi="Arial" w:cs="Arial"/>
          <w:b/>
          <w:bCs/>
          <w:color w:val="000000" w:themeColor="text1"/>
          <w:sz w:val="22"/>
          <w:szCs w:val="22"/>
        </w:rPr>
        <w:t>.</w:t>
      </w:r>
      <w:r w:rsidRPr="00505A7A">
        <w:rPr>
          <w:rFonts w:ascii="Arial" w:hAnsi="Arial" w:cs="Arial"/>
          <w:color w:val="000000" w:themeColor="text1"/>
          <w:sz w:val="22"/>
          <w:szCs w:val="22"/>
        </w:rPr>
        <w:t xml:space="preserve"> </w:t>
      </w:r>
      <w:r w:rsidR="00882FE6">
        <w:rPr>
          <w:rFonts w:ascii="Arial" w:hAnsi="Arial" w:cs="Arial"/>
          <w:color w:val="000000" w:themeColor="text1"/>
          <w:sz w:val="22"/>
          <w:szCs w:val="22"/>
          <w:shd w:val="clear" w:color="auto" w:fill="FFFFFF"/>
        </w:rPr>
        <w:t>α</w:t>
      </w:r>
      <w:r w:rsidR="00845FD8" w:rsidRPr="00505A7A">
        <w:rPr>
          <w:rFonts w:ascii="Arial" w:hAnsi="Arial" w:cs="Arial"/>
          <w:color w:val="000000" w:themeColor="text1"/>
          <w:sz w:val="22"/>
          <w:szCs w:val="22"/>
          <w:shd w:val="clear" w:color="auto" w:fill="FFFFFF"/>
        </w:rPr>
        <w:t>SMA-expressing myoblast/</w:t>
      </w:r>
      <w:r w:rsidR="00880121" w:rsidRPr="00505A7A">
        <w:rPr>
          <w:rFonts w:ascii="Arial" w:hAnsi="Arial" w:cs="Arial"/>
          <w:color w:val="000000" w:themeColor="text1"/>
          <w:sz w:val="22"/>
          <w:szCs w:val="22"/>
        </w:rPr>
        <w:t xml:space="preserve"> muscle precursor cells</w:t>
      </w:r>
      <w:r w:rsidR="00845FD8" w:rsidRPr="00505A7A">
        <w:rPr>
          <w:rFonts w:ascii="Arial" w:hAnsi="Arial" w:cs="Arial"/>
          <w:color w:val="000000" w:themeColor="text1"/>
          <w:sz w:val="22"/>
          <w:szCs w:val="22"/>
          <w:shd w:val="clear" w:color="auto" w:fill="FFFFFF"/>
        </w:rPr>
        <w:t xml:space="preserve"> in injured area. Representative immunofluorescence analyses alpha-smooth muscle actin (</w:t>
      </w:r>
      <w:r w:rsidR="00845FD8" w:rsidRPr="00505A7A">
        <w:rPr>
          <w:rFonts w:ascii="Arial" w:hAnsi="Arial" w:cs="Arial"/>
          <w:color w:val="000000" w:themeColor="text1"/>
          <w:sz w:val="22"/>
          <w:szCs w:val="22"/>
          <w:shd w:val="clear" w:color="auto" w:fill="FFFFFF"/>
          <w:lang w:val="el-GR"/>
        </w:rPr>
        <w:t>α</w:t>
      </w:r>
      <w:r w:rsidR="00845FD8" w:rsidRPr="00505A7A">
        <w:rPr>
          <w:rFonts w:ascii="Arial" w:hAnsi="Arial" w:cs="Arial"/>
          <w:color w:val="000000" w:themeColor="text1"/>
          <w:sz w:val="22"/>
          <w:szCs w:val="22"/>
          <w:shd w:val="clear" w:color="auto" w:fill="FFFFFF"/>
        </w:rPr>
        <w:t xml:space="preserve">SMA) in the injured skeletal muscle in each group (A) and graphical comparison of the number of </w:t>
      </w:r>
      <w:r w:rsidR="00882FE6">
        <w:rPr>
          <w:rFonts w:ascii="Arial" w:hAnsi="Arial" w:cs="Arial"/>
          <w:color w:val="000000" w:themeColor="text1"/>
          <w:sz w:val="22"/>
          <w:szCs w:val="22"/>
          <w:shd w:val="clear" w:color="auto" w:fill="FFFFFF"/>
        </w:rPr>
        <w:t>α</w:t>
      </w:r>
      <w:r w:rsidR="00845FD8" w:rsidRPr="00505A7A">
        <w:rPr>
          <w:rFonts w:ascii="Arial" w:hAnsi="Arial" w:cs="Arial"/>
          <w:color w:val="000000" w:themeColor="text1"/>
          <w:sz w:val="22"/>
          <w:szCs w:val="22"/>
          <w:shd w:val="clear" w:color="auto" w:fill="FFFFFF"/>
        </w:rPr>
        <w:t xml:space="preserve">SMA-expressing myofibroblasts in each group (B). Area of injury trapping blood vessels (arrowhead) and myoblasts (arrow). </w:t>
      </w:r>
      <w:r w:rsidR="00845FD8" w:rsidRPr="00505A7A">
        <w:rPr>
          <w:rFonts w:ascii="Arial" w:hAnsi="Arial" w:cs="Arial"/>
          <w:color w:val="000000" w:themeColor="text1"/>
          <w:sz w:val="22"/>
          <w:szCs w:val="22"/>
          <w:shd w:val="clear" w:color="auto" w:fill="FFFFFF"/>
          <w:lang w:val="pt-BR"/>
        </w:rPr>
        <w:t xml:space="preserve">(*,0.05). DAPI, 4’,6-diamidino-2-phenylindole </w:t>
      </w:r>
      <w:proofErr w:type="spellStart"/>
      <w:r w:rsidR="00845FD8" w:rsidRPr="00505A7A">
        <w:rPr>
          <w:rFonts w:ascii="Arial" w:hAnsi="Arial" w:cs="Arial"/>
          <w:color w:val="000000" w:themeColor="text1"/>
          <w:sz w:val="22"/>
          <w:szCs w:val="22"/>
          <w:shd w:val="clear" w:color="auto" w:fill="FFFFFF"/>
          <w:lang w:val="pt-BR"/>
        </w:rPr>
        <w:t>stain</w:t>
      </w:r>
      <w:proofErr w:type="spellEnd"/>
      <w:r w:rsidR="00845FD8" w:rsidRPr="00505A7A">
        <w:rPr>
          <w:rFonts w:ascii="Arial" w:hAnsi="Arial" w:cs="Arial"/>
          <w:color w:val="000000" w:themeColor="text1"/>
          <w:sz w:val="22"/>
          <w:szCs w:val="22"/>
          <w:shd w:val="clear" w:color="auto" w:fill="FFFFFF"/>
          <w:lang w:val="pt-BR"/>
        </w:rPr>
        <w:t xml:space="preserve"> (blue).</w:t>
      </w:r>
    </w:p>
    <w:p w14:paraId="2AF666B8" w14:textId="7069147C" w:rsidR="00C76417" w:rsidRPr="00406DB1" w:rsidRDefault="000D2049" w:rsidP="0072155D">
      <w:pPr>
        <w:autoSpaceDE w:val="0"/>
        <w:autoSpaceDN w:val="0"/>
        <w:adjustRightInd w:val="0"/>
        <w:spacing w:line="276" w:lineRule="auto"/>
        <w:jc w:val="both"/>
        <w:rPr>
          <w:rFonts w:ascii="Arial" w:hAnsi="Arial" w:cs="Arial"/>
          <w:color w:val="000000" w:themeColor="text1"/>
          <w:sz w:val="20"/>
          <w:shd w:val="clear" w:color="auto" w:fill="FFFFFF"/>
          <w:lang w:val="pt-BR"/>
        </w:rPr>
      </w:pPr>
      <w:r>
        <w:rPr>
          <w:rFonts w:ascii="Arial" w:hAnsi="Arial" w:cs="Arial"/>
          <w:noProof/>
          <w:color w:val="000000" w:themeColor="text1"/>
          <w:sz w:val="20"/>
          <w:shd w:val="clear" w:color="auto" w:fill="FFFFFF"/>
          <w:lang w:val="pt-BR"/>
        </w:rPr>
        <w:drawing>
          <wp:inline distT="0" distB="0" distL="0" distR="0" wp14:anchorId="0A43CC24" wp14:editId="03501C80">
            <wp:extent cx="6535662" cy="7467600"/>
            <wp:effectExtent l="0" t="0" r="0" b="0"/>
            <wp:docPr id="1545570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70209" name="Picture 1545570209"/>
                    <pic:cNvPicPr/>
                  </pic:nvPicPr>
                  <pic:blipFill rotWithShape="1">
                    <a:blip r:embed="rId12" cstate="print">
                      <a:extLst>
                        <a:ext uri="{28A0092B-C50C-407E-A947-70E740481C1C}">
                          <a14:useLocalDpi xmlns:a14="http://schemas.microsoft.com/office/drawing/2010/main" val="0"/>
                        </a:ext>
                      </a:extLst>
                    </a:blip>
                    <a:srcRect b="14306"/>
                    <a:stretch/>
                  </pic:blipFill>
                  <pic:spPr bwMode="auto">
                    <a:xfrm>
                      <a:off x="0" y="0"/>
                      <a:ext cx="6538471" cy="7470810"/>
                    </a:xfrm>
                    <a:prstGeom prst="rect">
                      <a:avLst/>
                    </a:prstGeom>
                    <a:ln>
                      <a:noFill/>
                    </a:ln>
                    <a:extLst>
                      <a:ext uri="{53640926-AAD7-44D8-BBD7-CCE9431645EC}">
                        <a14:shadowObscured xmlns:a14="http://schemas.microsoft.com/office/drawing/2010/main"/>
                      </a:ext>
                    </a:extLst>
                  </pic:spPr>
                </pic:pic>
              </a:graphicData>
            </a:graphic>
          </wp:inline>
        </w:drawing>
      </w:r>
    </w:p>
    <w:p w14:paraId="7DFCD8A1" w14:textId="3361FB9F" w:rsidR="009E7DD2" w:rsidRPr="00505A7A" w:rsidRDefault="009E7DD2" w:rsidP="000D2049">
      <w:pPr>
        <w:rPr>
          <w:rFonts w:ascii="Arial" w:hAnsi="Arial" w:cs="Arial"/>
          <w:sz w:val="22"/>
          <w:szCs w:val="22"/>
          <w:shd w:val="clear" w:color="auto" w:fill="FFFFFF"/>
        </w:rPr>
      </w:pPr>
      <w:r w:rsidRPr="00406DB1">
        <w:rPr>
          <w:rFonts w:ascii="Arial" w:hAnsi="Arial" w:cs="Arial"/>
          <w:b/>
          <w:color w:val="000000" w:themeColor="text1"/>
          <w:sz w:val="20"/>
        </w:rPr>
        <w:br w:type="page"/>
      </w:r>
      <w:r w:rsidRPr="00505A7A">
        <w:rPr>
          <w:rFonts w:ascii="Arial" w:hAnsi="Arial" w:cs="Arial"/>
          <w:b/>
          <w:sz w:val="22"/>
          <w:szCs w:val="22"/>
        </w:rPr>
        <w:lastRenderedPageBreak/>
        <w:t xml:space="preserve">Figure S5. </w:t>
      </w:r>
      <w:r w:rsidRPr="00505A7A">
        <w:rPr>
          <w:rFonts w:ascii="Arial" w:hAnsi="Arial" w:cs="Arial"/>
          <w:sz w:val="22"/>
          <w:szCs w:val="22"/>
          <w:shd w:val="clear" w:color="auto" w:fill="FFFFFF"/>
        </w:rPr>
        <w:t>Change in Tibial anterior (TA) muscle weight normalized to the body weight. Data presented as mean ± SD.</w:t>
      </w:r>
    </w:p>
    <w:p w14:paraId="5803B064" w14:textId="2F61AE10" w:rsidR="00C76417" w:rsidRPr="00406DB1" w:rsidRDefault="000D2049" w:rsidP="00B71BFB">
      <w:pPr>
        <w:jc w:val="center"/>
        <w:rPr>
          <w:rFonts w:ascii="Arial" w:hAnsi="Arial" w:cs="Arial"/>
          <w:b/>
          <w:color w:val="000000" w:themeColor="text1"/>
          <w:sz w:val="20"/>
        </w:rPr>
      </w:pPr>
      <w:r>
        <w:rPr>
          <w:rFonts w:ascii="Arial" w:hAnsi="Arial" w:cs="Arial"/>
          <w:b/>
          <w:noProof/>
          <w:color w:val="000000" w:themeColor="text1"/>
          <w:sz w:val="20"/>
        </w:rPr>
        <w:drawing>
          <wp:inline distT="0" distB="0" distL="0" distR="0" wp14:anchorId="515F6444" wp14:editId="2EA4DAAC">
            <wp:extent cx="6057900" cy="3085042"/>
            <wp:effectExtent l="0" t="0" r="0" b="1270"/>
            <wp:docPr id="548060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60776" name="Picture 548060776"/>
                    <pic:cNvPicPr/>
                  </pic:nvPicPr>
                  <pic:blipFill rotWithShape="1">
                    <a:blip r:embed="rId13" cstate="print">
                      <a:extLst>
                        <a:ext uri="{28A0092B-C50C-407E-A947-70E740481C1C}">
                          <a14:useLocalDpi xmlns:a14="http://schemas.microsoft.com/office/drawing/2010/main" val="0"/>
                        </a:ext>
                      </a:extLst>
                    </a:blip>
                    <a:srcRect b="61806"/>
                    <a:stretch/>
                  </pic:blipFill>
                  <pic:spPr bwMode="auto">
                    <a:xfrm>
                      <a:off x="0" y="0"/>
                      <a:ext cx="6059581" cy="3085898"/>
                    </a:xfrm>
                    <a:prstGeom prst="rect">
                      <a:avLst/>
                    </a:prstGeom>
                    <a:ln>
                      <a:noFill/>
                    </a:ln>
                    <a:extLst>
                      <a:ext uri="{53640926-AAD7-44D8-BBD7-CCE9431645EC}">
                        <a14:shadowObscured xmlns:a14="http://schemas.microsoft.com/office/drawing/2010/main"/>
                      </a:ext>
                    </a:extLst>
                  </pic:spPr>
                </pic:pic>
              </a:graphicData>
            </a:graphic>
          </wp:inline>
        </w:drawing>
      </w:r>
      <w:r w:rsidR="00C76417" w:rsidRPr="00406DB1">
        <w:rPr>
          <w:rFonts w:ascii="Arial" w:hAnsi="Arial" w:cs="Arial"/>
          <w:b/>
          <w:color w:val="000000" w:themeColor="text1"/>
          <w:sz w:val="20"/>
        </w:rPr>
        <w:br w:type="page"/>
      </w:r>
    </w:p>
    <w:p w14:paraId="45CFA24D" w14:textId="164B0B78" w:rsidR="00C82E65" w:rsidRPr="00505A7A" w:rsidRDefault="00C82E65" w:rsidP="0072155D">
      <w:pPr>
        <w:spacing w:line="276" w:lineRule="auto"/>
        <w:jc w:val="both"/>
        <w:rPr>
          <w:rFonts w:ascii="Arial" w:hAnsi="Arial" w:cs="Arial"/>
          <w:color w:val="000000" w:themeColor="text1"/>
          <w:sz w:val="22"/>
          <w:szCs w:val="22"/>
        </w:rPr>
      </w:pPr>
      <w:r w:rsidRPr="00505A7A">
        <w:rPr>
          <w:rFonts w:ascii="Arial" w:hAnsi="Arial" w:cs="Arial"/>
          <w:b/>
          <w:color w:val="000000" w:themeColor="text1"/>
          <w:sz w:val="22"/>
          <w:szCs w:val="22"/>
        </w:rPr>
        <w:lastRenderedPageBreak/>
        <w:t>Table S1.</w:t>
      </w:r>
      <w:r w:rsidRPr="00505A7A">
        <w:rPr>
          <w:rFonts w:ascii="Arial" w:hAnsi="Arial" w:cs="Arial"/>
          <w:color w:val="000000" w:themeColor="text1"/>
          <w:sz w:val="22"/>
          <w:szCs w:val="22"/>
        </w:rPr>
        <w:t xml:space="preserve"> Immunostaining protocols</w:t>
      </w:r>
    </w:p>
    <w:tbl>
      <w:tblPr>
        <w:tblStyle w:val="TableGridLight"/>
        <w:tblW w:w="10705" w:type="dxa"/>
        <w:tblBorders>
          <w:top w:val="single" w:sz="4" w:space="0" w:color="auto"/>
          <w:bottom w:val="single" w:sz="4" w:space="0" w:color="auto"/>
        </w:tblBorders>
        <w:tblLayout w:type="fixed"/>
        <w:tblLook w:val="04A0" w:firstRow="1" w:lastRow="0" w:firstColumn="1" w:lastColumn="0" w:noHBand="0" w:noVBand="1"/>
      </w:tblPr>
      <w:tblGrid>
        <w:gridCol w:w="1975"/>
        <w:gridCol w:w="8730"/>
      </w:tblGrid>
      <w:tr w:rsidR="00C57DAA" w:rsidRPr="00505A7A" w14:paraId="3F98C24B" w14:textId="77777777" w:rsidTr="00B71BFB">
        <w:tc>
          <w:tcPr>
            <w:tcW w:w="1975" w:type="dxa"/>
            <w:tcBorders>
              <w:top w:val="single" w:sz="12" w:space="0" w:color="auto"/>
              <w:bottom w:val="single" w:sz="4" w:space="0" w:color="auto"/>
            </w:tcBorders>
          </w:tcPr>
          <w:p w14:paraId="499238F1" w14:textId="77777777" w:rsidR="00C82E65" w:rsidRPr="00505A7A" w:rsidRDefault="00C82E65" w:rsidP="0072155D">
            <w:pPr>
              <w:spacing w:line="276" w:lineRule="auto"/>
              <w:jc w:val="both"/>
              <w:rPr>
                <w:rFonts w:ascii="Arial" w:hAnsi="Arial" w:cs="Arial"/>
                <w:b/>
                <w:color w:val="000000" w:themeColor="text1"/>
                <w:sz w:val="20"/>
                <w:szCs w:val="20"/>
              </w:rPr>
            </w:pPr>
          </w:p>
        </w:tc>
        <w:tc>
          <w:tcPr>
            <w:tcW w:w="8730" w:type="dxa"/>
            <w:tcBorders>
              <w:top w:val="single" w:sz="12" w:space="0" w:color="auto"/>
              <w:bottom w:val="single" w:sz="4" w:space="0" w:color="auto"/>
            </w:tcBorders>
          </w:tcPr>
          <w:p w14:paraId="099F4EA5" w14:textId="77777777" w:rsidR="00C82E65" w:rsidRPr="00505A7A" w:rsidRDefault="00C82E65" w:rsidP="0072155D">
            <w:pPr>
              <w:spacing w:line="276" w:lineRule="auto"/>
              <w:jc w:val="both"/>
              <w:rPr>
                <w:rFonts w:ascii="Arial" w:hAnsi="Arial" w:cs="Arial"/>
                <w:color w:val="000000" w:themeColor="text1"/>
                <w:sz w:val="20"/>
                <w:szCs w:val="20"/>
              </w:rPr>
            </w:pPr>
            <w:r w:rsidRPr="00505A7A">
              <w:rPr>
                <w:rFonts w:ascii="Arial" w:hAnsi="Arial" w:cs="Arial"/>
                <w:color w:val="000000" w:themeColor="text1"/>
                <w:sz w:val="20"/>
                <w:szCs w:val="20"/>
              </w:rPr>
              <w:t>Procedure</w:t>
            </w:r>
          </w:p>
        </w:tc>
      </w:tr>
      <w:tr w:rsidR="00C57DAA" w:rsidRPr="00505A7A" w14:paraId="508CF1A6" w14:textId="77777777" w:rsidTr="00B71BFB">
        <w:tc>
          <w:tcPr>
            <w:tcW w:w="1975" w:type="dxa"/>
            <w:tcBorders>
              <w:top w:val="single" w:sz="4" w:space="0" w:color="auto"/>
            </w:tcBorders>
            <w:shd w:val="clear" w:color="auto" w:fill="D9D9D9" w:themeFill="background1" w:themeFillShade="D9"/>
          </w:tcPr>
          <w:p w14:paraId="6262937B" w14:textId="77777777" w:rsidR="00C82E65" w:rsidRPr="00505A7A" w:rsidRDefault="00C82E65" w:rsidP="0072155D">
            <w:pPr>
              <w:spacing w:line="276" w:lineRule="auto"/>
              <w:jc w:val="both"/>
              <w:rPr>
                <w:rFonts w:ascii="Arial" w:hAnsi="Arial" w:cs="Arial"/>
                <w:b/>
                <w:color w:val="000000" w:themeColor="text1"/>
                <w:sz w:val="20"/>
                <w:szCs w:val="20"/>
              </w:rPr>
            </w:pPr>
            <w:r w:rsidRPr="00505A7A">
              <w:rPr>
                <w:rFonts w:ascii="Arial" w:hAnsi="Arial" w:cs="Arial"/>
                <w:b/>
                <w:color w:val="000000" w:themeColor="text1"/>
                <w:sz w:val="20"/>
                <w:szCs w:val="20"/>
              </w:rPr>
              <w:t>Fixation</w:t>
            </w:r>
          </w:p>
        </w:tc>
        <w:tc>
          <w:tcPr>
            <w:tcW w:w="8730" w:type="dxa"/>
            <w:tcBorders>
              <w:top w:val="single" w:sz="4" w:space="0" w:color="auto"/>
            </w:tcBorders>
            <w:shd w:val="clear" w:color="auto" w:fill="D9D9D9" w:themeFill="background1" w:themeFillShade="D9"/>
          </w:tcPr>
          <w:p w14:paraId="7AC0C686" w14:textId="77777777" w:rsidR="00C82E65" w:rsidRPr="00505A7A" w:rsidRDefault="00C82E65" w:rsidP="0072155D">
            <w:pPr>
              <w:spacing w:line="276" w:lineRule="auto"/>
              <w:jc w:val="both"/>
              <w:rPr>
                <w:rFonts w:ascii="Arial" w:hAnsi="Arial" w:cs="Arial"/>
                <w:color w:val="000000" w:themeColor="text1"/>
                <w:sz w:val="20"/>
                <w:szCs w:val="20"/>
              </w:rPr>
            </w:pPr>
            <w:r w:rsidRPr="00505A7A">
              <w:rPr>
                <w:rFonts w:ascii="Arial" w:hAnsi="Arial" w:cs="Arial"/>
                <w:color w:val="000000" w:themeColor="text1"/>
                <w:sz w:val="20"/>
                <w:szCs w:val="20"/>
              </w:rPr>
              <w:t xml:space="preserve"> Acetone (10 min)</w:t>
            </w:r>
          </w:p>
        </w:tc>
      </w:tr>
      <w:tr w:rsidR="00C57DAA" w:rsidRPr="00505A7A" w14:paraId="2BA7688A" w14:textId="77777777" w:rsidTr="00B71BFB">
        <w:tc>
          <w:tcPr>
            <w:tcW w:w="1975" w:type="dxa"/>
          </w:tcPr>
          <w:p w14:paraId="4A1F4798" w14:textId="77777777" w:rsidR="00C82E65" w:rsidRPr="00505A7A" w:rsidRDefault="00C82E65" w:rsidP="0072155D">
            <w:pPr>
              <w:spacing w:line="276" w:lineRule="auto"/>
              <w:jc w:val="both"/>
              <w:rPr>
                <w:rFonts w:ascii="Arial" w:hAnsi="Arial" w:cs="Arial"/>
                <w:b/>
                <w:color w:val="000000" w:themeColor="text1"/>
                <w:sz w:val="20"/>
                <w:szCs w:val="20"/>
              </w:rPr>
            </w:pPr>
            <w:r w:rsidRPr="00505A7A">
              <w:rPr>
                <w:rFonts w:ascii="Arial" w:hAnsi="Arial" w:cs="Arial"/>
                <w:b/>
                <w:color w:val="000000" w:themeColor="text1"/>
                <w:sz w:val="20"/>
                <w:szCs w:val="20"/>
              </w:rPr>
              <w:t>Blocking</w:t>
            </w:r>
          </w:p>
        </w:tc>
        <w:tc>
          <w:tcPr>
            <w:tcW w:w="8730" w:type="dxa"/>
          </w:tcPr>
          <w:p w14:paraId="2D0A6757" w14:textId="0F225C89" w:rsidR="00C82E65" w:rsidRPr="00505A7A" w:rsidRDefault="00C82E65" w:rsidP="0072155D">
            <w:pPr>
              <w:spacing w:line="276" w:lineRule="auto"/>
              <w:jc w:val="both"/>
              <w:rPr>
                <w:rFonts w:ascii="Arial" w:hAnsi="Arial" w:cs="Arial"/>
                <w:color w:val="000000" w:themeColor="text1"/>
                <w:sz w:val="20"/>
                <w:szCs w:val="20"/>
              </w:rPr>
            </w:pPr>
            <w:r w:rsidRPr="00505A7A">
              <w:rPr>
                <w:rFonts w:ascii="Arial" w:hAnsi="Arial" w:cs="Arial"/>
                <w:color w:val="000000" w:themeColor="text1"/>
                <w:sz w:val="20"/>
                <w:szCs w:val="20"/>
              </w:rPr>
              <w:t>10% Normal Donkey Serum (NDS) (60 min; Invitrogen,</w:t>
            </w:r>
          </w:p>
          <w:p w14:paraId="032B3546" w14:textId="77777777" w:rsidR="00C82E65" w:rsidRPr="00505A7A" w:rsidRDefault="00C82E65" w:rsidP="0072155D">
            <w:pPr>
              <w:spacing w:line="276" w:lineRule="auto"/>
              <w:jc w:val="both"/>
              <w:rPr>
                <w:rFonts w:ascii="Arial" w:hAnsi="Arial" w:cs="Arial"/>
                <w:color w:val="000000" w:themeColor="text1"/>
                <w:sz w:val="20"/>
                <w:szCs w:val="20"/>
              </w:rPr>
            </w:pPr>
            <w:r w:rsidRPr="00505A7A">
              <w:rPr>
                <w:rFonts w:ascii="Arial" w:hAnsi="Arial" w:cs="Arial"/>
                <w:color w:val="000000" w:themeColor="text1"/>
                <w:sz w:val="20"/>
                <w:szCs w:val="20"/>
              </w:rPr>
              <w:t>Carlsbad, CA)</w:t>
            </w:r>
          </w:p>
        </w:tc>
      </w:tr>
      <w:tr w:rsidR="00C57DAA" w:rsidRPr="00505A7A" w14:paraId="2AD70416" w14:textId="77777777" w:rsidTr="00B71BFB">
        <w:tc>
          <w:tcPr>
            <w:tcW w:w="1975" w:type="dxa"/>
            <w:shd w:val="clear" w:color="auto" w:fill="D9D9D9" w:themeFill="background1" w:themeFillShade="D9"/>
          </w:tcPr>
          <w:p w14:paraId="5062531F" w14:textId="77777777" w:rsidR="00C82E65" w:rsidRPr="00505A7A" w:rsidRDefault="00C82E65" w:rsidP="0072155D">
            <w:pPr>
              <w:spacing w:line="276" w:lineRule="auto"/>
              <w:jc w:val="both"/>
              <w:rPr>
                <w:rFonts w:ascii="Arial" w:hAnsi="Arial" w:cs="Arial"/>
                <w:b/>
                <w:color w:val="000000" w:themeColor="text1"/>
                <w:sz w:val="20"/>
                <w:szCs w:val="20"/>
              </w:rPr>
            </w:pPr>
            <w:r w:rsidRPr="00505A7A">
              <w:rPr>
                <w:rFonts w:ascii="Arial" w:hAnsi="Arial" w:cs="Arial"/>
                <w:b/>
                <w:color w:val="000000" w:themeColor="text1"/>
                <w:sz w:val="20"/>
                <w:szCs w:val="20"/>
              </w:rPr>
              <w:t>Permeabilization</w:t>
            </w:r>
          </w:p>
        </w:tc>
        <w:tc>
          <w:tcPr>
            <w:tcW w:w="8730" w:type="dxa"/>
            <w:shd w:val="clear" w:color="auto" w:fill="D9D9D9" w:themeFill="background1" w:themeFillShade="D9"/>
          </w:tcPr>
          <w:p w14:paraId="671BA6B3" w14:textId="77777777" w:rsidR="00C82E65" w:rsidRPr="00505A7A" w:rsidRDefault="00C82E65" w:rsidP="0072155D">
            <w:pPr>
              <w:spacing w:line="276" w:lineRule="auto"/>
              <w:jc w:val="both"/>
              <w:rPr>
                <w:rFonts w:ascii="Arial" w:hAnsi="Arial" w:cs="Arial"/>
                <w:color w:val="000000" w:themeColor="text1"/>
                <w:sz w:val="20"/>
                <w:szCs w:val="20"/>
              </w:rPr>
            </w:pPr>
            <w:r w:rsidRPr="00505A7A">
              <w:rPr>
                <w:rFonts w:ascii="Arial" w:hAnsi="Arial" w:cs="Arial"/>
                <w:color w:val="000000" w:themeColor="text1"/>
                <w:sz w:val="20"/>
                <w:szCs w:val="20"/>
              </w:rPr>
              <w:t>PBST (1x PBS+0.3% Triton)</w:t>
            </w:r>
          </w:p>
        </w:tc>
      </w:tr>
      <w:tr w:rsidR="00C57DAA" w:rsidRPr="00505A7A" w14:paraId="63021AE0" w14:textId="77777777" w:rsidTr="00B71BFB">
        <w:tc>
          <w:tcPr>
            <w:tcW w:w="1975" w:type="dxa"/>
          </w:tcPr>
          <w:p w14:paraId="15C4786B" w14:textId="77777777" w:rsidR="00C82E65" w:rsidRPr="00505A7A" w:rsidRDefault="00C82E65" w:rsidP="0072155D">
            <w:pPr>
              <w:spacing w:line="276" w:lineRule="auto"/>
              <w:jc w:val="both"/>
              <w:rPr>
                <w:rFonts w:ascii="Arial" w:hAnsi="Arial" w:cs="Arial"/>
                <w:b/>
                <w:color w:val="000000" w:themeColor="text1"/>
                <w:sz w:val="20"/>
                <w:szCs w:val="20"/>
              </w:rPr>
            </w:pPr>
            <w:r w:rsidRPr="00505A7A">
              <w:rPr>
                <w:rFonts w:ascii="Arial" w:hAnsi="Arial" w:cs="Arial"/>
                <w:b/>
                <w:color w:val="000000" w:themeColor="text1"/>
                <w:sz w:val="20"/>
                <w:szCs w:val="20"/>
              </w:rPr>
              <w:t>Step 1</w:t>
            </w:r>
          </w:p>
        </w:tc>
        <w:tc>
          <w:tcPr>
            <w:tcW w:w="8730" w:type="dxa"/>
          </w:tcPr>
          <w:p w14:paraId="2D4C4BBB" w14:textId="77777777" w:rsidR="00C82E65" w:rsidRPr="00505A7A" w:rsidRDefault="00C82E65" w:rsidP="0072155D">
            <w:pPr>
              <w:autoSpaceDE w:val="0"/>
              <w:autoSpaceDN w:val="0"/>
              <w:adjustRightInd w:val="0"/>
              <w:spacing w:line="276" w:lineRule="auto"/>
              <w:jc w:val="both"/>
              <w:rPr>
                <w:rFonts w:ascii="Arial" w:hAnsi="Arial" w:cs="Arial"/>
                <w:color w:val="000000" w:themeColor="text1"/>
                <w:sz w:val="20"/>
                <w:szCs w:val="20"/>
              </w:rPr>
            </w:pPr>
            <w:r w:rsidRPr="00505A7A">
              <w:rPr>
                <w:rFonts w:ascii="Arial" w:hAnsi="Arial" w:cs="Arial"/>
                <w:color w:val="000000" w:themeColor="text1"/>
                <w:sz w:val="20"/>
                <w:szCs w:val="20"/>
              </w:rPr>
              <w:t>1</w:t>
            </w:r>
            <w:r w:rsidRPr="00505A7A">
              <w:rPr>
                <w:rFonts w:ascii="Arial" w:hAnsi="Arial" w:cs="Arial"/>
                <w:color w:val="000000" w:themeColor="text1"/>
                <w:sz w:val="20"/>
                <w:szCs w:val="20"/>
                <w:vertAlign w:val="superscript"/>
              </w:rPr>
              <w:t>st</w:t>
            </w:r>
            <w:r w:rsidRPr="00505A7A">
              <w:rPr>
                <w:rFonts w:ascii="Arial" w:hAnsi="Arial" w:cs="Arial"/>
                <w:color w:val="000000" w:themeColor="text1"/>
                <w:sz w:val="20"/>
                <w:szCs w:val="20"/>
              </w:rPr>
              <w:t xml:space="preserve"> antibody (Dilution following the recommendations for each company in 1x PBS); overnight at 4°C.</w:t>
            </w:r>
          </w:p>
        </w:tc>
      </w:tr>
      <w:tr w:rsidR="00C57DAA" w:rsidRPr="00505A7A" w14:paraId="66F43AEC" w14:textId="77777777" w:rsidTr="00B71BFB">
        <w:tc>
          <w:tcPr>
            <w:tcW w:w="1975" w:type="dxa"/>
            <w:shd w:val="clear" w:color="auto" w:fill="D9D9D9" w:themeFill="background1" w:themeFillShade="D9"/>
          </w:tcPr>
          <w:p w14:paraId="62CDEA53" w14:textId="77777777" w:rsidR="00C82E65" w:rsidRPr="00505A7A" w:rsidRDefault="00C82E65" w:rsidP="0072155D">
            <w:pPr>
              <w:spacing w:line="276" w:lineRule="auto"/>
              <w:jc w:val="both"/>
              <w:rPr>
                <w:rFonts w:ascii="Arial" w:hAnsi="Arial" w:cs="Arial"/>
                <w:b/>
                <w:color w:val="000000" w:themeColor="text1"/>
                <w:sz w:val="20"/>
                <w:szCs w:val="20"/>
              </w:rPr>
            </w:pPr>
            <w:r w:rsidRPr="00505A7A">
              <w:rPr>
                <w:rFonts w:ascii="Arial" w:hAnsi="Arial" w:cs="Arial"/>
                <w:b/>
                <w:color w:val="000000" w:themeColor="text1"/>
                <w:sz w:val="20"/>
                <w:szCs w:val="20"/>
              </w:rPr>
              <w:t>Step 2</w:t>
            </w:r>
          </w:p>
        </w:tc>
        <w:tc>
          <w:tcPr>
            <w:tcW w:w="8730" w:type="dxa"/>
            <w:shd w:val="clear" w:color="auto" w:fill="D9D9D9" w:themeFill="background1" w:themeFillShade="D9"/>
          </w:tcPr>
          <w:p w14:paraId="10A36206" w14:textId="77777777" w:rsidR="00C82E65" w:rsidRPr="00505A7A" w:rsidRDefault="00C82E65" w:rsidP="0072155D">
            <w:pPr>
              <w:autoSpaceDE w:val="0"/>
              <w:autoSpaceDN w:val="0"/>
              <w:adjustRightInd w:val="0"/>
              <w:spacing w:line="276" w:lineRule="auto"/>
              <w:jc w:val="both"/>
              <w:rPr>
                <w:rFonts w:ascii="Arial" w:hAnsi="Arial" w:cs="Arial"/>
                <w:color w:val="000000" w:themeColor="text1"/>
                <w:sz w:val="20"/>
                <w:szCs w:val="20"/>
              </w:rPr>
            </w:pPr>
            <w:r w:rsidRPr="00505A7A">
              <w:rPr>
                <w:rFonts w:ascii="Arial" w:hAnsi="Arial" w:cs="Arial"/>
                <w:color w:val="000000" w:themeColor="text1"/>
                <w:sz w:val="20"/>
                <w:szCs w:val="20"/>
              </w:rPr>
              <w:t>2</w:t>
            </w:r>
            <w:r w:rsidRPr="00505A7A">
              <w:rPr>
                <w:rFonts w:ascii="Arial" w:hAnsi="Arial" w:cs="Arial"/>
                <w:color w:val="000000" w:themeColor="text1"/>
                <w:sz w:val="20"/>
                <w:szCs w:val="20"/>
                <w:vertAlign w:val="superscript"/>
              </w:rPr>
              <w:t>nd</w:t>
            </w:r>
            <w:r w:rsidRPr="00505A7A">
              <w:rPr>
                <w:rFonts w:ascii="Arial" w:hAnsi="Arial" w:cs="Arial"/>
                <w:color w:val="000000" w:themeColor="text1"/>
                <w:sz w:val="20"/>
                <w:szCs w:val="20"/>
              </w:rPr>
              <w:t xml:space="preserve"> antibody (1:300 in 1x PBS; 60 min; Molecular Probes)</w:t>
            </w:r>
          </w:p>
        </w:tc>
      </w:tr>
      <w:tr w:rsidR="00C82E65" w:rsidRPr="00505A7A" w14:paraId="7A6CADA5" w14:textId="77777777" w:rsidTr="00B71BFB">
        <w:tc>
          <w:tcPr>
            <w:tcW w:w="1975" w:type="dxa"/>
            <w:tcBorders>
              <w:bottom w:val="single" w:sz="12" w:space="0" w:color="auto"/>
            </w:tcBorders>
          </w:tcPr>
          <w:p w14:paraId="42855929" w14:textId="77777777" w:rsidR="00C82E65" w:rsidRPr="00505A7A" w:rsidRDefault="00C82E65" w:rsidP="0072155D">
            <w:pPr>
              <w:spacing w:line="276" w:lineRule="auto"/>
              <w:jc w:val="both"/>
              <w:rPr>
                <w:rFonts w:ascii="Arial" w:hAnsi="Arial" w:cs="Arial"/>
                <w:b/>
                <w:color w:val="000000" w:themeColor="text1"/>
                <w:sz w:val="20"/>
                <w:szCs w:val="20"/>
              </w:rPr>
            </w:pPr>
            <w:r w:rsidRPr="00505A7A">
              <w:rPr>
                <w:rFonts w:ascii="Arial" w:hAnsi="Arial" w:cs="Arial"/>
                <w:b/>
                <w:color w:val="000000" w:themeColor="text1"/>
                <w:sz w:val="20"/>
                <w:szCs w:val="20"/>
              </w:rPr>
              <w:t>Step 3</w:t>
            </w:r>
          </w:p>
        </w:tc>
        <w:tc>
          <w:tcPr>
            <w:tcW w:w="8730" w:type="dxa"/>
            <w:tcBorders>
              <w:bottom w:val="single" w:sz="12" w:space="0" w:color="auto"/>
            </w:tcBorders>
          </w:tcPr>
          <w:p w14:paraId="10BA432D" w14:textId="77777777" w:rsidR="00C82E65" w:rsidRPr="00505A7A" w:rsidRDefault="00C82E65" w:rsidP="0072155D">
            <w:pPr>
              <w:autoSpaceDE w:val="0"/>
              <w:autoSpaceDN w:val="0"/>
              <w:adjustRightInd w:val="0"/>
              <w:spacing w:line="276" w:lineRule="auto"/>
              <w:jc w:val="both"/>
              <w:rPr>
                <w:rFonts w:ascii="Arial" w:hAnsi="Arial" w:cs="Arial"/>
                <w:color w:val="000000" w:themeColor="text1"/>
                <w:sz w:val="20"/>
                <w:szCs w:val="20"/>
              </w:rPr>
            </w:pPr>
            <w:r w:rsidRPr="00505A7A">
              <w:rPr>
                <w:rStyle w:val="Emphasis"/>
                <w:rFonts w:ascii="Arial" w:hAnsi="Arial" w:cs="Arial"/>
                <w:bCs/>
                <w:color w:val="000000" w:themeColor="text1"/>
                <w:sz w:val="20"/>
                <w:szCs w:val="20"/>
                <w:shd w:val="clear" w:color="auto" w:fill="FFFFFF"/>
              </w:rPr>
              <w:t>VECTASHIELD</w:t>
            </w:r>
            <w:r w:rsidRPr="00505A7A">
              <w:rPr>
                <w:rFonts w:ascii="Arial" w:hAnsi="Arial" w:cs="Arial"/>
                <w:color w:val="000000" w:themeColor="text1"/>
                <w:sz w:val="20"/>
                <w:szCs w:val="20"/>
                <w:shd w:val="clear" w:color="auto" w:fill="FFFFFF"/>
              </w:rPr>
              <w:t>® Mounting Media with </w:t>
            </w:r>
            <w:r w:rsidRPr="00505A7A">
              <w:rPr>
                <w:rStyle w:val="Emphasis"/>
                <w:rFonts w:ascii="Arial" w:hAnsi="Arial" w:cs="Arial"/>
                <w:bCs/>
                <w:color w:val="000000" w:themeColor="text1"/>
                <w:sz w:val="20"/>
                <w:szCs w:val="20"/>
                <w:shd w:val="clear" w:color="auto" w:fill="FFFFFF"/>
              </w:rPr>
              <w:t>DAPI</w:t>
            </w:r>
            <w:r w:rsidRPr="00505A7A">
              <w:rPr>
                <w:rFonts w:ascii="Arial" w:hAnsi="Arial" w:cs="Arial"/>
                <w:color w:val="000000" w:themeColor="text1"/>
                <w:sz w:val="20"/>
                <w:szCs w:val="20"/>
              </w:rPr>
              <w:t xml:space="preserve"> (4, 6</w:t>
            </w:r>
            <w:r w:rsidRPr="00505A7A">
              <w:rPr>
                <w:rFonts w:ascii="Cambria Math" w:hAnsi="Cambria Math" w:cs="Cambria Math"/>
                <w:color w:val="000000" w:themeColor="text1"/>
                <w:sz w:val="20"/>
                <w:szCs w:val="20"/>
              </w:rPr>
              <w:t>‐</w:t>
            </w:r>
            <w:r w:rsidRPr="00505A7A">
              <w:rPr>
                <w:rFonts w:ascii="Arial" w:hAnsi="Arial" w:cs="Arial"/>
                <w:color w:val="000000" w:themeColor="text1"/>
                <w:sz w:val="20"/>
                <w:szCs w:val="20"/>
              </w:rPr>
              <w:t>Diamidino</w:t>
            </w:r>
            <w:r w:rsidRPr="00505A7A">
              <w:rPr>
                <w:rFonts w:ascii="Cambria Math" w:hAnsi="Cambria Math" w:cs="Cambria Math"/>
                <w:color w:val="000000" w:themeColor="text1"/>
                <w:sz w:val="20"/>
                <w:szCs w:val="20"/>
              </w:rPr>
              <w:t>‐</w:t>
            </w:r>
            <w:r w:rsidRPr="00505A7A">
              <w:rPr>
                <w:rFonts w:ascii="Arial" w:hAnsi="Arial" w:cs="Arial"/>
                <w:color w:val="000000" w:themeColor="text1"/>
                <w:sz w:val="20"/>
                <w:szCs w:val="20"/>
              </w:rPr>
              <w:t>2</w:t>
            </w:r>
            <w:r w:rsidRPr="00505A7A">
              <w:rPr>
                <w:rFonts w:ascii="Cambria Math" w:hAnsi="Cambria Math" w:cs="Cambria Math"/>
                <w:color w:val="000000" w:themeColor="text1"/>
                <w:sz w:val="20"/>
                <w:szCs w:val="20"/>
              </w:rPr>
              <w:t>‐</w:t>
            </w:r>
          </w:p>
          <w:p w14:paraId="54AFE18C" w14:textId="77777777" w:rsidR="00C82E65" w:rsidRPr="00505A7A" w:rsidRDefault="00C82E65" w:rsidP="0072155D">
            <w:pPr>
              <w:autoSpaceDE w:val="0"/>
              <w:autoSpaceDN w:val="0"/>
              <w:adjustRightInd w:val="0"/>
              <w:spacing w:line="276" w:lineRule="auto"/>
              <w:jc w:val="both"/>
              <w:rPr>
                <w:rFonts w:ascii="Arial" w:hAnsi="Arial" w:cs="Arial"/>
                <w:color w:val="000000" w:themeColor="text1"/>
                <w:sz w:val="20"/>
                <w:szCs w:val="20"/>
              </w:rPr>
            </w:pPr>
            <w:r w:rsidRPr="00505A7A">
              <w:rPr>
                <w:rFonts w:ascii="Arial" w:hAnsi="Arial" w:cs="Arial"/>
                <w:color w:val="000000" w:themeColor="text1"/>
                <w:sz w:val="20"/>
                <w:szCs w:val="20"/>
              </w:rPr>
              <w:t>Phenylindole) (</w:t>
            </w:r>
            <w:r w:rsidRPr="00505A7A">
              <w:rPr>
                <w:rFonts w:ascii="Arial" w:hAnsi="Arial" w:cs="Arial"/>
                <w:color w:val="000000" w:themeColor="text1"/>
                <w:spacing w:val="3"/>
                <w:sz w:val="20"/>
                <w:szCs w:val="20"/>
                <w:shd w:val="clear" w:color="auto" w:fill="FFFFFF"/>
              </w:rPr>
              <w:t>Vector Laboratories, Burlingame, CA, USA).</w:t>
            </w:r>
          </w:p>
        </w:tc>
      </w:tr>
    </w:tbl>
    <w:p w14:paraId="332B32E1" w14:textId="0B3B0EC5" w:rsidR="00C82E65" w:rsidRPr="00505A7A" w:rsidRDefault="00C82E65" w:rsidP="0072155D">
      <w:pPr>
        <w:spacing w:line="276" w:lineRule="auto"/>
        <w:jc w:val="both"/>
        <w:rPr>
          <w:rFonts w:ascii="Arial" w:hAnsi="Arial" w:cs="Arial"/>
          <w:b/>
          <w:bCs/>
          <w:color w:val="000000" w:themeColor="text1"/>
          <w:kern w:val="32"/>
          <w:sz w:val="20"/>
        </w:rPr>
      </w:pPr>
    </w:p>
    <w:p w14:paraId="7691FD92" w14:textId="77777777" w:rsidR="00C82E65" w:rsidRPr="00505A7A" w:rsidRDefault="00C82E65" w:rsidP="0072155D">
      <w:pPr>
        <w:spacing w:line="276" w:lineRule="auto"/>
        <w:jc w:val="both"/>
        <w:rPr>
          <w:rFonts w:ascii="Arial" w:hAnsi="Arial" w:cs="Arial"/>
          <w:color w:val="000000" w:themeColor="text1"/>
          <w:sz w:val="22"/>
          <w:szCs w:val="22"/>
          <w:shd w:val="clear" w:color="auto" w:fill="FFFFFF"/>
        </w:rPr>
      </w:pPr>
      <w:r w:rsidRPr="00505A7A">
        <w:rPr>
          <w:rFonts w:ascii="Arial" w:hAnsi="Arial" w:cs="Arial"/>
          <w:b/>
          <w:color w:val="000000" w:themeColor="text1"/>
          <w:sz w:val="22"/>
          <w:szCs w:val="22"/>
          <w:shd w:val="clear" w:color="auto" w:fill="FFFFFF"/>
        </w:rPr>
        <w:t>Table S2.</w:t>
      </w:r>
      <w:r w:rsidRPr="00505A7A">
        <w:rPr>
          <w:rFonts w:ascii="Arial" w:hAnsi="Arial" w:cs="Arial"/>
          <w:color w:val="000000" w:themeColor="text1"/>
          <w:sz w:val="22"/>
          <w:szCs w:val="22"/>
          <w:shd w:val="clear" w:color="auto" w:fill="FFFFFF"/>
        </w:rPr>
        <w:t xml:space="preserve"> Antibodies used in immunofluorescence experiment.</w:t>
      </w:r>
    </w:p>
    <w:tbl>
      <w:tblPr>
        <w:tblStyle w:val="TableGridLight"/>
        <w:tblW w:w="10705" w:type="dxa"/>
        <w:tblLook w:val="04A0" w:firstRow="1" w:lastRow="0" w:firstColumn="1" w:lastColumn="0" w:noHBand="0" w:noVBand="1"/>
      </w:tblPr>
      <w:tblGrid>
        <w:gridCol w:w="3235"/>
        <w:gridCol w:w="1311"/>
        <w:gridCol w:w="1050"/>
        <w:gridCol w:w="1073"/>
        <w:gridCol w:w="4036"/>
      </w:tblGrid>
      <w:tr w:rsidR="00C57DAA" w:rsidRPr="00505A7A" w14:paraId="2355E45E" w14:textId="77777777" w:rsidTr="00B71BFB">
        <w:trPr>
          <w:trHeight w:val="291"/>
        </w:trPr>
        <w:tc>
          <w:tcPr>
            <w:tcW w:w="3235" w:type="dxa"/>
            <w:tcBorders>
              <w:bottom w:val="single" w:sz="8" w:space="0" w:color="auto"/>
            </w:tcBorders>
            <w:noWrap/>
            <w:hideMark/>
          </w:tcPr>
          <w:p w14:paraId="59B9C00D" w14:textId="77777777" w:rsidR="00C82E65" w:rsidRPr="00505A7A" w:rsidRDefault="00C82E65" w:rsidP="0072155D">
            <w:pPr>
              <w:spacing w:line="276" w:lineRule="auto"/>
              <w:jc w:val="both"/>
              <w:rPr>
                <w:rFonts w:ascii="Arial" w:eastAsia="Times New Roman" w:hAnsi="Arial" w:cs="Arial"/>
                <w:b/>
                <w:color w:val="000000" w:themeColor="text1"/>
                <w:sz w:val="20"/>
                <w:szCs w:val="20"/>
              </w:rPr>
            </w:pPr>
            <w:r w:rsidRPr="00505A7A">
              <w:rPr>
                <w:rFonts w:ascii="Arial" w:eastAsia="Times New Roman" w:hAnsi="Arial" w:cs="Arial"/>
                <w:b/>
                <w:color w:val="000000" w:themeColor="text1"/>
                <w:sz w:val="20"/>
                <w:szCs w:val="20"/>
              </w:rPr>
              <w:t>Antibody</w:t>
            </w:r>
          </w:p>
        </w:tc>
        <w:tc>
          <w:tcPr>
            <w:tcW w:w="1311" w:type="dxa"/>
            <w:tcBorders>
              <w:bottom w:val="single" w:sz="8" w:space="0" w:color="auto"/>
            </w:tcBorders>
            <w:noWrap/>
            <w:hideMark/>
          </w:tcPr>
          <w:p w14:paraId="46098FDC" w14:textId="77777777" w:rsidR="00C82E65" w:rsidRPr="00505A7A" w:rsidRDefault="00C82E65" w:rsidP="0072155D">
            <w:pPr>
              <w:spacing w:line="276" w:lineRule="auto"/>
              <w:jc w:val="both"/>
              <w:rPr>
                <w:rFonts w:ascii="Arial" w:eastAsia="Times New Roman" w:hAnsi="Arial" w:cs="Arial"/>
                <w:b/>
                <w:color w:val="000000" w:themeColor="text1"/>
                <w:sz w:val="20"/>
                <w:szCs w:val="20"/>
              </w:rPr>
            </w:pPr>
            <w:r w:rsidRPr="00505A7A">
              <w:rPr>
                <w:rFonts w:ascii="Arial" w:eastAsia="Times New Roman" w:hAnsi="Arial" w:cs="Arial"/>
                <w:b/>
                <w:color w:val="000000" w:themeColor="text1"/>
                <w:sz w:val="20"/>
                <w:szCs w:val="20"/>
              </w:rPr>
              <w:t>Reference</w:t>
            </w:r>
          </w:p>
        </w:tc>
        <w:tc>
          <w:tcPr>
            <w:tcW w:w="1050" w:type="dxa"/>
            <w:tcBorders>
              <w:bottom w:val="single" w:sz="8" w:space="0" w:color="auto"/>
            </w:tcBorders>
            <w:noWrap/>
            <w:hideMark/>
          </w:tcPr>
          <w:p w14:paraId="77E0BC4A" w14:textId="77777777" w:rsidR="00C82E65" w:rsidRPr="00505A7A" w:rsidRDefault="00C82E65" w:rsidP="0072155D">
            <w:pPr>
              <w:spacing w:line="276" w:lineRule="auto"/>
              <w:jc w:val="both"/>
              <w:rPr>
                <w:rFonts w:ascii="Arial" w:eastAsia="Times New Roman" w:hAnsi="Arial" w:cs="Arial"/>
                <w:b/>
                <w:color w:val="000000" w:themeColor="text1"/>
                <w:sz w:val="20"/>
                <w:szCs w:val="20"/>
              </w:rPr>
            </w:pPr>
            <w:r w:rsidRPr="00505A7A">
              <w:rPr>
                <w:rFonts w:ascii="Arial" w:eastAsia="Times New Roman" w:hAnsi="Arial" w:cs="Arial"/>
                <w:b/>
                <w:color w:val="000000" w:themeColor="text1"/>
                <w:sz w:val="20"/>
                <w:szCs w:val="20"/>
              </w:rPr>
              <w:t>Host</w:t>
            </w:r>
          </w:p>
        </w:tc>
        <w:tc>
          <w:tcPr>
            <w:tcW w:w="1073" w:type="dxa"/>
            <w:tcBorders>
              <w:bottom w:val="single" w:sz="8" w:space="0" w:color="auto"/>
            </w:tcBorders>
            <w:noWrap/>
            <w:hideMark/>
          </w:tcPr>
          <w:p w14:paraId="03A46D21" w14:textId="161522C9" w:rsidR="00C82E65" w:rsidRPr="00505A7A" w:rsidRDefault="00401828" w:rsidP="0072155D">
            <w:pPr>
              <w:spacing w:line="276" w:lineRule="auto"/>
              <w:jc w:val="both"/>
              <w:rPr>
                <w:rFonts w:ascii="Arial" w:eastAsia="Times New Roman" w:hAnsi="Arial" w:cs="Arial"/>
                <w:b/>
                <w:color w:val="000000" w:themeColor="text1"/>
                <w:sz w:val="20"/>
                <w:szCs w:val="20"/>
              </w:rPr>
            </w:pPr>
            <w:r w:rsidRPr="00505A7A">
              <w:rPr>
                <w:rFonts w:ascii="Arial" w:eastAsia="Times New Roman" w:hAnsi="Arial" w:cs="Arial"/>
                <w:b/>
                <w:color w:val="000000" w:themeColor="text1"/>
                <w:sz w:val="20"/>
                <w:szCs w:val="20"/>
              </w:rPr>
              <w:t>Dilution</w:t>
            </w:r>
          </w:p>
        </w:tc>
        <w:tc>
          <w:tcPr>
            <w:tcW w:w="4036" w:type="dxa"/>
            <w:tcBorders>
              <w:bottom w:val="single" w:sz="8" w:space="0" w:color="auto"/>
            </w:tcBorders>
            <w:noWrap/>
            <w:hideMark/>
          </w:tcPr>
          <w:p w14:paraId="55FB4369" w14:textId="77777777" w:rsidR="00C82E65" w:rsidRPr="00505A7A" w:rsidRDefault="00C82E65" w:rsidP="0072155D">
            <w:pPr>
              <w:spacing w:line="276" w:lineRule="auto"/>
              <w:jc w:val="both"/>
              <w:rPr>
                <w:rFonts w:ascii="Arial" w:eastAsia="Times New Roman" w:hAnsi="Arial" w:cs="Arial"/>
                <w:b/>
                <w:color w:val="000000" w:themeColor="text1"/>
                <w:sz w:val="20"/>
                <w:szCs w:val="20"/>
              </w:rPr>
            </w:pPr>
            <w:r w:rsidRPr="00505A7A">
              <w:rPr>
                <w:rFonts w:ascii="Arial" w:eastAsia="Times New Roman" w:hAnsi="Arial" w:cs="Arial"/>
                <w:b/>
                <w:color w:val="000000" w:themeColor="text1"/>
                <w:sz w:val="20"/>
                <w:szCs w:val="20"/>
              </w:rPr>
              <w:t>Company</w:t>
            </w:r>
          </w:p>
        </w:tc>
      </w:tr>
      <w:tr w:rsidR="00C57DAA" w:rsidRPr="00505A7A" w14:paraId="145D9B18" w14:textId="77777777" w:rsidTr="00B71BFB">
        <w:trPr>
          <w:trHeight w:val="291"/>
        </w:trPr>
        <w:tc>
          <w:tcPr>
            <w:tcW w:w="3235" w:type="dxa"/>
            <w:tcBorders>
              <w:top w:val="single" w:sz="8" w:space="0" w:color="auto"/>
            </w:tcBorders>
            <w:noWrap/>
            <w:hideMark/>
          </w:tcPr>
          <w:p w14:paraId="3126C018" w14:textId="77777777" w:rsidR="00C82E65" w:rsidRPr="00505A7A" w:rsidRDefault="00C82E65" w:rsidP="0072155D">
            <w:pPr>
              <w:spacing w:line="276" w:lineRule="auto"/>
              <w:jc w:val="both"/>
              <w:rPr>
                <w:rFonts w:ascii="Arial" w:eastAsia="Times New Roman" w:hAnsi="Arial" w:cs="Arial"/>
                <w:i/>
                <w:color w:val="000000" w:themeColor="text1"/>
                <w:sz w:val="20"/>
                <w:szCs w:val="20"/>
              </w:rPr>
            </w:pPr>
            <w:r w:rsidRPr="00505A7A">
              <w:rPr>
                <w:rFonts w:ascii="Arial" w:eastAsia="Times New Roman" w:hAnsi="Arial" w:cs="Arial"/>
                <w:i/>
                <w:color w:val="000000" w:themeColor="text1"/>
                <w:sz w:val="20"/>
                <w:szCs w:val="20"/>
              </w:rPr>
              <w:t>Primary antibodies</w:t>
            </w:r>
          </w:p>
        </w:tc>
        <w:tc>
          <w:tcPr>
            <w:tcW w:w="1311" w:type="dxa"/>
            <w:tcBorders>
              <w:top w:val="single" w:sz="8" w:space="0" w:color="auto"/>
            </w:tcBorders>
            <w:noWrap/>
            <w:hideMark/>
          </w:tcPr>
          <w:p w14:paraId="36A4194F"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
        </w:tc>
        <w:tc>
          <w:tcPr>
            <w:tcW w:w="1050" w:type="dxa"/>
            <w:tcBorders>
              <w:top w:val="single" w:sz="8" w:space="0" w:color="auto"/>
            </w:tcBorders>
            <w:noWrap/>
            <w:hideMark/>
          </w:tcPr>
          <w:p w14:paraId="506BB534"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
        </w:tc>
        <w:tc>
          <w:tcPr>
            <w:tcW w:w="1073" w:type="dxa"/>
            <w:tcBorders>
              <w:top w:val="single" w:sz="8" w:space="0" w:color="auto"/>
            </w:tcBorders>
            <w:noWrap/>
            <w:hideMark/>
          </w:tcPr>
          <w:p w14:paraId="4F136CFF"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
        </w:tc>
        <w:tc>
          <w:tcPr>
            <w:tcW w:w="4036" w:type="dxa"/>
            <w:tcBorders>
              <w:top w:val="single" w:sz="8" w:space="0" w:color="auto"/>
            </w:tcBorders>
            <w:noWrap/>
            <w:hideMark/>
          </w:tcPr>
          <w:p w14:paraId="37495C10"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
        </w:tc>
      </w:tr>
      <w:tr w:rsidR="00C57DAA" w:rsidRPr="00505A7A" w14:paraId="4549996B" w14:textId="77777777" w:rsidTr="00B71BFB">
        <w:trPr>
          <w:trHeight w:val="291"/>
        </w:trPr>
        <w:tc>
          <w:tcPr>
            <w:tcW w:w="3235" w:type="dxa"/>
            <w:noWrap/>
            <w:hideMark/>
          </w:tcPr>
          <w:p w14:paraId="6613B3EB"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w:t>
            </w:r>
            <w:proofErr w:type="spellStart"/>
            <w:r w:rsidRPr="00505A7A">
              <w:rPr>
                <w:rFonts w:ascii="Arial" w:eastAsia="Times New Roman" w:hAnsi="Arial" w:cs="Arial"/>
                <w:color w:val="000000" w:themeColor="text1"/>
                <w:sz w:val="20"/>
                <w:szCs w:val="20"/>
              </w:rPr>
              <w:t>MyHC</w:t>
            </w:r>
            <w:proofErr w:type="spellEnd"/>
            <w:r w:rsidRPr="00505A7A">
              <w:rPr>
                <w:rFonts w:ascii="Arial" w:eastAsia="Times New Roman" w:hAnsi="Arial" w:cs="Arial"/>
                <w:color w:val="000000" w:themeColor="text1"/>
                <w:sz w:val="20"/>
                <w:szCs w:val="20"/>
              </w:rPr>
              <w:t>-</w:t>
            </w:r>
            <w:proofErr w:type="spellStart"/>
            <w:r w:rsidRPr="00505A7A">
              <w:rPr>
                <w:rFonts w:ascii="Arial" w:eastAsia="Times New Roman" w:hAnsi="Arial" w:cs="Arial"/>
                <w:color w:val="000000" w:themeColor="text1"/>
                <w:sz w:val="20"/>
                <w:szCs w:val="20"/>
              </w:rPr>
              <w:t>emb</w:t>
            </w:r>
            <w:proofErr w:type="spellEnd"/>
          </w:p>
        </w:tc>
        <w:tc>
          <w:tcPr>
            <w:tcW w:w="1311" w:type="dxa"/>
            <w:noWrap/>
            <w:hideMark/>
          </w:tcPr>
          <w:p w14:paraId="1CEA3429"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F1.652-c</w:t>
            </w:r>
          </w:p>
        </w:tc>
        <w:tc>
          <w:tcPr>
            <w:tcW w:w="1050" w:type="dxa"/>
            <w:noWrap/>
            <w:hideMark/>
          </w:tcPr>
          <w:p w14:paraId="5FDFD10D"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Mouse</w:t>
            </w:r>
          </w:p>
        </w:tc>
        <w:tc>
          <w:tcPr>
            <w:tcW w:w="1073" w:type="dxa"/>
            <w:noWrap/>
            <w:hideMark/>
          </w:tcPr>
          <w:p w14:paraId="2863B67E"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1:5</w:t>
            </w:r>
          </w:p>
        </w:tc>
        <w:tc>
          <w:tcPr>
            <w:tcW w:w="4036" w:type="dxa"/>
            <w:noWrap/>
            <w:hideMark/>
          </w:tcPr>
          <w:p w14:paraId="145CC04A"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DSHB</w:t>
            </w:r>
          </w:p>
        </w:tc>
      </w:tr>
      <w:tr w:rsidR="00C57DAA" w:rsidRPr="00505A7A" w14:paraId="05832A48" w14:textId="77777777" w:rsidTr="00B71BFB">
        <w:trPr>
          <w:trHeight w:val="291"/>
        </w:trPr>
        <w:tc>
          <w:tcPr>
            <w:tcW w:w="3235" w:type="dxa"/>
            <w:noWrap/>
            <w:hideMark/>
          </w:tcPr>
          <w:p w14:paraId="338F831A"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anti-Col1A</w:t>
            </w:r>
          </w:p>
        </w:tc>
        <w:tc>
          <w:tcPr>
            <w:tcW w:w="1311" w:type="dxa"/>
            <w:noWrap/>
            <w:hideMark/>
          </w:tcPr>
          <w:p w14:paraId="23A53F22"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Ab21286</w:t>
            </w:r>
          </w:p>
        </w:tc>
        <w:tc>
          <w:tcPr>
            <w:tcW w:w="1050" w:type="dxa"/>
            <w:noWrap/>
            <w:hideMark/>
          </w:tcPr>
          <w:p w14:paraId="1573C828"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Rabbit</w:t>
            </w:r>
          </w:p>
        </w:tc>
        <w:tc>
          <w:tcPr>
            <w:tcW w:w="1073" w:type="dxa"/>
            <w:noWrap/>
            <w:hideMark/>
          </w:tcPr>
          <w:p w14:paraId="15D260FA"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1:100</w:t>
            </w:r>
          </w:p>
        </w:tc>
        <w:tc>
          <w:tcPr>
            <w:tcW w:w="4036" w:type="dxa"/>
            <w:noWrap/>
            <w:hideMark/>
          </w:tcPr>
          <w:p w14:paraId="42DF245F"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ABCAM</w:t>
            </w:r>
          </w:p>
        </w:tc>
      </w:tr>
      <w:tr w:rsidR="00C57DAA" w:rsidRPr="00505A7A" w14:paraId="73FEF4C5" w14:textId="77777777" w:rsidTr="00B71BFB">
        <w:trPr>
          <w:trHeight w:val="291"/>
        </w:trPr>
        <w:tc>
          <w:tcPr>
            <w:tcW w:w="3235" w:type="dxa"/>
            <w:noWrap/>
            <w:hideMark/>
          </w:tcPr>
          <w:p w14:paraId="13F9B080"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anti-α-SMA</w:t>
            </w:r>
          </w:p>
        </w:tc>
        <w:tc>
          <w:tcPr>
            <w:tcW w:w="1311" w:type="dxa"/>
            <w:noWrap/>
            <w:hideMark/>
          </w:tcPr>
          <w:p w14:paraId="6CF4D5A5"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Clone 1A4</w:t>
            </w:r>
          </w:p>
        </w:tc>
        <w:tc>
          <w:tcPr>
            <w:tcW w:w="1050" w:type="dxa"/>
            <w:noWrap/>
            <w:hideMark/>
          </w:tcPr>
          <w:p w14:paraId="07B50F29"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Mouse</w:t>
            </w:r>
          </w:p>
        </w:tc>
        <w:tc>
          <w:tcPr>
            <w:tcW w:w="1073" w:type="dxa"/>
            <w:noWrap/>
            <w:hideMark/>
          </w:tcPr>
          <w:p w14:paraId="481340E1"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1:100</w:t>
            </w:r>
          </w:p>
        </w:tc>
        <w:tc>
          <w:tcPr>
            <w:tcW w:w="4036" w:type="dxa"/>
            <w:noWrap/>
            <w:hideMark/>
          </w:tcPr>
          <w:p w14:paraId="25ACDF4B"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Sigma-Aldrich</w:t>
            </w:r>
          </w:p>
        </w:tc>
      </w:tr>
      <w:tr w:rsidR="00C57DAA" w:rsidRPr="00505A7A" w14:paraId="6BFEA779" w14:textId="77777777" w:rsidTr="00B71BFB">
        <w:trPr>
          <w:trHeight w:val="291"/>
        </w:trPr>
        <w:tc>
          <w:tcPr>
            <w:tcW w:w="3235" w:type="dxa"/>
            <w:noWrap/>
            <w:hideMark/>
          </w:tcPr>
          <w:p w14:paraId="17011012"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anti-Smad7</w:t>
            </w:r>
          </w:p>
        </w:tc>
        <w:tc>
          <w:tcPr>
            <w:tcW w:w="1311" w:type="dxa"/>
            <w:noWrap/>
            <w:hideMark/>
          </w:tcPr>
          <w:p w14:paraId="1ED24899" w14:textId="77777777" w:rsidR="00C82E65" w:rsidRPr="00505A7A" w:rsidRDefault="00000000" w:rsidP="0072155D">
            <w:pPr>
              <w:spacing w:line="276" w:lineRule="auto"/>
              <w:jc w:val="both"/>
              <w:rPr>
                <w:rFonts w:ascii="Arial" w:eastAsia="Times New Roman" w:hAnsi="Arial" w:cs="Arial"/>
                <w:color w:val="000000" w:themeColor="text1"/>
                <w:sz w:val="20"/>
                <w:szCs w:val="20"/>
              </w:rPr>
            </w:pPr>
            <w:hyperlink r:id="rId14" w:history="1">
              <w:r w:rsidR="00C82E65" w:rsidRPr="00505A7A">
                <w:rPr>
                  <w:rFonts w:ascii="Arial" w:eastAsia="Times New Roman" w:hAnsi="Arial" w:cs="Arial"/>
                  <w:color w:val="000000" w:themeColor="text1"/>
                  <w:sz w:val="20"/>
                  <w:szCs w:val="20"/>
                </w:rPr>
                <w:t>42-0400</w:t>
              </w:r>
            </w:hyperlink>
          </w:p>
        </w:tc>
        <w:tc>
          <w:tcPr>
            <w:tcW w:w="1050" w:type="dxa"/>
            <w:noWrap/>
            <w:hideMark/>
          </w:tcPr>
          <w:p w14:paraId="0437E90E"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Rabbit</w:t>
            </w:r>
          </w:p>
        </w:tc>
        <w:tc>
          <w:tcPr>
            <w:tcW w:w="1073" w:type="dxa"/>
            <w:noWrap/>
            <w:hideMark/>
          </w:tcPr>
          <w:p w14:paraId="6FF47EE5"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1:200</w:t>
            </w:r>
          </w:p>
        </w:tc>
        <w:tc>
          <w:tcPr>
            <w:tcW w:w="4036" w:type="dxa"/>
            <w:noWrap/>
            <w:hideMark/>
          </w:tcPr>
          <w:p w14:paraId="11B51BF8"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roofErr w:type="spellStart"/>
            <w:r w:rsidRPr="00505A7A">
              <w:rPr>
                <w:rFonts w:ascii="Arial" w:eastAsia="Times New Roman" w:hAnsi="Arial" w:cs="Arial"/>
                <w:color w:val="000000" w:themeColor="text1"/>
                <w:sz w:val="20"/>
                <w:szCs w:val="20"/>
              </w:rPr>
              <w:t>ThermoFischer</w:t>
            </w:r>
            <w:proofErr w:type="spellEnd"/>
          </w:p>
        </w:tc>
      </w:tr>
      <w:tr w:rsidR="00C57DAA" w:rsidRPr="00505A7A" w14:paraId="5C0DFA85" w14:textId="77777777" w:rsidTr="00B71BFB">
        <w:trPr>
          <w:trHeight w:val="291"/>
        </w:trPr>
        <w:tc>
          <w:tcPr>
            <w:tcW w:w="3235" w:type="dxa"/>
            <w:noWrap/>
            <w:hideMark/>
          </w:tcPr>
          <w:p w14:paraId="236BB782"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anti-p-Smad2/3</w:t>
            </w:r>
          </w:p>
        </w:tc>
        <w:tc>
          <w:tcPr>
            <w:tcW w:w="1311" w:type="dxa"/>
            <w:noWrap/>
            <w:hideMark/>
          </w:tcPr>
          <w:p w14:paraId="766BB517"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#8828</w:t>
            </w:r>
          </w:p>
        </w:tc>
        <w:tc>
          <w:tcPr>
            <w:tcW w:w="1050" w:type="dxa"/>
            <w:noWrap/>
            <w:hideMark/>
          </w:tcPr>
          <w:p w14:paraId="1D0F1C68"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Rabbit</w:t>
            </w:r>
          </w:p>
        </w:tc>
        <w:tc>
          <w:tcPr>
            <w:tcW w:w="1073" w:type="dxa"/>
            <w:noWrap/>
            <w:hideMark/>
          </w:tcPr>
          <w:p w14:paraId="67C18EBB"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1:200</w:t>
            </w:r>
          </w:p>
        </w:tc>
        <w:tc>
          <w:tcPr>
            <w:tcW w:w="4036" w:type="dxa"/>
            <w:noWrap/>
            <w:hideMark/>
          </w:tcPr>
          <w:p w14:paraId="078D8AAE"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Cell Signaling</w:t>
            </w:r>
          </w:p>
        </w:tc>
      </w:tr>
      <w:tr w:rsidR="00C57DAA" w:rsidRPr="00505A7A" w14:paraId="63853A20" w14:textId="77777777" w:rsidTr="00B71BFB">
        <w:trPr>
          <w:trHeight w:val="291"/>
        </w:trPr>
        <w:tc>
          <w:tcPr>
            <w:tcW w:w="3235" w:type="dxa"/>
            <w:noWrap/>
            <w:hideMark/>
          </w:tcPr>
          <w:p w14:paraId="1F509AD5"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anti-MyoD1</w:t>
            </w:r>
          </w:p>
        </w:tc>
        <w:tc>
          <w:tcPr>
            <w:tcW w:w="1311" w:type="dxa"/>
            <w:hideMark/>
          </w:tcPr>
          <w:p w14:paraId="7250A109" w14:textId="77777777" w:rsidR="00C82E65" w:rsidRPr="00505A7A" w:rsidRDefault="00000000" w:rsidP="0072155D">
            <w:pPr>
              <w:spacing w:line="276" w:lineRule="auto"/>
              <w:jc w:val="both"/>
              <w:rPr>
                <w:rFonts w:ascii="Arial" w:eastAsia="Times New Roman" w:hAnsi="Arial" w:cs="Arial"/>
                <w:color w:val="000000" w:themeColor="text1"/>
                <w:sz w:val="20"/>
                <w:szCs w:val="20"/>
              </w:rPr>
            </w:pPr>
            <w:hyperlink r:id="rId15" w:history="1">
              <w:r w:rsidR="00C82E65" w:rsidRPr="00505A7A">
                <w:rPr>
                  <w:rFonts w:ascii="Arial" w:eastAsia="Times New Roman" w:hAnsi="Arial" w:cs="Arial"/>
                  <w:color w:val="000000" w:themeColor="text1"/>
                  <w:sz w:val="20"/>
                  <w:szCs w:val="20"/>
                </w:rPr>
                <w:t>5.8A</w:t>
              </w:r>
            </w:hyperlink>
          </w:p>
        </w:tc>
        <w:tc>
          <w:tcPr>
            <w:tcW w:w="1050" w:type="dxa"/>
            <w:noWrap/>
            <w:hideMark/>
          </w:tcPr>
          <w:p w14:paraId="1A3ED74C"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Rabbit</w:t>
            </w:r>
          </w:p>
        </w:tc>
        <w:tc>
          <w:tcPr>
            <w:tcW w:w="1073" w:type="dxa"/>
            <w:noWrap/>
            <w:hideMark/>
          </w:tcPr>
          <w:p w14:paraId="77D6505A"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1:50</w:t>
            </w:r>
          </w:p>
        </w:tc>
        <w:tc>
          <w:tcPr>
            <w:tcW w:w="4036" w:type="dxa"/>
            <w:noWrap/>
            <w:hideMark/>
          </w:tcPr>
          <w:p w14:paraId="73D5936A"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Dako</w:t>
            </w:r>
          </w:p>
        </w:tc>
      </w:tr>
      <w:tr w:rsidR="00C57DAA" w:rsidRPr="00505A7A" w14:paraId="4AD33DCC" w14:textId="77777777" w:rsidTr="00B71BFB">
        <w:trPr>
          <w:trHeight w:val="291"/>
        </w:trPr>
        <w:tc>
          <w:tcPr>
            <w:tcW w:w="3235" w:type="dxa"/>
            <w:noWrap/>
            <w:hideMark/>
          </w:tcPr>
          <w:p w14:paraId="0913B7C4"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anti-CD69</w:t>
            </w:r>
          </w:p>
        </w:tc>
        <w:tc>
          <w:tcPr>
            <w:tcW w:w="1311" w:type="dxa"/>
            <w:noWrap/>
            <w:hideMark/>
          </w:tcPr>
          <w:p w14:paraId="547DA162"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H1.2F3</w:t>
            </w:r>
          </w:p>
        </w:tc>
        <w:tc>
          <w:tcPr>
            <w:tcW w:w="1050" w:type="dxa"/>
            <w:noWrap/>
            <w:hideMark/>
          </w:tcPr>
          <w:p w14:paraId="72A51BDE"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Hamster</w:t>
            </w:r>
          </w:p>
        </w:tc>
        <w:tc>
          <w:tcPr>
            <w:tcW w:w="1073" w:type="dxa"/>
            <w:noWrap/>
            <w:hideMark/>
          </w:tcPr>
          <w:p w14:paraId="432B09BC"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1:200</w:t>
            </w:r>
          </w:p>
        </w:tc>
        <w:tc>
          <w:tcPr>
            <w:tcW w:w="4036" w:type="dxa"/>
            <w:noWrap/>
            <w:hideMark/>
          </w:tcPr>
          <w:p w14:paraId="65215553"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roofErr w:type="spellStart"/>
            <w:r w:rsidRPr="00505A7A">
              <w:rPr>
                <w:rFonts w:ascii="Arial" w:eastAsia="Times New Roman" w:hAnsi="Arial" w:cs="Arial"/>
                <w:color w:val="000000" w:themeColor="text1"/>
                <w:sz w:val="20"/>
                <w:szCs w:val="20"/>
              </w:rPr>
              <w:t>BioLegend</w:t>
            </w:r>
            <w:proofErr w:type="spellEnd"/>
          </w:p>
        </w:tc>
      </w:tr>
      <w:tr w:rsidR="00C57DAA" w:rsidRPr="00505A7A" w14:paraId="78AF01D1" w14:textId="77777777" w:rsidTr="00B71BFB">
        <w:trPr>
          <w:trHeight w:val="291"/>
        </w:trPr>
        <w:tc>
          <w:tcPr>
            <w:tcW w:w="3235" w:type="dxa"/>
            <w:noWrap/>
            <w:hideMark/>
          </w:tcPr>
          <w:p w14:paraId="24F6A37D"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anti-CD31</w:t>
            </w:r>
          </w:p>
        </w:tc>
        <w:tc>
          <w:tcPr>
            <w:tcW w:w="1311" w:type="dxa"/>
            <w:noWrap/>
            <w:hideMark/>
          </w:tcPr>
          <w:p w14:paraId="24EAA6DD"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hAnsi="Arial" w:cs="Arial"/>
                <w:color w:val="000000" w:themeColor="text1"/>
                <w:sz w:val="20"/>
                <w:szCs w:val="20"/>
              </w:rPr>
              <w:t>ab56299</w:t>
            </w:r>
          </w:p>
        </w:tc>
        <w:tc>
          <w:tcPr>
            <w:tcW w:w="1050" w:type="dxa"/>
            <w:noWrap/>
            <w:hideMark/>
          </w:tcPr>
          <w:p w14:paraId="59102574"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Rat</w:t>
            </w:r>
          </w:p>
        </w:tc>
        <w:tc>
          <w:tcPr>
            <w:tcW w:w="1073" w:type="dxa"/>
            <w:noWrap/>
            <w:hideMark/>
          </w:tcPr>
          <w:p w14:paraId="5B79C3AE"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1:200</w:t>
            </w:r>
          </w:p>
        </w:tc>
        <w:tc>
          <w:tcPr>
            <w:tcW w:w="4036" w:type="dxa"/>
            <w:noWrap/>
            <w:hideMark/>
          </w:tcPr>
          <w:p w14:paraId="6954E3AB"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ABCAM</w:t>
            </w:r>
          </w:p>
        </w:tc>
      </w:tr>
      <w:tr w:rsidR="00C57DAA" w:rsidRPr="00505A7A" w14:paraId="07A87AAC" w14:textId="77777777" w:rsidTr="00B71BFB">
        <w:trPr>
          <w:trHeight w:val="291"/>
        </w:trPr>
        <w:tc>
          <w:tcPr>
            <w:tcW w:w="3235" w:type="dxa"/>
            <w:noWrap/>
            <w:hideMark/>
          </w:tcPr>
          <w:p w14:paraId="6CE5A1F0"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anti-F4/80</w:t>
            </w:r>
          </w:p>
        </w:tc>
        <w:tc>
          <w:tcPr>
            <w:tcW w:w="1311" w:type="dxa"/>
            <w:noWrap/>
            <w:hideMark/>
          </w:tcPr>
          <w:p w14:paraId="40826D7F"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BM8</w:t>
            </w:r>
          </w:p>
        </w:tc>
        <w:tc>
          <w:tcPr>
            <w:tcW w:w="1050" w:type="dxa"/>
            <w:noWrap/>
            <w:hideMark/>
          </w:tcPr>
          <w:p w14:paraId="66AF7DF9"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Rabbit</w:t>
            </w:r>
          </w:p>
        </w:tc>
        <w:tc>
          <w:tcPr>
            <w:tcW w:w="1073" w:type="dxa"/>
            <w:noWrap/>
            <w:hideMark/>
          </w:tcPr>
          <w:p w14:paraId="75809551"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1:100</w:t>
            </w:r>
          </w:p>
        </w:tc>
        <w:tc>
          <w:tcPr>
            <w:tcW w:w="4036" w:type="dxa"/>
            <w:noWrap/>
            <w:hideMark/>
          </w:tcPr>
          <w:p w14:paraId="60ED38CA"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roofErr w:type="spellStart"/>
            <w:r w:rsidRPr="00505A7A">
              <w:rPr>
                <w:rFonts w:ascii="Arial" w:eastAsia="Times New Roman" w:hAnsi="Arial" w:cs="Arial"/>
                <w:color w:val="000000" w:themeColor="text1"/>
                <w:sz w:val="20"/>
                <w:szCs w:val="20"/>
              </w:rPr>
              <w:t>BioLegend</w:t>
            </w:r>
            <w:proofErr w:type="spellEnd"/>
          </w:p>
        </w:tc>
      </w:tr>
      <w:tr w:rsidR="00C57DAA" w:rsidRPr="00505A7A" w14:paraId="467C83EB" w14:textId="77777777" w:rsidTr="00B71BFB">
        <w:trPr>
          <w:trHeight w:val="291"/>
        </w:trPr>
        <w:tc>
          <w:tcPr>
            <w:tcW w:w="3235" w:type="dxa"/>
            <w:noWrap/>
            <w:hideMark/>
          </w:tcPr>
          <w:p w14:paraId="6576D16E" w14:textId="4D1E004C" w:rsidR="00C82E65" w:rsidRPr="00505A7A" w:rsidRDefault="00A74541" w:rsidP="0072155D">
            <w:pPr>
              <w:spacing w:line="276" w:lineRule="auto"/>
              <w:jc w:val="both"/>
              <w:rPr>
                <w:rFonts w:ascii="Arial" w:eastAsia="Times New Roman" w:hAnsi="Arial" w:cs="Arial"/>
                <w:i/>
                <w:color w:val="000000" w:themeColor="text1"/>
                <w:sz w:val="20"/>
                <w:szCs w:val="20"/>
              </w:rPr>
            </w:pPr>
            <w:r w:rsidRPr="00505A7A">
              <w:rPr>
                <w:rFonts w:ascii="Arial" w:eastAsia="Times New Roman" w:hAnsi="Arial" w:cs="Arial"/>
                <w:i/>
                <w:color w:val="000000" w:themeColor="text1"/>
                <w:sz w:val="20"/>
                <w:szCs w:val="20"/>
              </w:rPr>
              <w:t>Secondary</w:t>
            </w:r>
            <w:r w:rsidR="00C82E65" w:rsidRPr="00505A7A">
              <w:rPr>
                <w:rFonts w:ascii="Arial" w:eastAsia="Times New Roman" w:hAnsi="Arial" w:cs="Arial"/>
                <w:i/>
                <w:color w:val="000000" w:themeColor="text1"/>
                <w:sz w:val="20"/>
                <w:szCs w:val="20"/>
              </w:rPr>
              <w:t xml:space="preserve"> antibodies</w:t>
            </w:r>
          </w:p>
        </w:tc>
        <w:tc>
          <w:tcPr>
            <w:tcW w:w="1311" w:type="dxa"/>
            <w:noWrap/>
            <w:hideMark/>
          </w:tcPr>
          <w:p w14:paraId="1A4D449A"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
        </w:tc>
        <w:tc>
          <w:tcPr>
            <w:tcW w:w="1050" w:type="dxa"/>
            <w:noWrap/>
            <w:hideMark/>
          </w:tcPr>
          <w:p w14:paraId="214D810B"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
        </w:tc>
        <w:tc>
          <w:tcPr>
            <w:tcW w:w="1073" w:type="dxa"/>
            <w:noWrap/>
            <w:hideMark/>
          </w:tcPr>
          <w:p w14:paraId="355C4635"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
        </w:tc>
        <w:tc>
          <w:tcPr>
            <w:tcW w:w="4036" w:type="dxa"/>
            <w:noWrap/>
            <w:hideMark/>
          </w:tcPr>
          <w:p w14:paraId="2FFE3679"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
        </w:tc>
      </w:tr>
      <w:tr w:rsidR="00C57DAA" w:rsidRPr="00505A7A" w14:paraId="5E44A037" w14:textId="77777777" w:rsidTr="00B71BFB">
        <w:trPr>
          <w:trHeight w:val="291"/>
        </w:trPr>
        <w:tc>
          <w:tcPr>
            <w:tcW w:w="3235" w:type="dxa"/>
            <w:noWrap/>
            <w:hideMark/>
          </w:tcPr>
          <w:p w14:paraId="31DD9E8C"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anti-rat Alexa Fluor® 488</w:t>
            </w:r>
          </w:p>
        </w:tc>
        <w:tc>
          <w:tcPr>
            <w:tcW w:w="1311" w:type="dxa"/>
            <w:noWrap/>
            <w:hideMark/>
          </w:tcPr>
          <w:p w14:paraId="1E1821F9"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A-11006</w:t>
            </w:r>
          </w:p>
        </w:tc>
        <w:tc>
          <w:tcPr>
            <w:tcW w:w="1050" w:type="dxa"/>
            <w:noWrap/>
            <w:hideMark/>
          </w:tcPr>
          <w:p w14:paraId="1EDC2161"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Goat</w:t>
            </w:r>
          </w:p>
        </w:tc>
        <w:tc>
          <w:tcPr>
            <w:tcW w:w="1073" w:type="dxa"/>
            <w:noWrap/>
            <w:hideMark/>
          </w:tcPr>
          <w:p w14:paraId="7DF94A7F"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1:300</w:t>
            </w:r>
          </w:p>
        </w:tc>
        <w:tc>
          <w:tcPr>
            <w:tcW w:w="4036" w:type="dxa"/>
            <w:noWrap/>
            <w:hideMark/>
          </w:tcPr>
          <w:p w14:paraId="5FABD62F"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roofErr w:type="spellStart"/>
            <w:r w:rsidRPr="00505A7A">
              <w:rPr>
                <w:rFonts w:ascii="Arial" w:eastAsia="Times New Roman" w:hAnsi="Arial" w:cs="Arial"/>
                <w:color w:val="000000" w:themeColor="text1"/>
                <w:sz w:val="20"/>
                <w:szCs w:val="20"/>
              </w:rPr>
              <w:t>ThermoFischer</w:t>
            </w:r>
            <w:proofErr w:type="spellEnd"/>
          </w:p>
        </w:tc>
      </w:tr>
      <w:tr w:rsidR="00C57DAA" w:rsidRPr="00505A7A" w14:paraId="718C0B89" w14:textId="77777777" w:rsidTr="00B71BFB">
        <w:trPr>
          <w:trHeight w:val="291"/>
        </w:trPr>
        <w:tc>
          <w:tcPr>
            <w:tcW w:w="3235" w:type="dxa"/>
            <w:noWrap/>
            <w:hideMark/>
          </w:tcPr>
          <w:p w14:paraId="09C34157"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 xml:space="preserve">anti-rabbit Cy™3 </w:t>
            </w:r>
          </w:p>
        </w:tc>
        <w:tc>
          <w:tcPr>
            <w:tcW w:w="1311" w:type="dxa"/>
            <w:noWrap/>
            <w:hideMark/>
          </w:tcPr>
          <w:p w14:paraId="22AE548A"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711165152</w:t>
            </w:r>
          </w:p>
        </w:tc>
        <w:tc>
          <w:tcPr>
            <w:tcW w:w="1050" w:type="dxa"/>
            <w:hideMark/>
          </w:tcPr>
          <w:p w14:paraId="14EDF2E0"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Donkey</w:t>
            </w:r>
          </w:p>
        </w:tc>
        <w:tc>
          <w:tcPr>
            <w:tcW w:w="1073" w:type="dxa"/>
            <w:noWrap/>
            <w:hideMark/>
          </w:tcPr>
          <w:p w14:paraId="078B2C75"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1:300</w:t>
            </w:r>
          </w:p>
        </w:tc>
        <w:tc>
          <w:tcPr>
            <w:tcW w:w="4036" w:type="dxa"/>
            <w:noWrap/>
            <w:hideMark/>
          </w:tcPr>
          <w:p w14:paraId="01353702"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 xml:space="preserve">Jackson </w:t>
            </w:r>
            <w:proofErr w:type="spellStart"/>
            <w:r w:rsidRPr="00505A7A">
              <w:rPr>
                <w:rFonts w:ascii="Arial" w:eastAsia="Times New Roman" w:hAnsi="Arial" w:cs="Arial"/>
                <w:color w:val="000000" w:themeColor="text1"/>
                <w:sz w:val="20"/>
                <w:szCs w:val="20"/>
              </w:rPr>
              <w:t>ImmunoResearch</w:t>
            </w:r>
            <w:proofErr w:type="spellEnd"/>
            <w:r w:rsidRPr="00505A7A">
              <w:rPr>
                <w:rFonts w:ascii="Arial" w:eastAsia="Times New Roman" w:hAnsi="Arial" w:cs="Arial"/>
                <w:color w:val="000000" w:themeColor="text1"/>
                <w:sz w:val="20"/>
                <w:szCs w:val="20"/>
              </w:rPr>
              <w:t xml:space="preserve"> Inc.</w:t>
            </w:r>
          </w:p>
        </w:tc>
      </w:tr>
      <w:tr w:rsidR="00C82E65" w:rsidRPr="00505A7A" w14:paraId="3D0A00D3" w14:textId="77777777" w:rsidTr="00B71BFB">
        <w:trPr>
          <w:trHeight w:val="291"/>
        </w:trPr>
        <w:tc>
          <w:tcPr>
            <w:tcW w:w="3235" w:type="dxa"/>
            <w:tcBorders>
              <w:bottom w:val="single" w:sz="8" w:space="0" w:color="auto"/>
            </w:tcBorders>
            <w:noWrap/>
            <w:hideMark/>
          </w:tcPr>
          <w:p w14:paraId="24A36F5F"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anti-hamster Alexa Fluor® 488</w:t>
            </w:r>
          </w:p>
        </w:tc>
        <w:tc>
          <w:tcPr>
            <w:tcW w:w="1311" w:type="dxa"/>
            <w:tcBorders>
              <w:bottom w:val="single" w:sz="8" w:space="0" w:color="auto"/>
            </w:tcBorders>
            <w:noWrap/>
            <w:hideMark/>
          </w:tcPr>
          <w:p w14:paraId="2CF46468"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A-21110</w:t>
            </w:r>
          </w:p>
        </w:tc>
        <w:tc>
          <w:tcPr>
            <w:tcW w:w="1050" w:type="dxa"/>
            <w:tcBorders>
              <w:bottom w:val="single" w:sz="8" w:space="0" w:color="auto"/>
            </w:tcBorders>
            <w:noWrap/>
            <w:hideMark/>
          </w:tcPr>
          <w:p w14:paraId="36BCBBE7"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Goat</w:t>
            </w:r>
          </w:p>
        </w:tc>
        <w:tc>
          <w:tcPr>
            <w:tcW w:w="1073" w:type="dxa"/>
            <w:tcBorders>
              <w:bottom w:val="single" w:sz="8" w:space="0" w:color="auto"/>
            </w:tcBorders>
            <w:noWrap/>
            <w:hideMark/>
          </w:tcPr>
          <w:p w14:paraId="018169C2" w14:textId="77777777" w:rsidR="00C82E65" w:rsidRPr="00505A7A" w:rsidRDefault="00C82E65" w:rsidP="0072155D">
            <w:pPr>
              <w:spacing w:line="276" w:lineRule="auto"/>
              <w:jc w:val="both"/>
              <w:rPr>
                <w:rFonts w:ascii="Arial" w:eastAsia="Times New Roman" w:hAnsi="Arial" w:cs="Arial"/>
                <w:color w:val="000000" w:themeColor="text1"/>
                <w:sz w:val="20"/>
                <w:szCs w:val="20"/>
              </w:rPr>
            </w:pPr>
            <w:r w:rsidRPr="00505A7A">
              <w:rPr>
                <w:rFonts w:ascii="Arial" w:eastAsia="Times New Roman" w:hAnsi="Arial" w:cs="Arial"/>
                <w:color w:val="000000" w:themeColor="text1"/>
                <w:sz w:val="20"/>
                <w:szCs w:val="20"/>
              </w:rPr>
              <w:t>1:300</w:t>
            </w:r>
          </w:p>
        </w:tc>
        <w:tc>
          <w:tcPr>
            <w:tcW w:w="4036" w:type="dxa"/>
            <w:tcBorders>
              <w:bottom w:val="single" w:sz="8" w:space="0" w:color="auto"/>
            </w:tcBorders>
            <w:noWrap/>
            <w:hideMark/>
          </w:tcPr>
          <w:p w14:paraId="5CC2ECF9" w14:textId="77777777" w:rsidR="00C82E65" w:rsidRPr="00505A7A" w:rsidRDefault="00C82E65" w:rsidP="0072155D">
            <w:pPr>
              <w:spacing w:line="276" w:lineRule="auto"/>
              <w:jc w:val="both"/>
              <w:rPr>
                <w:rFonts w:ascii="Arial" w:eastAsia="Times New Roman" w:hAnsi="Arial" w:cs="Arial"/>
                <w:color w:val="000000" w:themeColor="text1"/>
                <w:sz w:val="20"/>
                <w:szCs w:val="20"/>
              </w:rPr>
            </w:pPr>
            <w:proofErr w:type="spellStart"/>
            <w:r w:rsidRPr="00505A7A">
              <w:rPr>
                <w:rFonts w:ascii="Arial" w:eastAsia="Times New Roman" w:hAnsi="Arial" w:cs="Arial"/>
                <w:color w:val="000000" w:themeColor="text1"/>
                <w:sz w:val="20"/>
                <w:szCs w:val="20"/>
              </w:rPr>
              <w:t>ThermoFischer</w:t>
            </w:r>
            <w:proofErr w:type="spellEnd"/>
          </w:p>
        </w:tc>
      </w:tr>
    </w:tbl>
    <w:p w14:paraId="499FE43F" w14:textId="17AA9BE1" w:rsidR="00C82E65" w:rsidRPr="00505A7A" w:rsidRDefault="00C82E65" w:rsidP="0072155D">
      <w:pPr>
        <w:spacing w:line="276" w:lineRule="auto"/>
        <w:jc w:val="both"/>
        <w:rPr>
          <w:rFonts w:ascii="Arial" w:hAnsi="Arial" w:cs="Arial"/>
          <w:b/>
          <w:bCs/>
          <w:color w:val="000000" w:themeColor="text1"/>
          <w:kern w:val="32"/>
          <w:sz w:val="20"/>
        </w:rPr>
      </w:pPr>
    </w:p>
    <w:p w14:paraId="4E157714" w14:textId="77777777" w:rsidR="00C82E65" w:rsidRPr="00505A7A" w:rsidRDefault="00C82E65" w:rsidP="0072155D">
      <w:pPr>
        <w:pStyle w:val="Default"/>
        <w:spacing w:line="276" w:lineRule="auto"/>
        <w:jc w:val="both"/>
        <w:rPr>
          <w:rFonts w:ascii="Arial" w:hAnsi="Arial" w:cs="Arial"/>
          <w:color w:val="000000" w:themeColor="text1"/>
          <w:sz w:val="22"/>
          <w:szCs w:val="22"/>
        </w:rPr>
      </w:pPr>
      <w:r w:rsidRPr="00505A7A">
        <w:rPr>
          <w:rFonts w:ascii="Arial" w:hAnsi="Arial" w:cs="Arial"/>
          <w:b/>
          <w:color w:val="000000" w:themeColor="text1"/>
          <w:sz w:val="22"/>
          <w:szCs w:val="22"/>
          <w:shd w:val="clear" w:color="auto" w:fill="FFFFFF"/>
        </w:rPr>
        <w:t>Table S3.</w:t>
      </w:r>
      <w:r w:rsidRPr="00505A7A">
        <w:rPr>
          <w:rFonts w:ascii="Arial" w:hAnsi="Arial" w:cs="Arial"/>
          <w:color w:val="000000" w:themeColor="text1"/>
          <w:sz w:val="22"/>
          <w:szCs w:val="22"/>
          <w:shd w:val="clear" w:color="auto" w:fill="FFFFFF"/>
        </w:rPr>
        <w:t xml:space="preserve"> </w:t>
      </w:r>
      <w:r w:rsidRPr="00505A7A">
        <w:rPr>
          <w:rFonts w:ascii="Arial" w:hAnsi="Arial" w:cs="Arial"/>
          <w:color w:val="000000" w:themeColor="text1"/>
          <w:sz w:val="22"/>
          <w:szCs w:val="22"/>
        </w:rPr>
        <w:t xml:space="preserve">Primers and probes for </w:t>
      </w:r>
      <w:r w:rsidRPr="00505A7A">
        <w:rPr>
          <w:rFonts w:ascii="Arial" w:hAnsi="Arial" w:cs="Arial"/>
          <w:color w:val="000000" w:themeColor="text1"/>
          <w:sz w:val="22"/>
          <w:szCs w:val="22"/>
          <w:shd w:val="clear" w:color="auto" w:fill="FFFFFF"/>
        </w:rPr>
        <w:t>RT-qPCR.</w:t>
      </w:r>
    </w:p>
    <w:tbl>
      <w:tblPr>
        <w:tblStyle w:val="TableGridLight"/>
        <w:tblW w:w="10705" w:type="dxa"/>
        <w:tblLayout w:type="fixed"/>
        <w:tblLook w:val="04A0" w:firstRow="1" w:lastRow="0" w:firstColumn="1" w:lastColumn="0" w:noHBand="0" w:noVBand="1"/>
      </w:tblPr>
      <w:tblGrid>
        <w:gridCol w:w="1253"/>
        <w:gridCol w:w="4302"/>
        <w:gridCol w:w="5150"/>
      </w:tblGrid>
      <w:tr w:rsidR="00C57DAA" w:rsidRPr="00505A7A" w14:paraId="573B8194" w14:textId="77777777" w:rsidTr="00B71BFB">
        <w:trPr>
          <w:trHeight w:val="308"/>
        </w:trPr>
        <w:tc>
          <w:tcPr>
            <w:tcW w:w="1253" w:type="dxa"/>
            <w:tcBorders>
              <w:bottom w:val="single" w:sz="8" w:space="0" w:color="auto"/>
            </w:tcBorders>
          </w:tcPr>
          <w:p w14:paraId="3F355493" w14:textId="77777777" w:rsidR="00C82E65" w:rsidRPr="00505A7A" w:rsidRDefault="00C82E65" w:rsidP="0072155D">
            <w:pPr>
              <w:spacing w:line="276" w:lineRule="auto"/>
              <w:jc w:val="both"/>
              <w:rPr>
                <w:rFonts w:ascii="Arial" w:hAnsi="Arial" w:cs="Arial"/>
                <w:b/>
                <w:color w:val="000000" w:themeColor="text1"/>
                <w:sz w:val="20"/>
                <w:szCs w:val="20"/>
              </w:rPr>
            </w:pPr>
            <w:r w:rsidRPr="00505A7A">
              <w:rPr>
                <w:rFonts w:ascii="Arial" w:hAnsi="Arial" w:cs="Arial"/>
                <w:b/>
                <w:color w:val="000000" w:themeColor="text1"/>
                <w:sz w:val="20"/>
                <w:szCs w:val="20"/>
              </w:rPr>
              <w:t>Gene</w:t>
            </w:r>
          </w:p>
        </w:tc>
        <w:tc>
          <w:tcPr>
            <w:tcW w:w="4302" w:type="dxa"/>
            <w:tcBorders>
              <w:bottom w:val="single" w:sz="8" w:space="0" w:color="auto"/>
            </w:tcBorders>
          </w:tcPr>
          <w:p w14:paraId="7BFA64A3" w14:textId="77777777" w:rsidR="00C82E65" w:rsidRPr="00505A7A" w:rsidRDefault="00C82E65" w:rsidP="0072155D">
            <w:pPr>
              <w:pStyle w:val="Default"/>
              <w:spacing w:line="276" w:lineRule="auto"/>
              <w:jc w:val="both"/>
              <w:rPr>
                <w:rFonts w:ascii="Arial" w:hAnsi="Arial" w:cs="Arial"/>
                <w:b/>
                <w:color w:val="000000" w:themeColor="text1"/>
                <w:sz w:val="20"/>
                <w:szCs w:val="20"/>
              </w:rPr>
            </w:pPr>
            <w:r w:rsidRPr="00505A7A">
              <w:rPr>
                <w:rFonts w:ascii="Arial" w:hAnsi="Arial" w:cs="Arial"/>
                <w:b/>
                <w:color w:val="000000" w:themeColor="text1"/>
                <w:sz w:val="20"/>
                <w:szCs w:val="20"/>
              </w:rPr>
              <w:t>Forward primer</w:t>
            </w:r>
            <w:r w:rsidRPr="00505A7A">
              <w:rPr>
                <w:rFonts w:ascii="Arial" w:hAnsi="Arial" w:cs="Arial"/>
                <w:b/>
                <w:color w:val="000000" w:themeColor="text1"/>
                <w:sz w:val="20"/>
                <w:szCs w:val="20"/>
                <w:shd w:val="clear" w:color="auto" w:fill="FFFFFF"/>
                <w:lang w:val="pt-BR"/>
              </w:rPr>
              <w:t xml:space="preserve"> </w:t>
            </w:r>
          </w:p>
        </w:tc>
        <w:tc>
          <w:tcPr>
            <w:tcW w:w="5150" w:type="dxa"/>
            <w:tcBorders>
              <w:bottom w:val="single" w:sz="8" w:space="0" w:color="auto"/>
            </w:tcBorders>
          </w:tcPr>
          <w:p w14:paraId="4FF3CE3B" w14:textId="77777777" w:rsidR="00C82E65" w:rsidRPr="00505A7A" w:rsidRDefault="00C82E65" w:rsidP="0072155D">
            <w:pPr>
              <w:spacing w:line="276" w:lineRule="auto"/>
              <w:jc w:val="both"/>
              <w:rPr>
                <w:rFonts w:ascii="Arial" w:hAnsi="Arial" w:cs="Arial"/>
                <w:b/>
                <w:color w:val="000000" w:themeColor="text1"/>
                <w:sz w:val="20"/>
                <w:szCs w:val="20"/>
                <w:lang w:val="pt-BR"/>
              </w:rPr>
            </w:pPr>
            <w:r w:rsidRPr="00505A7A">
              <w:rPr>
                <w:rFonts w:ascii="Arial" w:hAnsi="Arial" w:cs="Arial"/>
                <w:b/>
                <w:color w:val="000000" w:themeColor="text1"/>
                <w:sz w:val="20"/>
                <w:szCs w:val="20"/>
                <w:shd w:val="clear" w:color="auto" w:fill="FFFFFF"/>
                <w:lang w:val="pt-BR"/>
              </w:rPr>
              <w:t>Reverse primer</w:t>
            </w:r>
          </w:p>
        </w:tc>
      </w:tr>
      <w:tr w:rsidR="00C57DAA" w:rsidRPr="00505A7A" w14:paraId="6F5AF8CD" w14:textId="77777777" w:rsidTr="00B71BFB">
        <w:trPr>
          <w:trHeight w:val="323"/>
        </w:trPr>
        <w:tc>
          <w:tcPr>
            <w:tcW w:w="1253" w:type="dxa"/>
            <w:tcBorders>
              <w:top w:val="single" w:sz="8" w:space="0" w:color="auto"/>
            </w:tcBorders>
          </w:tcPr>
          <w:p w14:paraId="20E6E3EF" w14:textId="77777777" w:rsidR="00C82E65" w:rsidRPr="00505A7A" w:rsidRDefault="00C82E65" w:rsidP="0072155D">
            <w:pPr>
              <w:spacing w:line="276" w:lineRule="auto"/>
              <w:jc w:val="both"/>
              <w:rPr>
                <w:rFonts w:ascii="Arial" w:hAnsi="Arial" w:cs="Arial"/>
                <w:bCs/>
                <w:i/>
                <w:color w:val="000000" w:themeColor="text1"/>
                <w:sz w:val="20"/>
                <w:szCs w:val="20"/>
              </w:rPr>
            </w:pPr>
            <w:r w:rsidRPr="00505A7A">
              <w:rPr>
                <w:rFonts w:ascii="Arial" w:hAnsi="Arial" w:cs="Arial"/>
                <w:bCs/>
                <w:i/>
                <w:color w:val="000000" w:themeColor="text1"/>
                <w:sz w:val="20"/>
                <w:szCs w:val="20"/>
                <w:shd w:val="clear" w:color="auto" w:fill="FFFFFF"/>
              </w:rPr>
              <w:t>Col1a1</w:t>
            </w:r>
          </w:p>
        </w:tc>
        <w:tc>
          <w:tcPr>
            <w:tcW w:w="4302" w:type="dxa"/>
            <w:tcBorders>
              <w:top w:val="single" w:sz="8" w:space="0" w:color="auto"/>
            </w:tcBorders>
          </w:tcPr>
          <w:p w14:paraId="54C30125"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shd w:val="clear" w:color="auto" w:fill="FFFFFF"/>
              </w:rPr>
              <w:t>GACATGTTCAGCTTTGTGGACCTC</w:t>
            </w:r>
          </w:p>
        </w:tc>
        <w:tc>
          <w:tcPr>
            <w:tcW w:w="5150" w:type="dxa"/>
            <w:tcBorders>
              <w:top w:val="single" w:sz="8" w:space="0" w:color="auto"/>
            </w:tcBorders>
          </w:tcPr>
          <w:p w14:paraId="580FC08E"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shd w:val="clear" w:color="auto" w:fill="FFFFFF"/>
              </w:rPr>
              <w:t>GGGACCCTTAGGCCATTGTGTA</w:t>
            </w:r>
          </w:p>
        </w:tc>
      </w:tr>
      <w:tr w:rsidR="00C57DAA" w:rsidRPr="00505A7A" w14:paraId="26EC8299" w14:textId="77777777" w:rsidTr="00B71BFB">
        <w:trPr>
          <w:trHeight w:val="308"/>
        </w:trPr>
        <w:tc>
          <w:tcPr>
            <w:tcW w:w="1253" w:type="dxa"/>
          </w:tcPr>
          <w:p w14:paraId="1007BBEC" w14:textId="77777777" w:rsidR="00C82E65" w:rsidRPr="00505A7A" w:rsidRDefault="00C82E65" w:rsidP="0072155D">
            <w:pPr>
              <w:spacing w:line="276" w:lineRule="auto"/>
              <w:jc w:val="both"/>
              <w:rPr>
                <w:rFonts w:ascii="Arial" w:hAnsi="Arial" w:cs="Arial"/>
                <w:bCs/>
                <w:i/>
                <w:color w:val="000000" w:themeColor="text1"/>
                <w:sz w:val="20"/>
                <w:szCs w:val="20"/>
              </w:rPr>
            </w:pPr>
            <w:r w:rsidRPr="00505A7A">
              <w:rPr>
                <w:rFonts w:ascii="Arial" w:hAnsi="Arial" w:cs="Arial"/>
                <w:bCs/>
                <w:i/>
                <w:color w:val="000000" w:themeColor="text1"/>
                <w:sz w:val="20"/>
                <w:szCs w:val="20"/>
              </w:rPr>
              <w:t>Tgfb1</w:t>
            </w:r>
          </w:p>
        </w:tc>
        <w:tc>
          <w:tcPr>
            <w:tcW w:w="4302" w:type="dxa"/>
          </w:tcPr>
          <w:p w14:paraId="13C1127F"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TGCGCTTGCAGAGATTAAAA</w:t>
            </w:r>
          </w:p>
        </w:tc>
        <w:tc>
          <w:tcPr>
            <w:tcW w:w="5150" w:type="dxa"/>
          </w:tcPr>
          <w:p w14:paraId="70EF49BB"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CTGCCGTACAACTCCAGTGA</w:t>
            </w:r>
          </w:p>
        </w:tc>
      </w:tr>
      <w:tr w:rsidR="00C57DAA" w:rsidRPr="00505A7A" w14:paraId="60F9637C" w14:textId="77777777" w:rsidTr="00B71BFB">
        <w:trPr>
          <w:trHeight w:val="308"/>
        </w:trPr>
        <w:tc>
          <w:tcPr>
            <w:tcW w:w="1253" w:type="dxa"/>
          </w:tcPr>
          <w:p w14:paraId="5A5ADE34" w14:textId="77777777" w:rsidR="00C82E65" w:rsidRPr="00505A7A" w:rsidRDefault="00C82E65" w:rsidP="0072155D">
            <w:pPr>
              <w:spacing w:line="276" w:lineRule="auto"/>
              <w:jc w:val="both"/>
              <w:rPr>
                <w:rFonts w:ascii="Arial" w:hAnsi="Arial" w:cs="Arial"/>
                <w:bCs/>
                <w:i/>
                <w:color w:val="000000" w:themeColor="text1"/>
                <w:sz w:val="20"/>
                <w:szCs w:val="20"/>
              </w:rPr>
            </w:pPr>
            <w:r w:rsidRPr="00505A7A">
              <w:rPr>
                <w:rFonts w:ascii="Arial" w:hAnsi="Arial" w:cs="Arial"/>
                <w:bCs/>
                <w:i/>
                <w:color w:val="000000" w:themeColor="text1"/>
                <w:sz w:val="20"/>
                <w:szCs w:val="20"/>
              </w:rPr>
              <w:t>Mmp9</w:t>
            </w:r>
          </w:p>
        </w:tc>
        <w:tc>
          <w:tcPr>
            <w:tcW w:w="4302" w:type="dxa"/>
          </w:tcPr>
          <w:p w14:paraId="6B0B5AB0"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eastAsia="Times New Roman" w:hAnsi="Arial" w:cs="Arial"/>
                <w:bCs/>
                <w:color w:val="000000" w:themeColor="text1"/>
                <w:sz w:val="20"/>
                <w:szCs w:val="20"/>
                <w:lang w:eastAsia="pt-BR"/>
              </w:rPr>
              <w:t>ACGGACCCGAAGCGGACATT</w:t>
            </w:r>
          </w:p>
        </w:tc>
        <w:tc>
          <w:tcPr>
            <w:tcW w:w="5150" w:type="dxa"/>
          </w:tcPr>
          <w:p w14:paraId="2DA2FE0F"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eastAsia="Times New Roman" w:hAnsi="Arial" w:cs="Arial"/>
                <w:bCs/>
                <w:color w:val="000000" w:themeColor="text1"/>
                <w:sz w:val="20"/>
                <w:szCs w:val="20"/>
                <w:lang w:eastAsia="pt-BR"/>
              </w:rPr>
              <w:t>TTGCCCAGCGACCACAACTC</w:t>
            </w:r>
          </w:p>
        </w:tc>
      </w:tr>
      <w:tr w:rsidR="00C57DAA" w:rsidRPr="00505A7A" w14:paraId="12B0FCC7" w14:textId="77777777" w:rsidTr="00B71BFB">
        <w:trPr>
          <w:trHeight w:val="323"/>
        </w:trPr>
        <w:tc>
          <w:tcPr>
            <w:tcW w:w="1253" w:type="dxa"/>
          </w:tcPr>
          <w:p w14:paraId="5A6A6450" w14:textId="77777777" w:rsidR="00C82E65" w:rsidRPr="00505A7A" w:rsidRDefault="00C82E65" w:rsidP="0072155D">
            <w:pPr>
              <w:spacing w:line="276" w:lineRule="auto"/>
              <w:jc w:val="both"/>
              <w:rPr>
                <w:rFonts w:ascii="Arial" w:hAnsi="Arial" w:cs="Arial"/>
                <w:bCs/>
                <w:i/>
                <w:color w:val="000000" w:themeColor="text1"/>
                <w:sz w:val="20"/>
                <w:szCs w:val="20"/>
              </w:rPr>
            </w:pPr>
            <w:r w:rsidRPr="00505A7A">
              <w:rPr>
                <w:rFonts w:ascii="Arial" w:hAnsi="Arial" w:cs="Arial"/>
                <w:bCs/>
                <w:i/>
                <w:color w:val="000000" w:themeColor="text1"/>
                <w:sz w:val="20"/>
                <w:szCs w:val="20"/>
              </w:rPr>
              <w:t>Il-6</w:t>
            </w:r>
          </w:p>
        </w:tc>
        <w:tc>
          <w:tcPr>
            <w:tcW w:w="4302" w:type="dxa"/>
          </w:tcPr>
          <w:p w14:paraId="3E9729DA" w14:textId="77777777" w:rsidR="00C82E65" w:rsidRPr="00505A7A" w:rsidRDefault="00C82E65" w:rsidP="0072155D">
            <w:pPr>
              <w:spacing w:line="276" w:lineRule="auto"/>
              <w:jc w:val="both"/>
              <w:rPr>
                <w:rFonts w:ascii="Arial" w:eastAsia="Times New Roman" w:hAnsi="Arial" w:cs="Arial"/>
                <w:bCs/>
                <w:color w:val="000000" w:themeColor="text1"/>
                <w:sz w:val="20"/>
                <w:szCs w:val="20"/>
                <w:lang w:eastAsia="pt-BR"/>
              </w:rPr>
            </w:pPr>
            <w:r w:rsidRPr="00505A7A">
              <w:rPr>
                <w:rFonts w:ascii="Arial" w:hAnsi="Arial" w:cs="Arial"/>
                <w:bCs/>
                <w:color w:val="000000" w:themeColor="text1"/>
                <w:sz w:val="20"/>
                <w:szCs w:val="20"/>
              </w:rPr>
              <w:t>CTCTGGGAAATCGT GAAATG</w:t>
            </w:r>
          </w:p>
        </w:tc>
        <w:tc>
          <w:tcPr>
            <w:tcW w:w="5150" w:type="dxa"/>
          </w:tcPr>
          <w:p w14:paraId="482D7366" w14:textId="77777777" w:rsidR="00C82E65" w:rsidRPr="00505A7A" w:rsidRDefault="00C82E65" w:rsidP="0072155D">
            <w:pPr>
              <w:spacing w:line="276" w:lineRule="auto"/>
              <w:jc w:val="both"/>
              <w:rPr>
                <w:rFonts w:ascii="Arial" w:eastAsia="Times New Roman" w:hAnsi="Arial" w:cs="Arial"/>
                <w:bCs/>
                <w:color w:val="000000" w:themeColor="text1"/>
                <w:sz w:val="20"/>
                <w:szCs w:val="20"/>
                <w:lang w:eastAsia="pt-BR"/>
              </w:rPr>
            </w:pPr>
            <w:r w:rsidRPr="00505A7A">
              <w:rPr>
                <w:rFonts w:ascii="Arial" w:hAnsi="Arial" w:cs="Arial"/>
                <w:bCs/>
                <w:color w:val="000000" w:themeColor="text1"/>
                <w:sz w:val="20"/>
                <w:szCs w:val="20"/>
              </w:rPr>
              <w:t>AAGTGCATCATCGTTGTTCATACA</w:t>
            </w:r>
          </w:p>
        </w:tc>
      </w:tr>
      <w:tr w:rsidR="00C57DAA" w:rsidRPr="00505A7A" w14:paraId="3E5266A4" w14:textId="77777777" w:rsidTr="00B71BFB">
        <w:trPr>
          <w:trHeight w:val="308"/>
        </w:trPr>
        <w:tc>
          <w:tcPr>
            <w:tcW w:w="1253" w:type="dxa"/>
          </w:tcPr>
          <w:p w14:paraId="2ADE2746" w14:textId="77777777" w:rsidR="00C82E65" w:rsidRPr="00505A7A" w:rsidRDefault="00C82E65" w:rsidP="0072155D">
            <w:pPr>
              <w:shd w:val="clear" w:color="auto" w:fill="FFFFFF"/>
              <w:spacing w:line="276" w:lineRule="auto"/>
              <w:jc w:val="both"/>
              <w:textAlignment w:val="baseline"/>
              <w:rPr>
                <w:rFonts w:ascii="Arial" w:hAnsi="Arial" w:cs="Arial"/>
                <w:bCs/>
                <w:i/>
                <w:color w:val="000000" w:themeColor="text1"/>
                <w:sz w:val="20"/>
                <w:szCs w:val="20"/>
              </w:rPr>
            </w:pPr>
            <w:proofErr w:type="spellStart"/>
            <w:r w:rsidRPr="00505A7A">
              <w:rPr>
                <w:rFonts w:ascii="Arial" w:eastAsia="Times New Roman" w:hAnsi="Arial" w:cs="Arial"/>
                <w:bCs/>
                <w:i/>
                <w:color w:val="000000" w:themeColor="text1"/>
                <w:sz w:val="20"/>
                <w:szCs w:val="20"/>
              </w:rPr>
              <w:t>Actb</w:t>
            </w:r>
            <w:proofErr w:type="spellEnd"/>
          </w:p>
        </w:tc>
        <w:tc>
          <w:tcPr>
            <w:tcW w:w="4302" w:type="dxa"/>
          </w:tcPr>
          <w:p w14:paraId="27957F20"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AGGGAAATCGTGCGTGACAT</w:t>
            </w:r>
          </w:p>
        </w:tc>
        <w:tc>
          <w:tcPr>
            <w:tcW w:w="5150" w:type="dxa"/>
          </w:tcPr>
          <w:p w14:paraId="2D3AA82C"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GAACCGCTCGTTGCCAATAG</w:t>
            </w:r>
          </w:p>
        </w:tc>
      </w:tr>
      <w:tr w:rsidR="00C57DAA" w:rsidRPr="00505A7A" w14:paraId="7BB92A5D" w14:textId="77777777" w:rsidTr="00B71BFB">
        <w:trPr>
          <w:trHeight w:val="308"/>
        </w:trPr>
        <w:tc>
          <w:tcPr>
            <w:tcW w:w="1253" w:type="dxa"/>
          </w:tcPr>
          <w:p w14:paraId="7A38866E" w14:textId="77777777" w:rsidR="00C82E65" w:rsidRPr="00505A7A" w:rsidRDefault="00C82E65" w:rsidP="0072155D">
            <w:pPr>
              <w:spacing w:line="276" w:lineRule="auto"/>
              <w:jc w:val="both"/>
              <w:rPr>
                <w:rFonts w:ascii="Arial" w:hAnsi="Arial" w:cs="Arial"/>
                <w:bCs/>
                <w:i/>
                <w:color w:val="000000" w:themeColor="text1"/>
                <w:sz w:val="20"/>
                <w:szCs w:val="20"/>
              </w:rPr>
            </w:pPr>
            <w:r w:rsidRPr="00505A7A">
              <w:rPr>
                <w:rFonts w:ascii="Arial" w:hAnsi="Arial" w:cs="Arial"/>
                <w:bCs/>
                <w:i/>
                <w:color w:val="000000" w:themeColor="text1"/>
                <w:sz w:val="20"/>
                <w:szCs w:val="20"/>
              </w:rPr>
              <w:t>Smad2</w:t>
            </w:r>
          </w:p>
        </w:tc>
        <w:tc>
          <w:tcPr>
            <w:tcW w:w="4302" w:type="dxa"/>
          </w:tcPr>
          <w:p w14:paraId="658A1688" w14:textId="77777777" w:rsidR="00C82E65" w:rsidRPr="00505A7A" w:rsidRDefault="00C82E65"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pacing w:val="8"/>
                <w:sz w:val="20"/>
                <w:szCs w:val="20"/>
                <w:shd w:val="clear" w:color="auto" w:fill="FFFFFF"/>
              </w:rPr>
              <w:t>Assay ID: Mm00487530_m1</w:t>
            </w:r>
          </w:p>
        </w:tc>
        <w:tc>
          <w:tcPr>
            <w:tcW w:w="5150" w:type="dxa"/>
          </w:tcPr>
          <w:p w14:paraId="7D8F40E2" w14:textId="6A9FA157" w:rsidR="00C82E65" w:rsidRPr="00505A7A" w:rsidRDefault="00BC305B"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_</w:t>
            </w:r>
          </w:p>
        </w:tc>
      </w:tr>
      <w:tr w:rsidR="00C57DAA" w:rsidRPr="00505A7A" w14:paraId="77D54AAC" w14:textId="77777777" w:rsidTr="00B71BFB">
        <w:trPr>
          <w:trHeight w:val="270"/>
        </w:trPr>
        <w:tc>
          <w:tcPr>
            <w:tcW w:w="1253" w:type="dxa"/>
          </w:tcPr>
          <w:p w14:paraId="099B3331" w14:textId="77777777" w:rsidR="00C82E65" w:rsidRPr="00505A7A" w:rsidRDefault="00C82E65" w:rsidP="0072155D">
            <w:pPr>
              <w:spacing w:line="276" w:lineRule="auto"/>
              <w:jc w:val="both"/>
              <w:rPr>
                <w:rFonts w:ascii="Arial" w:hAnsi="Arial" w:cs="Arial"/>
                <w:bCs/>
                <w:i/>
                <w:color w:val="000000" w:themeColor="text1"/>
                <w:sz w:val="20"/>
                <w:szCs w:val="20"/>
              </w:rPr>
            </w:pPr>
            <w:r w:rsidRPr="00505A7A">
              <w:rPr>
                <w:rFonts w:ascii="Arial" w:hAnsi="Arial" w:cs="Arial"/>
                <w:bCs/>
                <w:i/>
                <w:color w:val="000000" w:themeColor="text1"/>
                <w:sz w:val="20"/>
                <w:szCs w:val="20"/>
              </w:rPr>
              <w:t>Smad7</w:t>
            </w:r>
          </w:p>
        </w:tc>
        <w:tc>
          <w:tcPr>
            <w:tcW w:w="4302" w:type="dxa"/>
          </w:tcPr>
          <w:p w14:paraId="22078697" w14:textId="77777777" w:rsidR="00C82E65" w:rsidRPr="00505A7A" w:rsidRDefault="00C82E65" w:rsidP="0072155D">
            <w:pPr>
              <w:pStyle w:val="Heading3"/>
              <w:shd w:val="clear" w:color="auto" w:fill="FFFFFF"/>
              <w:spacing w:line="276" w:lineRule="auto"/>
              <w:jc w:val="both"/>
              <w:textAlignment w:val="baseline"/>
              <w:rPr>
                <w:rFonts w:ascii="Arial" w:hAnsi="Arial" w:cs="Arial"/>
                <w:b w:val="0"/>
                <w:bCs/>
                <w:color w:val="000000" w:themeColor="text1"/>
                <w:sz w:val="20"/>
                <w:szCs w:val="20"/>
              </w:rPr>
            </w:pPr>
            <w:r w:rsidRPr="00505A7A">
              <w:rPr>
                <w:rFonts w:ascii="Arial" w:hAnsi="Arial" w:cs="Arial"/>
                <w:b w:val="0"/>
                <w:bCs/>
                <w:color w:val="000000" w:themeColor="text1"/>
                <w:spacing w:val="8"/>
                <w:sz w:val="20"/>
                <w:szCs w:val="20"/>
              </w:rPr>
              <w:t>Assay ID: Mm00484742_m1</w:t>
            </w:r>
          </w:p>
        </w:tc>
        <w:tc>
          <w:tcPr>
            <w:tcW w:w="5150" w:type="dxa"/>
          </w:tcPr>
          <w:p w14:paraId="15C313A4" w14:textId="08FD85D6" w:rsidR="00C82E65" w:rsidRPr="00505A7A" w:rsidRDefault="00BC305B"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_</w:t>
            </w:r>
          </w:p>
        </w:tc>
      </w:tr>
      <w:tr w:rsidR="00C57DAA" w:rsidRPr="00505A7A" w14:paraId="37A7E93C" w14:textId="77777777" w:rsidTr="00B71BFB">
        <w:trPr>
          <w:trHeight w:val="308"/>
        </w:trPr>
        <w:tc>
          <w:tcPr>
            <w:tcW w:w="1253" w:type="dxa"/>
          </w:tcPr>
          <w:p w14:paraId="4C9EAF5B" w14:textId="77777777" w:rsidR="00C82E65" w:rsidRPr="00505A7A" w:rsidRDefault="00C82E65" w:rsidP="0072155D">
            <w:pPr>
              <w:spacing w:line="276" w:lineRule="auto"/>
              <w:jc w:val="both"/>
              <w:rPr>
                <w:rFonts w:ascii="Arial" w:hAnsi="Arial" w:cs="Arial"/>
                <w:bCs/>
                <w:i/>
                <w:color w:val="000000" w:themeColor="text1"/>
                <w:sz w:val="20"/>
                <w:szCs w:val="20"/>
              </w:rPr>
            </w:pPr>
            <w:r w:rsidRPr="00505A7A">
              <w:rPr>
                <w:rFonts w:ascii="Arial" w:hAnsi="Arial" w:cs="Arial"/>
                <w:bCs/>
                <w:i/>
                <w:color w:val="000000" w:themeColor="text1"/>
                <w:sz w:val="20"/>
                <w:szCs w:val="20"/>
              </w:rPr>
              <w:t>Pax7</w:t>
            </w:r>
          </w:p>
        </w:tc>
        <w:tc>
          <w:tcPr>
            <w:tcW w:w="4302" w:type="dxa"/>
          </w:tcPr>
          <w:p w14:paraId="7EBA0E19" w14:textId="77777777" w:rsidR="00C82E65" w:rsidRPr="00505A7A" w:rsidRDefault="00C82E65" w:rsidP="0072155D">
            <w:pPr>
              <w:pStyle w:val="Heading3"/>
              <w:shd w:val="clear" w:color="auto" w:fill="FFFFFF"/>
              <w:spacing w:line="276" w:lineRule="auto"/>
              <w:jc w:val="both"/>
              <w:textAlignment w:val="baseline"/>
              <w:rPr>
                <w:rFonts w:ascii="Arial" w:hAnsi="Arial" w:cs="Arial"/>
                <w:b w:val="0"/>
                <w:bCs/>
                <w:color w:val="000000" w:themeColor="text1"/>
                <w:sz w:val="20"/>
                <w:szCs w:val="20"/>
              </w:rPr>
            </w:pPr>
            <w:r w:rsidRPr="00505A7A">
              <w:rPr>
                <w:rFonts w:ascii="Arial" w:hAnsi="Arial" w:cs="Arial"/>
                <w:b w:val="0"/>
                <w:bCs/>
                <w:color w:val="000000" w:themeColor="text1"/>
                <w:spacing w:val="8"/>
                <w:sz w:val="20"/>
                <w:szCs w:val="20"/>
              </w:rPr>
              <w:t>Assay ID: Mm01354484_m1</w:t>
            </w:r>
          </w:p>
        </w:tc>
        <w:tc>
          <w:tcPr>
            <w:tcW w:w="5150" w:type="dxa"/>
          </w:tcPr>
          <w:p w14:paraId="42BBBF55" w14:textId="0104268E" w:rsidR="00C82E65" w:rsidRPr="00505A7A" w:rsidRDefault="00BC305B"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_</w:t>
            </w:r>
          </w:p>
        </w:tc>
      </w:tr>
      <w:tr w:rsidR="00C57DAA" w:rsidRPr="00505A7A" w14:paraId="46B720BD" w14:textId="77777777" w:rsidTr="00B71BFB">
        <w:trPr>
          <w:trHeight w:val="323"/>
        </w:trPr>
        <w:tc>
          <w:tcPr>
            <w:tcW w:w="1253" w:type="dxa"/>
          </w:tcPr>
          <w:p w14:paraId="3FAB75F8" w14:textId="77777777" w:rsidR="00C82E65" w:rsidRPr="00505A7A" w:rsidRDefault="00C82E65" w:rsidP="0072155D">
            <w:pPr>
              <w:spacing w:line="276" w:lineRule="auto"/>
              <w:jc w:val="both"/>
              <w:rPr>
                <w:rFonts w:ascii="Arial" w:hAnsi="Arial" w:cs="Arial"/>
                <w:bCs/>
                <w:i/>
                <w:color w:val="000000" w:themeColor="text1"/>
                <w:sz w:val="20"/>
                <w:szCs w:val="20"/>
              </w:rPr>
            </w:pPr>
            <w:r w:rsidRPr="00505A7A">
              <w:rPr>
                <w:rFonts w:ascii="Arial" w:hAnsi="Arial" w:cs="Arial"/>
                <w:bCs/>
                <w:i/>
                <w:color w:val="000000" w:themeColor="text1"/>
                <w:sz w:val="20"/>
                <w:szCs w:val="20"/>
              </w:rPr>
              <w:t>Myod1</w:t>
            </w:r>
          </w:p>
        </w:tc>
        <w:tc>
          <w:tcPr>
            <w:tcW w:w="4302" w:type="dxa"/>
          </w:tcPr>
          <w:p w14:paraId="2FD97666" w14:textId="77777777" w:rsidR="00C82E65" w:rsidRPr="00505A7A" w:rsidRDefault="00C82E65" w:rsidP="0072155D">
            <w:pPr>
              <w:shd w:val="clear" w:color="auto" w:fill="FFFFFF"/>
              <w:spacing w:line="276" w:lineRule="auto"/>
              <w:jc w:val="both"/>
              <w:textAlignment w:val="baseline"/>
              <w:rPr>
                <w:rFonts w:ascii="Arial" w:hAnsi="Arial" w:cs="Arial"/>
                <w:bCs/>
                <w:color w:val="000000" w:themeColor="text1"/>
                <w:sz w:val="20"/>
                <w:szCs w:val="20"/>
              </w:rPr>
            </w:pPr>
            <w:r w:rsidRPr="00505A7A">
              <w:rPr>
                <w:rFonts w:ascii="Arial" w:eastAsia="Times New Roman" w:hAnsi="Arial" w:cs="Arial"/>
                <w:bCs/>
                <w:color w:val="000000" w:themeColor="text1"/>
                <w:spacing w:val="8"/>
                <w:sz w:val="20"/>
                <w:szCs w:val="20"/>
              </w:rPr>
              <w:t xml:space="preserve">Assay ID: </w:t>
            </w:r>
            <w:hyperlink r:id="rId16" w:tgtFrame="_blank" w:history="1">
              <w:r w:rsidRPr="00505A7A">
                <w:rPr>
                  <w:rFonts w:ascii="Arial" w:eastAsia="Times New Roman" w:hAnsi="Arial" w:cs="Arial"/>
                  <w:bCs/>
                  <w:color w:val="000000" w:themeColor="text1"/>
                  <w:spacing w:val="8"/>
                  <w:sz w:val="20"/>
                  <w:szCs w:val="20"/>
                </w:rPr>
                <w:t>Mm00440387_m1</w:t>
              </w:r>
            </w:hyperlink>
          </w:p>
        </w:tc>
        <w:tc>
          <w:tcPr>
            <w:tcW w:w="5150" w:type="dxa"/>
          </w:tcPr>
          <w:p w14:paraId="449FEF96" w14:textId="1747D7D3" w:rsidR="00C82E65" w:rsidRPr="00505A7A" w:rsidRDefault="00BC305B"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_</w:t>
            </w:r>
          </w:p>
        </w:tc>
      </w:tr>
      <w:tr w:rsidR="00C57DAA" w:rsidRPr="00505A7A" w14:paraId="5287757E" w14:textId="77777777" w:rsidTr="00B71BFB">
        <w:trPr>
          <w:trHeight w:val="308"/>
        </w:trPr>
        <w:tc>
          <w:tcPr>
            <w:tcW w:w="1253" w:type="dxa"/>
          </w:tcPr>
          <w:p w14:paraId="7A6FC4EE" w14:textId="77777777" w:rsidR="00C82E65" w:rsidRPr="00505A7A" w:rsidRDefault="00C82E65" w:rsidP="0072155D">
            <w:pPr>
              <w:pStyle w:val="ng-scope"/>
              <w:shd w:val="clear" w:color="auto" w:fill="FFFFFF"/>
              <w:spacing w:before="0" w:beforeAutospacing="0" w:after="0" w:afterAutospacing="0" w:line="276" w:lineRule="auto"/>
              <w:jc w:val="both"/>
              <w:textAlignment w:val="baseline"/>
              <w:rPr>
                <w:rFonts w:ascii="Arial" w:hAnsi="Arial" w:cs="Arial"/>
                <w:bCs/>
                <w:i/>
                <w:color w:val="000000" w:themeColor="text1"/>
                <w:sz w:val="20"/>
                <w:szCs w:val="20"/>
              </w:rPr>
            </w:pPr>
            <w:proofErr w:type="spellStart"/>
            <w:r w:rsidRPr="00505A7A">
              <w:rPr>
                <w:rStyle w:val="ng-binding"/>
                <w:rFonts w:ascii="Arial" w:hAnsi="Arial" w:cs="Arial"/>
                <w:bCs/>
                <w:i/>
                <w:color w:val="000000" w:themeColor="text1"/>
                <w:sz w:val="20"/>
                <w:szCs w:val="20"/>
              </w:rPr>
              <w:t>Vegfa</w:t>
            </w:r>
            <w:proofErr w:type="spellEnd"/>
          </w:p>
        </w:tc>
        <w:tc>
          <w:tcPr>
            <w:tcW w:w="4302" w:type="dxa"/>
          </w:tcPr>
          <w:p w14:paraId="2CE2C93C" w14:textId="77777777" w:rsidR="00C82E65" w:rsidRPr="00505A7A" w:rsidRDefault="00C82E65" w:rsidP="0072155D">
            <w:pPr>
              <w:pStyle w:val="Heading3"/>
              <w:shd w:val="clear" w:color="auto" w:fill="FFFFFF"/>
              <w:spacing w:line="276" w:lineRule="auto"/>
              <w:jc w:val="both"/>
              <w:textAlignment w:val="baseline"/>
              <w:rPr>
                <w:rFonts w:ascii="Arial" w:hAnsi="Arial" w:cs="Arial"/>
                <w:b w:val="0"/>
                <w:bCs/>
                <w:color w:val="000000" w:themeColor="text1"/>
                <w:sz w:val="20"/>
                <w:szCs w:val="20"/>
              </w:rPr>
            </w:pPr>
            <w:r w:rsidRPr="00505A7A">
              <w:rPr>
                <w:rFonts w:ascii="Arial" w:hAnsi="Arial" w:cs="Arial"/>
                <w:b w:val="0"/>
                <w:bCs/>
                <w:color w:val="000000" w:themeColor="text1"/>
                <w:spacing w:val="8"/>
                <w:sz w:val="20"/>
                <w:szCs w:val="20"/>
              </w:rPr>
              <w:t>Assay ID: Mm00437306_m1</w:t>
            </w:r>
          </w:p>
        </w:tc>
        <w:tc>
          <w:tcPr>
            <w:tcW w:w="5150" w:type="dxa"/>
          </w:tcPr>
          <w:p w14:paraId="134ED67F" w14:textId="3A2F8302" w:rsidR="00C82E65" w:rsidRPr="00505A7A" w:rsidRDefault="00BC305B"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_</w:t>
            </w:r>
          </w:p>
        </w:tc>
      </w:tr>
      <w:tr w:rsidR="00C57DAA" w:rsidRPr="00505A7A" w14:paraId="506E7D94" w14:textId="77777777" w:rsidTr="00B71BFB">
        <w:trPr>
          <w:trHeight w:val="308"/>
        </w:trPr>
        <w:tc>
          <w:tcPr>
            <w:tcW w:w="1253" w:type="dxa"/>
          </w:tcPr>
          <w:p w14:paraId="31B334D2" w14:textId="77777777" w:rsidR="00C82E65" w:rsidRPr="00505A7A" w:rsidRDefault="00C82E65" w:rsidP="0072155D">
            <w:pPr>
              <w:spacing w:line="276" w:lineRule="auto"/>
              <w:jc w:val="both"/>
              <w:rPr>
                <w:rFonts w:ascii="Arial" w:hAnsi="Arial" w:cs="Arial"/>
                <w:bCs/>
                <w:i/>
                <w:color w:val="000000" w:themeColor="text1"/>
                <w:sz w:val="20"/>
                <w:szCs w:val="20"/>
              </w:rPr>
            </w:pPr>
            <w:proofErr w:type="spellStart"/>
            <w:r w:rsidRPr="00505A7A">
              <w:rPr>
                <w:rFonts w:ascii="Arial" w:hAnsi="Arial" w:cs="Arial"/>
                <w:bCs/>
                <w:i/>
                <w:color w:val="000000" w:themeColor="text1"/>
                <w:sz w:val="20"/>
                <w:szCs w:val="20"/>
              </w:rPr>
              <w:t>Ncl</w:t>
            </w:r>
            <w:proofErr w:type="spellEnd"/>
          </w:p>
        </w:tc>
        <w:tc>
          <w:tcPr>
            <w:tcW w:w="4302" w:type="dxa"/>
          </w:tcPr>
          <w:p w14:paraId="42FE3228" w14:textId="77777777" w:rsidR="00C82E65" w:rsidRPr="00505A7A" w:rsidRDefault="00C82E65" w:rsidP="0072155D">
            <w:pPr>
              <w:pStyle w:val="Heading3"/>
              <w:shd w:val="clear" w:color="auto" w:fill="FFFFFF"/>
              <w:spacing w:line="276" w:lineRule="auto"/>
              <w:jc w:val="both"/>
              <w:textAlignment w:val="baseline"/>
              <w:rPr>
                <w:rFonts w:ascii="Arial" w:hAnsi="Arial" w:cs="Arial"/>
                <w:b w:val="0"/>
                <w:bCs/>
                <w:color w:val="000000" w:themeColor="text1"/>
                <w:sz w:val="20"/>
                <w:szCs w:val="20"/>
              </w:rPr>
            </w:pPr>
            <w:r w:rsidRPr="00505A7A">
              <w:rPr>
                <w:rFonts w:ascii="Arial" w:hAnsi="Arial" w:cs="Arial"/>
                <w:b w:val="0"/>
                <w:bCs/>
                <w:color w:val="000000" w:themeColor="text1"/>
                <w:spacing w:val="8"/>
                <w:sz w:val="20"/>
                <w:szCs w:val="20"/>
              </w:rPr>
              <w:t>Assay ID: Mm01290600_g1</w:t>
            </w:r>
          </w:p>
        </w:tc>
        <w:tc>
          <w:tcPr>
            <w:tcW w:w="5150" w:type="dxa"/>
          </w:tcPr>
          <w:p w14:paraId="2CD70884" w14:textId="4BC1C266" w:rsidR="00C82E65" w:rsidRPr="00505A7A" w:rsidRDefault="00BC305B"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_</w:t>
            </w:r>
          </w:p>
        </w:tc>
      </w:tr>
      <w:tr w:rsidR="00C57DAA" w:rsidRPr="00505A7A" w14:paraId="327A5948" w14:textId="77777777" w:rsidTr="00B71BFB">
        <w:trPr>
          <w:trHeight w:val="308"/>
        </w:trPr>
        <w:tc>
          <w:tcPr>
            <w:tcW w:w="1253" w:type="dxa"/>
          </w:tcPr>
          <w:p w14:paraId="39D47780" w14:textId="77777777" w:rsidR="00C82E65" w:rsidRPr="00505A7A" w:rsidRDefault="00C82E65" w:rsidP="0072155D">
            <w:pPr>
              <w:shd w:val="clear" w:color="auto" w:fill="FFFFFF"/>
              <w:spacing w:line="276" w:lineRule="auto"/>
              <w:jc w:val="both"/>
              <w:textAlignment w:val="baseline"/>
              <w:rPr>
                <w:rFonts w:ascii="Arial" w:hAnsi="Arial" w:cs="Arial"/>
                <w:bCs/>
                <w:i/>
                <w:color w:val="000000" w:themeColor="text1"/>
                <w:sz w:val="20"/>
                <w:szCs w:val="20"/>
              </w:rPr>
            </w:pPr>
            <w:proofErr w:type="spellStart"/>
            <w:r w:rsidRPr="00505A7A">
              <w:rPr>
                <w:rFonts w:ascii="Arial" w:eastAsia="Times New Roman" w:hAnsi="Arial" w:cs="Arial"/>
                <w:bCs/>
                <w:i/>
                <w:color w:val="000000" w:themeColor="text1"/>
                <w:sz w:val="20"/>
                <w:szCs w:val="20"/>
              </w:rPr>
              <w:t>Actb</w:t>
            </w:r>
            <w:proofErr w:type="spellEnd"/>
          </w:p>
        </w:tc>
        <w:tc>
          <w:tcPr>
            <w:tcW w:w="4302" w:type="dxa"/>
          </w:tcPr>
          <w:p w14:paraId="26F93016" w14:textId="77777777" w:rsidR="00C82E65" w:rsidRPr="00505A7A" w:rsidRDefault="00C82E65" w:rsidP="0072155D">
            <w:pPr>
              <w:pStyle w:val="Heading3"/>
              <w:shd w:val="clear" w:color="auto" w:fill="FFFFFF"/>
              <w:spacing w:line="276" w:lineRule="auto"/>
              <w:jc w:val="both"/>
              <w:textAlignment w:val="baseline"/>
              <w:rPr>
                <w:rFonts w:ascii="Arial" w:hAnsi="Arial" w:cs="Arial"/>
                <w:b w:val="0"/>
                <w:bCs/>
                <w:color w:val="000000" w:themeColor="text1"/>
                <w:spacing w:val="8"/>
                <w:sz w:val="20"/>
                <w:szCs w:val="20"/>
              </w:rPr>
            </w:pPr>
            <w:r w:rsidRPr="00505A7A">
              <w:rPr>
                <w:rFonts w:ascii="Arial" w:hAnsi="Arial" w:cs="Arial"/>
                <w:b w:val="0"/>
                <w:bCs/>
                <w:color w:val="000000" w:themeColor="text1"/>
                <w:spacing w:val="8"/>
                <w:sz w:val="20"/>
                <w:szCs w:val="20"/>
              </w:rPr>
              <w:t>Assay ID: Mm02619580_g1</w:t>
            </w:r>
          </w:p>
        </w:tc>
        <w:tc>
          <w:tcPr>
            <w:tcW w:w="5150" w:type="dxa"/>
          </w:tcPr>
          <w:p w14:paraId="40B67384" w14:textId="634B9CF8" w:rsidR="00C82E65" w:rsidRPr="00505A7A" w:rsidRDefault="00BC305B"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_</w:t>
            </w:r>
          </w:p>
        </w:tc>
      </w:tr>
      <w:tr w:rsidR="00C82E65" w:rsidRPr="00505A7A" w14:paraId="413F640C" w14:textId="77777777" w:rsidTr="00B71BFB">
        <w:trPr>
          <w:trHeight w:val="96"/>
        </w:trPr>
        <w:tc>
          <w:tcPr>
            <w:tcW w:w="1253" w:type="dxa"/>
            <w:tcBorders>
              <w:bottom w:val="single" w:sz="8" w:space="0" w:color="auto"/>
            </w:tcBorders>
          </w:tcPr>
          <w:p w14:paraId="1AC00031" w14:textId="77777777" w:rsidR="00C82E65" w:rsidRPr="00505A7A" w:rsidRDefault="00C82E65" w:rsidP="0072155D">
            <w:pPr>
              <w:shd w:val="clear" w:color="auto" w:fill="FFFFFF"/>
              <w:spacing w:line="276" w:lineRule="auto"/>
              <w:jc w:val="both"/>
              <w:textAlignment w:val="baseline"/>
              <w:rPr>
                <w:rFonts w:ascii="Arial" w:eastAsia="Times New Roman" w:hAnsi="Arial" w:cs="Arial"/>
                <w:bCs/>
                <w:i/>
                <w:color w:val="000000" w:themeColor="text1"/>
                <w:sz w:val="20"/>
                <w:szCs w:val="20"/>
              </w:rPr>
            </w:pPr>
            <w:proofErr w:type="spellStart"/>
            <w:r w:rsidRPr="00505A7A">
              <w:rPr>
                <w:rFonts w:ascii="Arial" w:eastAsia="Times New Roman" w:hAnsi="Arial" w:cs="Arial"/>
                <w:bCs/>
                <w:i/>
                <w:color w:val="000000" w:themeColor="text1"/>
                <w:sz w:val="20"/>
                <w:szCs w:val="20"/>
              </w:rPr>
              <w:t>Gapdh</w:t>
            </w:r>
            <w:proofErr w:type="spellEnd"/>
          </w:p>
        </w:tc>
        <w:tc>
          <w:tcPr>
            <w:tcW w:w="4302" w:type="dxa"/>
            <w:tcBorders>
              <w:bottom w:val="single" w:sz="8" w:space="0" w:color="auto"/>
            </w:tcBorders>
          </w:tcPr>
          <w:p w14:paraId="52D413E4" w14:textId="77777777" w:rsidR="00C82E65" w:rsidRPr="00505A7A" w:rsidRDefault="00C82E65" w:rsidP="0072155D">
            <w:pPr>
              <w:pStyle w:val="Heading3"/>
              <w:shd w:val="clear" w:color="auto" w:fill="FFFFFF"/>
              <w:spacing w:line="276" w:lineRule="auto"/>
              <w:jc w:val="both"/>
              <w:textAlignment w:val="baseline"/>
              <w:rPr>
                <w:rFonts w:ascii="Arial" w:hAnsi="Arial" w:cs="Arial"/>
                <w:b w:val="0"/>
                <w:bCs/>
                <w:color w:val="000000" w:themeColor="text1"/>
                <w:spacing w:val="8"/>
                <w:sz w:val="20"/>
                <w:szCs w:val="20"/>
              </w:rPr>
            </w:pPr>
            <w:r w:rsidRPr="00505A7A">
              <w:rPr>
                <w:rFonts w:ascii="Arial" w:hAnsi="Arial" w:cs="Arial"/>
                <w:b w:val="0"/>
                <w:bCs/>
                <w:color w:val="000000" w:themeColor="text1"/>
                <w:spacing w:val="8"/>
                <w:sz w:val="20"/>
                <w:szCs w:val="20"/>
              </w:rPr>
              <w:t>Assay ID: Mm99999915_g1</w:t>
            </w:r>
          </w:p>
        </w:tc>
        <w:tc>
          <w:tcPr>
            <w:tcW w:w="5150" w:type="dxa"/>
            <w:tcBorders>
              <w:bottom w:val="single" w:sz="8" w:space="0" w:color="auto"/>
            </w:tcBorders>
          </w:tcPr>
          <w:p w14:paraId="2D0C0598" w14:textId="66D1AEBB" w:rsidR="00C82E65" w:rsidRPr="00505A7A" w:rsidRDefault="00BC305B" w:rsidP="0072155D">
            <w:pPr>
              <w:spacing w:line="276" w:lineRule="auto"/>
              <w:jc w:val="both"/>
              <w:rPr>
                <w:rFonts w:ascii="Arial" w:hAnsi="Arial" w:cs="Arial"/>
                <w:bCs/>
                <w:color w:val="000000" w:themeColor="text1"/>
                <w:sz w:val="20"/>
                <w:szCs w:val="20"/>
              </w:rPr>
            </w:pPr>
            <w:r w:rsidRPr="00505A7A">
              <w:rPr>
                <w:rFonts w:ascii="Arial" w:hAnsi="Arial" w:cs="Arial"/>
                <w:bCs/>
                <w:color w:val="000000" w:themeColor="text1"/>
                <w:sz w:val="20"/>
                <w:szCs w:val="20"/>
              </w:rPr>
              <w:t>_</w:t>
            </w:r>
          </w:p>
        </w:tc>
      </w:tr>
    </w:tbl>
    <w:p w14:paraId="6C96BED5" w14:textId="4B2FC6DA" w:rsidR="00820484" w:rsidRPr="00505A7A" w:rsidRDefault="00F514EC" w:rsidP="0072155D">
      <w:pPr>
        <w:pStyle w:val="SMcaption"/>
        <w:spacing w:line="276" w:lineRule="auto"/>
        <w:jc w:val="both"/>
        <w:rPr>
          <w:rFonts w:ascii="Arial" w:hAnsi="Arial" w:cs="Arial"/>
          <w:b/>
          <w:color w:val="000000" w:themeColor="text1"/>
          <w:sz w:val="22"/>
          <w:szCs w:val="22"/>
        </w:rPr>
      </w:pPr>
      <w:r w:rsidRPr="00505A7A">
        <w:rPr>
          <w:rFonts w:ascii="Arial" w:hAnsi="Arial" w:cs="Arial"/>
          <w:b/>
          <w:color w:val="000000" w:themeColor="text1"/>
          <w:sz w:val="22"/>
          <w:szCs w:val="22"/>
        </w:rPr>
        <w:lastRenderedPageBreak/>
        <w:t xml:space="preserve">SI </w:t>
      </w:r>
      <w:r w:rsidR="00820484" w:rsidRPr="00505A7A">
        <w:rPr>
          <w:rFonts w:ascii="Arial" w:hAnsi="Arial" w:cs="Arial"/>
          <w:b/>
          <w:color w:val="000000" w:themeColor="text1"/>
          <w:sz w:val="22"/>
          <w:szCs w:val="22"/>
        </w:rPr>
        <w:t>References</w:t>
      </w:r>
    </w:p>
    <w:p w14:paraId="6EA2C11B" w14:textId="76E4C6E4" w:rsidR="00004C0A" w:rsidRPr="00505A7A" w:rsidRDefault="00C82E65"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color w:val="000000" w:themeColor="text1"/>
          <w:sz w:val="22"/>
          <w:szCs w:val="22"/>
          <w:shd w:val="clear" w:color="auto" w:fill="FFFFFF"/>
        </w:rPr>
        <w:fldChar w:fldCharType="begin" w:fldLock="1"/>
      </w:r>
      <w:r w:rsidRPr="00505A7A">
        <w:rPr>
          <w:rFonts w:ascii="Arial" w:hAnsi="Arial" w:cs="Arial"/>
          <w:color w:val="000000" w:themeColor="text1"/>
          <w:sz w:val="22"/>
          <w:szCs w:val="22"/>
          <w:shd w:val="clear" w:color="auto" w:fill="FFFFFF"/>
        </w:rPr>
        <w:instrText xml:space="preserve">ADDIN Mendeley Bibliography CSL_BIBLIOGRAPHY </w:instrText>
      </w:r>
      <w:r w:rsidRPr="00505A7A">
        <w:rPr>
          <w:rFonts w:ascii="Arial" w:hAnsi="Arial" w:cs="Arial"/>
          <w:color w:val="000000" w:themeColor="text1"/>
          <w:sz w:val="22"/>
          <w:szCs w:val="22"/>
          <w:shd w:val="clear" w:color="auto" w:fill="FFFFFF"/>
        </w:rPr>
        <w:fldChar w:fldCharType="separate"/>
      </w:r>
      <w:r w:rsidR="00004C0A" w:rsidRPr="00505A7A">
        <w:rPr>
          <w:rFonts w:ascii="Arial" w:hAnsi="Arial" w:cs="Arial"/>
          <w:noProof/>
          <w:color w:val="000000" w:themeColor="text1"/>
          <w:sz w:val="22"/>
          <w:szCs w:val="28"/>
        </w:rPr>
        <w:t>[1]</w:t>
      </w:r>
      <w:r w:rsidR="00004C0A" w:rsidRPr="00505A7A">
        <w:rPr>
          <w:rFonts w:ascii="Arial" w:hAnsi="Arial" w:cs="Arial"/>
          <w:noProof/>
          <w:color w:val="000000" w:themeColor="text1"/>
          <w:sz w:val="22"/>
          <w:szCs w:val="28"/>
        </w:rPr>
        <w:tab/>
        <w:t xml:space="preserve">G. E. Truett, P. Heeger, R. L. Mynatt, A. A. Truett, J. A. Walker, and M. L. Warman, “Preparation of PCR-quality mouse genomic dna with hot sodium hydroxide and tris (HotSHOT),” </w:t>
      </w:r>
      <w:r w:rsidR="00004C0A" w:rsidRPr="00505A7A">
        <w:rPr>
          <w:rFonts w:ascii="Arial" w:hAnsi="Arial" w:cs="Arial"/>
          <w:i/>
          <w:iCs/>
          <w:noProof/>
          <w:color w:val="000000" w:themeColor="text1"/>
          <w:sz w:val="22"/>
          <w:szCs w:val="28"/>
        </w:rPr>
        <w:t>Biotechniques</w:t>
      </w:r>
      <w:r w:rsidR="00004C0A" w:rsidRPr="00505A7A">
        <w:rPr>
          <w:rFonts w:ascii="Arial" w:hAnsi="Arial" w:cs="Arial"/>
          <w:noProof/>
          <w:color w:val="000000" w:themeColor="text1"/>
          <w:sz w:val="22"/>
          <w:szCs w:val="28"/>
        </w:rPr>
        <w:t>, vol. 29, no. 1, pp. 52–54, 2000.</w:t>
      </w:r>
    </w:p>
    <w:p w14:paraId="74D72B68"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[2]</w:t>
      </w:r>
      <w:r w:rsidRPr="00505A7A">
        <w:rPr>
          <w:rFonts w:ascii="Arial" w:hAnsi="Arial" w:cs="Arial"/>
          <w:noProof/>
          <w:color w:val="000000" w:themeColor="text1"/>
          <w:sz w:val="22"/>
          <w:szCs w:val="28"/>
        </w:rPr>
        <w:tab/>
        <w:t xml:space="preserve">C. Kasemkijwattana </w:t>
      </w:r>
      <w:r w:rsidRPr="00505A7A">
        <w:rPr>
          <w:rFonts w:ascii="Arial" w:hAnsi="Arial" w:cs="Arial"/>
          <w:i/>
          <w:iCs/>
          <w:noProof/>
          <w:color w:val="000000" w:themeColor="text1"/>
          <w:sz w:val="22"/>
          <w:szCs w:val="28"/>
        </w:rPr>
        <w:t>et al.</w:t>
      </w:r>
      <w:r w:rsidRPr="00505A7A">
        <w:rPr>
          <w:rFonts w:ascii="Arial" w:hAnsi="Arial" w:cs="Arial"/>
          <w:noProof/>
          <w:color w:val="000000" w:themeColor="text1"/>
          <w:sz w:val="22"/>
          <w:szCs w:val="28"/>
        </w:rPr>
        <w:t xml:space="preserve">, “Development of approaches to improve the healing following muscle contusion,” </w:t>
      </w:r>
      <w:r w:rsidRPr="00505A7A">
        <w:rPr>
          <w:rFonts w:ascii="Arial" w:hAnsi="Arial" w:cs="Arial"/>
          <w:i/>
          <w:iCs/>
          <w:noProof/>
          <w:color w:val="000000" w:themeColor="text1"/>
          <w:sz w:val="22"/>
          <w:szCs w:val="28"/>
        </w:rPr>
        <w:t>Cell Transplant.</w:t>
      </w:r>
      <w:r w:rsidRPr="00505A7A">
        <w:rPr>
          <w:rFonts w:ascii="Arial" w:hAnsi="Arial" w:cs="Arial"/>
          <w:noProof/>
          <w:color w:val="000000" w:themeColor="text1"/>
          <w:sz w:val="22"/>
          <w:szCs w:val="28"/>
        </w:rPr>
        <w:t>, vol. 7, no. 6, pp. 585–598, Nov. 1998.</w:t>
      </w:r>
    </w:p>
    <w:p w14:paraId="7DA925B2"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[3]</w:t>
      </w:r>
      <w:r w:rsidRPr="00505A7A">
        <w:rPr>
          <w:rFonts w:ascii="Arial" w:hAnsi="Arial" w:cs="Arial"/>
          <w:noProof/>
          <w:color w:val="000000" w:themeColor="text1"/>
          <w:sz w:val="22"/>
          <w:szCs w:val="28"/>
        </w:rPr>
        <w:tab/>
        <w:t xml:space="preserve">L. Martins </w:t>
      </w:r>
      <w:r w:rsidRPr="00505A7A">
        <w:rPr>
          <w:rFonts w:ascii="Arial" w:hAnsi="Arial" w:cs="Arial"/>
          <w:i/>
          <w:iCs/>
          <w:noProof/>
          <w:color w:val="000000" w:themeColor="text1"/>
          <w:sz w:val="22"/>
          <w:szCs w:val="28"/>
        </w:rPr>
        <w:t>et al.</w:t>
      </w:r>
      <w:r w:rsidRPr="00505A7A">
        <w:rPr>
          <w:rFonts w:ascii="Arial" w:hAnsi="Arial" w:cs="Arial"/>
          <w:noProof/>
          <w:color w:val="000000" w:themeColor="text1"/>
          <w:sz w:val="22"/>
          <w:szCs w:val="28"/>
        </w:rPr>
        <w:t xml:space="preserve">, “Skeletal muscle healing by M1-like macrophages produced by transient expression of exogenous GM-CSF,” </w:t>
      </w:r>
      <w:r w:rsidRPr="00505A7A">
        <w:rPr>
          <w:rFonts w:ascii="Arial" w:hAnsi="Arial" w:cs="Arial"/>
          <w:i/>
          <w:iCs/>
          <w:noProof/>
          <w:color w:val="000000" w:themeColor="text1"/>
          <w:sz w:val="22"/>
          <w:szCs w:val="28"/>
        </w:rPr>
        <w:t>Stem Cell Res. Ther.</w:t>
      </w:r>
      <w:r w:rsidRPr="00505A7A">
        <w:rPr>
          <w:rFonts w:ascii="Arial" w:hAnsi="Arial" w:cs="Arial"/>
          <w:noProof/>
          <w:color w:val="000000" w:themeColor="text1"/>
          <w:sz w:val="22"/>
          <w:szCs w:val="28"/>
        </w:rPr>
        <w:t>, vol. 11, no. 1, p. 473, Dec. 2020.</w:t>
      </w:r>
    </w:p>
    <w:p w14:paraId="5D1813AD"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[4]</w:t>
      </w:r>
      <w:r w:rsidRPr="00505A7A">
        <w:rPr>
          <w:rFonts w:ascii="Arial" w:hAnsi="Arial" w:cs="Arial"/>
          <w:noProof/>
          <w:color w:val="000000" w:themeColor="text1"/>
          <w:sz w:val="22"/>
          <w:szCs w:val="28"/>
        </w:rPr>
        <w:tab/>
        <w:t xml:space="preserve">W. Shen, Y. Li, Y. Tang, J. Cummins, and J. Huard, “NS-398, a cyclooxygenase-2-specific inhibitor, delays skeletal muscle healing by decreasing regeneration and promoting fibrosis,” </w:t>
      </w:r>
      <w:r w:rsidRPr="00505A7A">
        <w:rPr>
          <w:rFonts w:ascii="Arial" w:hAnsi="Arial" w:cs="Arial"/>
          <w:i/>
          <w:iCs/>
          <w:noProof/>
          <w:color w:val="000000" w:themeColor="text1"/>
          <w:sz w:val="22"/>
          <w:szCs w:val="28"/>
        </w:rPr>
        <w:t>Am. J. Pathol.</w:t>
      </w:r>
      <w:r w:rsidRPr="00505A7A">
        <w:rPr>
          <w:rFonts w:ascii="Arial" w:hAnsi="Arial" w:cs="Arial"/>
          <w:noProof/>
          <w:color w:val="000000" w:themeColor="text1"/>
          <w:sz w:val="22"/>
          <w:szCs w:val="28"/>
        </w:rPr>
        <w:t>, vol. 167, no. 4, pp. 1105–1117, 2005.</w:t>
      </w:r>
    </w:p>
    <w:p w14:paraId="7FB7B0FB"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[5]</w:t>
      </w:r>
      <w:r w:rsidRPr="00505A7A">
        <w:rPr>
          <w:rFonts w:ascii="Arial" w:hAnsi="Arial" w:cs="Arial"/>
          <w:noProof/>
          <w:color w:val="000000" w:themeColor="text1"/>
          <w:sz w:val="22"/>
          <w:szCs w:val="28"/>
        </w:rPr>
        <w:tab/>
        <w:t xml:space="preserve">W. Foster, Y. Li, A. Usas, G. Somogyi, and J. Huard, “Gamma interferon as an antifibrosis agent in skeletal muscle,” </w:t>
      </w:r>
      <w:r w:rsidRPr="00505A7A">
        <w:rPr>
          <w:rFonts w:ascii="Arial" w:hAnsi="Arial" w:cs="Arial"/>
          <w:i/>
          <w:iCs/>
          <w:noProof/>
          <w:color w:val="000000" w:themeColor="text1"/>
          <w:sz w:val="22"/>
          <w:szCs w:val="28"/>
        </w:rPr>
        <w:t>J. Orthop. Res.</w:t>
      </w:r>
      <w:r w:rsidRPr="00505A7A">
        <w:rPr>
          <w:rFonts w:ascii="Arial" w:hAnsi="Arial" w:cs="Arial"/>
          <w:noProof/>
          <w:color w:val="000000" w:themeColor="text1"/>
          <w:sz w:val="22"/>
          <w:szCs w:val="28"/>
        </w:rPr>
        <w:t>, vol. 21, no. 5, pp. 798–804, Sep. 2003.</w:t>
      </w:r>
    </w:p>
    <w:p w14:paraId="450D84EB"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[6]</w:t>
      </w:r>
      <w:r w:rsidRPr="00505A7A">
        <w:rPr>
          <w:rFonts w:ascii="Arial" w:hAnsi="Arial" w:cs="Arial"/>
          <w:noProof/>
          <w:color w:val="000000" w:themeColor="text1"/>
          <w:sz w:val="22"/>
          <w:szCs w:val="28"/>
        </w:rPr>
        <w:tab/>
        <w:t xml:space="preserve">K. Fukushima, N. Badlani, A. Usas, F. Riano, F. H. Fu, and J. Huard, “The use of an antifibrosis agent to improve muscle recovery after laceration,” </w:t>
      </w:r>
      <w:r w:rsidRPr="00505A7A">
        <w:rPr>
          <w:rFonts w:ascii="Arial" w:hAnsi="Arial" w:cs="Arial"/>
          <w:i/>
          <w:iCs/>
          <w:noProof/>
          <w:color w:val="000000" w:themeColor="text1"/>
          <w:sz w:val="22"/>
          <w:szCs w:val="28"/>
        </w:rPr>
        <w:t>Am. J. Sports Med.</w:t>
      </w:r>
      <w:r w:rsidRPr="00505A7A">
        <w:rPr>
          <w:rFonts w:ascii="Arial" w:hAnsi="Arial" w:cs="Arial"/>
          <w:noProof/>
          <w:color w:val="000000" w:themeColor="text1"/>
          <w:sz w:val="22"/>
          <w:szCs w:val="28"/>
        </w:rPr>
        <w:t>, vol. 29, no. 4, pp. 394–402, 2001.</w:t>
      </w:r>
    </w:p>
    <w:p w14:paraId="32B10F67"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[7]</w:t>
      </w:r>
      <w:r w:rsidRPr="00505A7A">
        <w:rPr>
          <w:rFonts w:ascii="Arial" w:hAnsi="Arial" w:cs="Arial"/>
          <w:noProof/>
          <w:color w:val="000000" w:themeColor="text1"/>
          <w:sz w:val="22"/>
          <w:szCs w:val="28"/>
        </w:rPr>
        <w:tab/>
        <w:t xml:space="preserve">J. M. G. S. C Kasemkijwattana, “Development of approaches to improve the healing following muscle contusion,” </w:t>
      </w:r>
      <w:r w:rsidRPr="00505A7A">
        <w:rPr>
          <w:rFonts w:ascii="Arial" w:hAnsi="Arial" w:cs="Arial"/>
          <w:i/>
          <w:iCs/>
          <w:noProof/>
          <w:color w:val="000000" w:themeColor="text1"/>
          <w:sz w:val="22"/>
          <w:szCs w:val="28"/>
        </w:rPr>
        <w:t>Cell Transpl.</w:t>
      </w:r>
      <w:r w:rsidRPr="00505A7A">
        <w:rPr>
          <w:rFonts w:ascii="Arial" w:hAnsi="Arial" w:cs="Arial"/>
          <w:noProof/>
          <w:color w:val="000000" w:themeColor="text1"/>
          <w:sz w:val="22"/>
          <w:szCs w:val="28"/>
        </w:rPr>
        <w:t>, vol. 7, pp. 585–598, 1998.</w:t>
      </w:r>
    </w:p>
    <w:p w14:paraId="4DA8A8B3"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[8]</w:t>
      </w:r>
      <w:r w:rsidRPr="00505A7A">
        <w:rPr>
          <w:rFonts w:ascii="Arial" w:hAnsi="Arial" w:cs="Arial"/>
          <w:noProof/>
          <w:color w:val="000000" w:themeColor="text1"/>
          <w:sz w:val="22"/>
          <w:szCs w:val="28"/>
        </w:rPr>
        <w:tab/>
        <w:t xml:space="preserve">F. F. Cunha, L. Martins, P. K. M. Martin, R. S. Stilhano, and S. W. Han, “A comparison of the reparative and angiogenic properties of mesenchymal stem cells derived from the bone marrow of BALB/c and C57/BL6 mice in a model of limb ischemia,” </w:t>
      </w:r>
      <w:r w:rsidRPr="00505A7A">
        <w:rPr>
          <w:rFonts w:ascii="Arial" w:hAnsi="Arial" w:cs="Arial"/>
          <w:i/>
          <w:iCs/>
          <w:noProof/>
          <w:color w:val="000000" w:themeColor="text1"/>
          <w:sz w:val="22"/>
          <w:szCs w:val="28"/>
        </w:rPr>
        <w:t>Stem Cell Res. Ther.</w:t>
      </w:r>
      <w:r w:rsidRPr="00505A7A">
        <w:rPr>
          <w:rFonts w:ascii="Arial" w:hAnsi="Arial" w:cs="Arial"/>
          <w:noProof/>
          <w:color w:val="000000" w:themeColor="text1"/>
          <w:sz w:val="22"/>
          <w:szCs w:val="28"/>
        </w:rPr>
        <w:t>, vol. 4, no. 4, p. 86, 2013.</w:t>
      </w:r>
    </w:p>
    <w:p w14:paraId="5A5CC367"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[9]</w:t>
      </w:r>
      <w:r w:rsidRPr="00505A7A">
        <w:rPr>
          <w:rFonts w:ascii="Arial" w:hAnsi="Arial" w:cs="Arial"/>
          <w:noProof/>
          <w:color w:val="000000" w:themeColor="text1"/>
          <w:sz w:val="22"/>
          <w:szCs w:val="28"/>
        </w:rPr>
        <w:tab/>
        <w:t xml:space="preserve">G. Li, H. Peng, K. Corsi, A. Usas, A. Olshanski, and J. Huard, “Differential Effect of BMP4 on NIH/3T3 and C2C12 Cells: Implications for Endochondral Bone Formation,” </w:t>
      </w:r>
      <w:r w:rsidRPr="00505A7A">
        <w:rPr>
          <w:rFonts w:ascii="Arial" w:hAnsi="Arial" w:cs="Arial"/>
          <w:i/>
          <w:iCs/>
          <w:noProof/>
          <w:color w:val="000000" w:themeColor="text1"/>
          <w:sz w:val="22"/>
          <w:szCs w:val="28"/>
        </w:rPr>
        <w:t>J. Bone Miner. Res.</w:t>
      </w:r>
      <w:r w:rsidRPr="00505A7A">
        <w:rPr>
          <w:rFonts w:ascii="Arial" w:hAnsi="Arial" w:cs="Arial"/>
          <w:noProof/>
          <w:color w:val="000000" w:themeColor="text1"/>
          <w:sz w:val="22"/>
          <w:szCs w:val="28"/>
        </w:rPr>
        <w:t>, vol. 20, no. 9, pp. 1611–1623, Sep. 2005.</w:t>
      </w:r>
    </w:p>
    <w:p w14:paraId="33C1213B"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[10]</w:t>
      </w:r>
      <w:r w:rsidRPr="00505A7A">
        <w:rPr>
          <w:rFonts w:ascii="Arial" w:hAnsi="Arial" w:cs="Arial"/>
          <w:noProof/>
          <w:color w:val="000000" w:themeColor="text1"/>
          <w:sz w:val="22"/>
          <w:szCs w:val="28"/>
        </w:rPr>
        <w:tab/>
        <w:t xml:space="preserve">C. S. Day </w:t>
      </w:r>
      <w:r w:rsidRPr="00505A7A">
        <w:rPr>
          <w:rFonts w:ascii="Arial" w:hAnsi="Arial" w:cs="Arial"/>
          <w:i/>
          <w:iCs/>
          <w:noProof/>
          <w:color w:val="000000" w:themeColor="text1"/>
          <w:sz w:val="22"/>
          <w:szCs w:val="28"/>
        </w:rPr>
        <w:t>et al.</w:t>
      </w:r>
      <w:r w:rsidRPr="00505A7A">
        <w:rPr>
          <w:rFonts w:ascii="Arial" w:hAnsi="Arial" w:cs="Arial"/>
          <w:noProof/>
          <w:color w:val="000000" w:themeColor="text1"/>
          <w:sz w:val="22"/>
          <w:szCs w:val="28"/>
        </w:rPr>
        <w:t xml:space="preserve">, “Use of Muscle Cells to Mediate Gene Transfer to the Bone Defect,” </w:t>
      </w:r>
      <w:r w:rsidRPr="00505A7A">
        <w:rPr>
          <w:rFonts w:ascii="Arial" w:hAnsi="Arial" w:cs="Arial"/>
          <w:i/>
          <w:iCs/>
          <w:noProof/>
          <w:color w:val="000000" w:themeColor="text1"/>
          <w:sz w:val="22"/>
          <w:szCs w:val="28"/>
        </w:rPr>
        <w:t>https://home.liebertpub.com/ten</w:t>
      </w:r>
      <w:r w:rsidRPr="00505A7A">
        <w:rPr>
          <w:rFonts w:ascii="Arial" w:hAnsi="Arial" w:cs="Arial"/>
          <w:noProof/>
          <w:color w:val="000000" w:themeColor="text1"/>
          <w:sz w:val="22"/>
          <w:szCs w:val="28"/>
        </w:rPr>
        <w:t>, vol. 5, no. 2, pp. 119–125, Jan. 2007.</w:t>
      </w:r>
    </w:p>
    <w:p w14:paraId="1324B3F8"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[11]</w:t>
      </w:r>
      <w:r w:rsidRPr="00505A7A">
        <w:rPr>
          <w:rFonts w:ascii="Arial" w:hAnsi="Arial" w:cs="Arial"/>
          <w:noProof/>
          <w:color w:val="000000" w:themeColor="text1"/>
          <w:sz w:val="22"/>
          <w:szCs w:val="28"/>
        </w:rPr>
        <w:tab/>
        <w:t xml:space="preserve">J. Y. Lee </w:t>
      </w:r>
      <w:r w:rsidRPr="00505A7A">
        <w:rPr>
          <w:rFonts w:ascii="Arial" w:hAnsi="Arial" w:cs="Arial"/>
          <w:i/>
          <w:iCs/>
          <w:noProof/>
          <w:color w:val="000000" w:themeColor="text1"/>
          <w:sz w:val="22"/>
          <w:szCs w:val="28"/>
        </w:rPr>
        <w:t>et al.</w:t>
      </w:r>
      <w:r w:rsidRPr="00505A7A">
        <w:rPr>
          <w:rFonts w:ascii="Arial" w:hAnsi="Arial" w:cs="Arial"/>
          <w:noProof/>
          <w:color w:val="000000" w:themeColor="text1"/>
          <w:sz w:val="22"/>
          <w:szCs w:val="28"/>
        </w:rPr>
        <w:t xml:space="preserve">, “Enhancement of Bone Healing Based on </w:t>
      </w:r>
      <w:r w:rsidRPr="00882FE6">
        <w:rPr>
          <w:rFonts w:ascii="Arial" w:hAnsi="Arial" w:cs="Arial"/>
          <w:i/>
          <w:iCs/>
          <w:noProof/>
          <w:color w:val="000000" w:themeColor="text1"/>
          <w:sz w:val="22"/>
          <w:szCs w:val="28"/>
        </w:rPr>
        <w:t>Ex Vivo</w:t>
      </w:r>
      <w:r w:rsidRPr="00505A7A">
        <w:rPr>
          <w:rFonts w:ascii="Arial" w:hAnsi="Arial" w:cs="Arial"/>
          <w:noProof/>
          <w:color w:val="000000" w:themeColor="text1"/>
          <w:sz w:val="22"/>
          <w:szCs w:val="28"/>
        </w:rPr>
        <w:t xml:space="preserve"> Gene Therapy Using Human Muscle-Derived Cells Expressing Bone Morphogenetic Protein 2,” </w:t>
      </w:r>
      <w:r w:rsidRPr="00505A7A">
        <w:rPr>
          <w:rFonts w:ascii="Arial" w:hAnsi="Arial" w:cs="Arial"/>
          <w:i/>
          <w:iCs/>
          <w:noProof/>
          <w:color w:val="000000" w:themeColor="text1"/>
          <w:sz w:val="22"/>
          <w:szCs w:val="28"/>
        </w:rPr>
        <w:t>https://home.liebertpub.com/hum</w:t>
      </w:r>
      <w:r w:rsidRPr="00505A7A">
        <w:rPr>
          <w:rFonts w:ascii="Arial" w:hAnsi="Arial" w:cs="Arial"/>
          <w:noProof/>
          <w:color w:val="000000" w:themeColor="text1"/>
          <w:sz w:val="22"/>
          <w:szCs w:val="28"/>
        </w:rPr>
        <w:t>, vol. 13, no. 10, pp. 1201–1211, Jul. 2004.</w:t>
      </w:r>
    </w:p>
    <w:p w14:paraId="0218FB47"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8"/>
        </w:rPr>
      </w:pPr>
      <w:r w:rsidRPr="00505A7A">
        <w:rPr>
          <w:rFonts w:ascii="Arial" w:hAnsi="Arial" w:cs="Arial"/>
          <w:noProof/>
          <w:color w:val="000000" w:themeColor="text1"/>
          <w:sz w:val="22"/>
          <w:szCs w:val="28"/>
        </w:rPr>
        <w:t>[12]</w:t>
      </w:r>
      <w:r w:rsidRPr="00505A7A">
        <w:rPr>
          <w:rFonts w:ascii="Arial" w:hAnsi="Arial" w:cs="Arial"/>
          <w:noProof/>
          <w:color w:val="000000" w:themeColor="text1"/>
          <w:sz w:val="22"/>
          <w:szCs w:val="28"/>
        </w:rPr>
        <w:tab/>
        <w:t xml:space="preserve">L. Martins, P. K. M. Martin, and S. W. Han, “Angiogenic properties of mesenchymal stem cells in a mouse model of limb ischemia,” </w:t>
      </w:r>
      <w:r w:rsidRPr="00505A7A">
        <w:rPr>
          <w:rFonts w:ascii="Arial" w:hAnsi="Arial" w:cs="Arial"/>
          <w:i/>
          <w:iCs/>
          <w:noProof/>
          <w:color w:val="000000" w:themeColor="text1"/>
          <w:sz w:val="22"/>
          <w:szCs w:val="28"/>
        </w:rPr>
        <w:t>Methods Mol. Biol.</w:t>
      </w:r>
      <w:r w:rsidRPr="00505A7A">
        <w:rPr>
          <w:rFonts w:ascii="Arial" w:hAnsi="Arial" w:cs="Arial"/>
          <w:noProof/>
          <w:color w:val="000000" w:themeColor="text1"/>
          <w:sz w:val="22"/>
          <w:szCs w:val="28"/>
        </w:rPr>
        <w:t>, vol. 1213, pp. 147–169, 2014.</w:t>
      </w:r>
    </w:p>
    <w:p w14:paraId="136C7F87" w14:textId="77777777" w:rsidR="00004C0A" w:rsidRPr="00505A7A" w:rsidRDefault="00004C0A" w:rsidP="00004C0A">
      <w:pPr>
        <w:widowControl w:val="0"/>
        <w:autoSpaceDE w:val="0"/>
        <w:autoSpaceDN w:val="0"/>
        <w:adjustRightInd w:val="0"/>
        <w:ind w:left="640" w:hanging="640"/>
        <w:rPr>
          <w:rFonts w:ascii="Arial" w:hAnsi="Arial" w:cs="Arial"/>
          <w:noProof/>
          <w:color w:val="000000" w:themeColor="text1"/>
          <w:sz w:val="22"/>
          <w:szCs w:val="22"/>
        </w:rPr>
      </w:pPr>
      <w:r w:rsidRPr="00505A7A">
        <w:rPr>
          <w:rFonts w:ascii="Arial" w:hAnsi="Arial" w:cs="Arial"/>
          <w:noProof/>
          <w:color w:val="000000" w:themeColor="text1"/>
          <w:sz w:val="22"/>
          <w:szCs w:val="28"/>
        </w:rPr>
        <w:t>[13]</w:t>
      </w:r>
      <w:r w:rsidRPr="00505A7A">
        <w:rPr>
          <w:rFonts w:ascii="Arial" w:hAnsi="Arial" w:cs="Arial"/>
          <w:noProof/>
          <w:color w:val="000000" w:themeColor="text1"/>
          <w:sz w:val="22"/>
          <w:szCs w:val="28"/>
        </w:rPr>
        <w:tab/>
        <w:t xml:space="preserve">T. A. Hornberger and R. P. Farrar, “Physiological Hypertrophy of the FHL Muscle Following 8 Weeks of Progressive Resistance Exercise in the Rat,” </w:t>
      </w:r>
      <w:r w:rsidRPr="00505A7A">
        <w:rPr>
          <w:rFonts w:ascii="Arial" w:hAnsi="Arial" w:cs="Arial"/>
          <w:i/>
          <w:iCs/>
          <w:noProof/>
          <w:color w:val="000000" w:themeColor="text1"/>
          <w:sz w:val="22"/>
          <w:szCs w:val="28"/>
        </w:rPr>
        <w:t>Can. J. Appl. Physiol.</w:t>
      </w:r>
      <w:r w:rsidRPr="00505A7A">
        <w:rPr>
          <w:rFonts w:ascii="Arial" w:hAnsi="Arial" w:cs="Arial"/>
          <w:noProof/>
          <w:color w:val="000000" w:themeColor="text1"/>
          <w:sz w:val="22"/>
          <w:szCs w:val="28"/>
        </w:rPr>
        <w:t>, vol. 29, no. 1, pp. 16–31, 2004.</w:t>
      </w:r>
    </w:p>
    <w:p w14:paraId="2BC21E11" w14:textId="02E1116D" w:rsidR="00C82E65" w:rsidRPr="00C57DAA" w:rsidRDefault="00C82E65" w:rsidP="0072155D">
      <w:pPr>
        <w:pStyle w:val="SMcaption"/>
        <w:spacing w:line="276" w:lineRule="auto"/>
        <w:jc w:val="both"/>
        <w:rPr>
          <w:rFonts w:ascii="Arial" w:hAnsi="Arial" w:cs="Arial"/>
          <w:b/>
          <w:color w:val="000000" w:themeColor="text1"/>
          <w:sz w:val="20"/>
        </w:rPr>
      </w:pPr>
      <w:r w:rsidRPr="00505A7A">
        <w:rPr>
          <w:rFonts w:ascii="Arial" w:hAnsi="Arial" w:cs="Arial"/>
          <w:color w:val="000000" w:themeColor="text1"/>
          <w:sz w:val="22"/>
          <w:szCs w:val="22"/>
          <w:shd w:val="clear" w:color="auto" w:fill="FFFFFF"/>
        </w:rPr>
        <w:fldChar w:fldCharType="end"/>
      </w:r>
    </w:p>
    <w:sectPr w:rsidR="00C82E65" w:rsidRPr="00C57DAA" w:rsidSect="00B71BFB">
      <w:headerReference w:type="default" r:id="rId17"/>
      <w:footerReference w:type="default" r:id="rId18"/>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604C9" w14:textId="77777777" w:rsidR="00D5470B" w:rsidRDefault="00D5470B">
      <w:r>
        <w:separator/>
      </w:r>
    </w:p>
  </w:endnote>
  <w:endnote w:type="continuationSeparator" w:id="0">
    <w:p w14:paraId="374DBE18" w14:textId="77777777" w:rsidR="00D5470B" w:rsidRDefault="00D5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193174C0" w:rsidR="00F125EE" w:rsidRDefault="00114193">
    <w:pPr>
      <w:pStyle w:val="Footer"/>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55C9" w14:textId="77777777" w:rsidR="00D5470B" w:rsidRDefault="00D5470B">
      <w:r>
        <w:separator/>
      </w:r>
    </w:p>
  </w:footnote>
  <w:footnote w:type="continuationSeparator" w:id="0">
    <w:p w14:paraId="5FCB2C81" w14:textId="77777777" w:rsidR="00D5470B" w:rsidRDefault="00D54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962979">
    <w:abstractNumId w:val="9"/>
  </w:num>
  <w:num w:numId="2" w16cid:durableId="1957977997">
    <w:abstractNumId w:val="7"/>
  </w:num>
  <w:num w:numId="3" w16cid:durableId="815805110">
    <w:abstractNumId w:val="6"/>
  </w:num>
  <w:num w:numId="4" w16cid:durableId="765929422">
    <w:abstractNumId w:val="5"/>
  </w:num>
  <w:num w:numId="5" w16cid:durableId="1369649073">
    <w:abstractNumId w:val="4"/>
  </w:num>
  <w:num w:numId="6" w16cid:durableId="377164225">
    <w:abstractNumId w:val="8"/>
  </w:num>
  <w:num w:numId="7" w16cid:durableId="1301885272">
    <w:abstractNumId w:val="3"/>
  </w:num>
  <w:num w:numId="8" w16cid:durableId="1876967145">
    <w:abstractNumId w:val="2"/>
  </w:num>
  <w:num w:numId="9" w16cid:durableId="2094665201">
    <w:abstractNumId w:val="1"/>
  </w:num>
  <w:num w:numId="10" w16cid:durableId="1207570364">
    <w:abstractNumId w:val="0"/>
  </w:num>
  <w:num w:numId="11" w16cid:durableId="1033116285">
    <w:abstractNumId w:val="10"/>
  </w:num>
  <w:num w:numId="12" w16cid:durableId="1150177162">
    <w:abstractNumId w:val="12"/>
  </w:num>
  <w:num w:numId="13" w16cid:durableId="944534264">
    <w:abstractNumId w:val="13"/>
  </w:num>
  <w:num w:numId="14" w16cid:durableId="11091637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20C8"/>
    <w:rsid w:val="00004C0A"/>
    <w:rsid w:val="00011892"/>
    <w:rsid w:val="00015F74"/>
    <w:rsid w:val="00017C53"/>
    <w:rsid w:val="000234DC"/>
    <w:rsid w:val="00026423"/>
    <w:rsid w:val="00030840"/>
    <w:rsid w:val="00065EBD"/>
    <w:rsid w:val="00083B44"/>
    <w:rsid w:val="000850DC"/>
    <w:rsid w:val="000A41E4"/>
    <w:rsid w:val="000B3C64"/>
    <w:rsid w:val="000C0719"/>
    <w:rsid w:val="000C2771"/>
    <w:rsid w:val="000C5F36"/>
    <w:rsid w:val="000D2049"/>
    <w:rsid w:val="000F0DCE"/>
    <w:rsid w:val="00112C5B"/>
    <w:rsid w:val="00114193"/>
    <w:rsid w:val="00115A38"/>
    <w:rsid w:val="0011687B"/>
    <w:rsid w:val="00116C25"/>
    <w:rsid w:val="00124F82"/>
    <w:rsid w:val="00126EA6"/>
    <w:rsid w:val="00133AF9"/>
    <w:rsid w:val="00141C30"/>
    <w:rsid w:val="0016337A"/>
    <w:rsid w:val="00164269"/>
    <w:rsid w:val="001A1BDE"/>
    <w:rsid w:val="001C0520"/>
    <w:rsid w:val="001C0975"/>
    <w:rsid w:val="001E4D5F"/>
    <w:rsid w:val="001F0876"/>
    <w:rsid w:val="001F167C"/>
    <w:rsid w:val="001F5E91"/>
    <w:rsid w:val="002077B9"/>
    <w:rsid w:val="00262D72"/>
    <w:rsid w:val="00294FBB"/>
    <w:rsid w:val="002950C0"/>
    <w:rsid w:val="002C030F"/>
    <w:rsid w:val="002C667A"/>
    <w:rsid w:val="002D12C6"/>
    <w:rsid w:val="00325D90"/>
    <w:rsid w:val="00331D75"/>
    <w:rsid w:val="00332BFB"/>
    <w:rsid w:val="00352D82"/>
    <w:rsid w:val="00355362"/>
    <w:rsid w:val="00363E44"/>
    <w:rsid w:val="00387016"/>
    <w:rsid w:val="00387114"/>
    <w:rsid w:val="00390484"/>
    <w:rsid w:val="00395E86"/>
    <w:rsid w:val="00397983"/>
    <w:rsid w:val="003A187B"/>
    <w:rsid w:val="003A2FD8"/>
    <w:rsid w:val="003B40E6"/>
    <w:rsid w:val="003F6E14"/>
    <w:rsid w:val="00401828"/>
    <w:rsid w:val="00405336"/>
    <w:rsid w:val="00406DB1"/>
    <w:rsid w:val="00454A1B"/>
    <w:rsid w:val="004571D5"/>
    <w:rsid w:val="00461D81"/>
    <w:rsid w:val="0046356B"/>
    <w:rsid w:val="00477182"/>
    <w:rsid w:val="004772FD"/>
    <w:rsid w:val="004779CB"/>
    <w:rsid w:val="00493344"/>
    <w:rsid w:val="004A087F"/>
    <w:rsid w:val="004A159F"/>
    <w:rsid w:val="004A6747"/>
    <w:rsid w:val="004B2F21"/>
    <w:rsid w:val="004E42D8"/>
    <w:rsid w:val="004E7BA2"/>
    <w:rsid w:val="004F7EDF"/>
    <w:rsid w:val="005001AC"/>
    <w:rsid w:val="00505A7A"/>
    <w:rsid w:val="00527D71"/>
    <w:rsid w:val="005607DD"/>
    <w:rsid w:val="005609E9"/>
    <w:rsid w:val="005874E5"/>
    <w:rsid w:val="005A558C"/>
    <w:rsid w:val="005C52D5"/>
    <w:rsid w:val="005D088E"/>
    <w:rsid w:val="005E28F8"/>
    <w:rsid w:val="005E6513"/>
    <w:rsid w:val="006069C6"/>
    <w:rsid w:val="00611A19"/>
    <w:rsid w:val="006140DF"/>
    <w:rsid w:val="00651114"/>
    <w:rsid w:val="0065772A"/>
    <w:rsid w:val="00670299"/>
    <w:rsid w:val="00674D80"/>
    <w:rsid w:val="00690668"/>
    <w:rsid w:val="00691985"/>
    <w:rsid w:val="006A1B64"/>
    <w:rsid w:val="006D169A"/>
    <w:rsid w:val="006E3E68"/>
    <w:rsid w:val="006E71F6"/>
    <w:rsid w:val="006F5763"/>
    <w:rsid w:val="007108F5"/>
    <w:rsid w:val="00713E5B"/>
    <w:rsid w:val="0072155D"/>
    <w:rsid w:val="007402FC"/>
    <w:rsid w:val="007411A1"/>
    <w:rsid w:val="00763345"/>
    <w:rsid w:val="007843C9"/>
    <w:rsid w:val="0078621B"/>
    <w:rsid w:val="00797F24"/>
    <w:rsid w:val="007A39D0"/>
    <w:rsid w:val="007B5946"/>
    <w:rsid w:val="007F5297"/>
    <w:rsid w:val="00807D35"/>
    <w:rsid w:val="00811E58"/>
    <w:rsid w:val="00820484"/>
    <w:rsid w:val="00824201"/>
    <w:rsid w:val="00824DF3"/>
    <w:rsid w:val="00840BB2"/>
    <w:rsid w:val="00840DE7"/>
    <w:rsid w:val="00845FD8"/>
    <w:rsid w:val="008506BA"/>
    <w:rsid w:val="00880121"/>
    <w:rsid w:val="00882FE6"/>
    <w:rsid w:val="00885C9B"/>
    <w:rsid w:val="008C069B"/>
    <w:rsid w:val="008D5D2A"/>
    <w:rsid w:val="008F32C7"/>
    <w:rsid w:val="00914B63"/>
    <w:rsid w:val="009258B8"/>
    <w:rsid w:val="009354F3"/>
    <w:rsid w:val="009367BD"/>
    <w:rsid w:val="00943C3C"/>
    <w:rsid w:val="009447DC"/>
    <w:rsid w:val="00946E83"/>
    <w:rsid w:val="009519CF"/>
    <w:rsid w:val="009575CE"/>
    <w:rsid w:val="00961BA5"/>
    <w:rsid w:val="009743A9"/>
    <w:rsid w:val="009A263E"/>
    <w:rsid w:val="009A5287"/>
    <w:rsid w:val="009A670E"/>
    <w:rsid w:val="009B2AC5"/>
    <w:rsid w:val="009B7984"/>
    <w:rsid w:val="009D6B1C"/>
    <w:rsid w:val="009E7DD2"/>
    <w:rsid w:val="009F4BED"/>
    <w:rsid w:val="009F55C2"/>
    <w:rsid w:val="009F7D93"/>
    <w:rsid w:val="00A10108"/>
    <w:rsid w:val="00A20983"/>
    <w:rsid w:val="00A3403B"/>
    <w:rsid w:val="00A51A12"/>
    <w:rsid w:val="00A627D4"/>
    <w:rsid w:val="00A72B81"/>
    <w:rsid w:val="00A74541"/>
    <w:rsid w:val="00A74DA2"/>
    <w:rsid w:val="00AA52F4"/>
    <w:rsid w:val="00AB6181"/>
    <w:rsid w:val="00AC15B4"/>
    <w:rsid w:val="00AD2004"/>
    <w:rsid w:val="00AD499C"/>
    <w:rsid w:val="00AE5A70"/>
    <w:rsid w:val="00B003EE"/>
    <w:rsid w:val="00B038F4"/>
    <w:rsid w:val="00B15008"/>
    <w:rsid w:val="00B16F99"/>
    <w:rsid w:val="00B36869"/>
    <w:rsid w:val="00B42F9C"/>
    <w:rsid w:val="00B43B31"/>
    <w:rsid w:val="00B47CFA"/>
    <w:rsid w:val="00B57F00"/>
    <w:rsid w:val="00B71BFB"/>
    <w:rsid w:val="00B73A1C"/>
    <w:rsid w:val="00B77B2A"/>
    <w:rsid w:val="00B82C22"/>
    <w:rsid w:val="00B8723B"/>
    <w:rsid w:val="00B93DBA"/>
    <w:rsid w:val="00B9440A"/>
    <w:rsid w:val="00BB2D2A"/>
    <w:rsid w:val="00BC305B"/>
    <w:rsid w:val="00BD58CF"/>
    <w:rsid w:val="00C046DC"/>
    <w:rsid w:val="00C04CC1"/>
    <w:rsid w:val="00C364C5"/>
    <w:rsid w:val="00C47714"/>
    <w:rsid w:val="00C50C6D"/>
    <w:rsid w:val="00C52844"/>
    <w:rsid w:val="00C57DAA"/>
    <w:rsid w:val="00C600D9"/>
    <w:rsid w:val="00C76417"/>
    <w:rsid w:val="00C82E65"/>
    <w:rsid w:val="00CC1384"/>
    <w:rsid w:val="00CD3720"/>
    <w:rsid w:val="00CF0968"/>
    <w:rsid w:val="00CF16C9"/>
    <w:rsid w:val="00CF1848"/>
    <w:rsid w:val="00CF5C2F"/>
    <w:rsid w:val="00D04BCF"/>
    <w:rsid w:val="00D143D9"/>
    <w:rsid w:val="00D2165B"/>
    <w:rsid w:val="00D269AB"/>
    <w:rsid w:val="00D346C2"/>
    <w:rsid w:val="00D5470B"/>
    <w:rsid w:val="00D549F9"/>
    <w:rsid w:val="00D55D0D"/>
    <w:rsid w:val="00DA22DA"/>
    <w:rsid w:val="00DA59EA"/>
    <w:rsid w:val="00DB0B1D"/>
    <w:rsid w:val="00DC623A"/>
    <w:rsid w:val="00DD421A"/>
    <w:rsid w:val="00DE7F3D"/>
    <w:rsid w:val="00E21F48"/>
    <w:rsid w:val="00E257C8"/>
    <w:rsid w:val="00E26623"/>
    <w:rsid w:val="00E37047"/>
    <w:rsid w:val="00E60D0F"/>
    <w:rsid w:val="00E642C8"/>
    <w:rsid w:val="00E9773B"/>
    <w:rsid w:val="00EA596B"/>
    <w:rsid w:val="00EB1202"/>
    <w:rsid w:val="00EC13A3"/>
    <w:rsid w:val="00EC7C85"/>
    <w:rsid w:val="00F04CD9"/>
    <w:rsid w:val="00F125EE"/>
    <w:rsid w:val="00F12E98"/>
    <w:rsid w:val="00F22029"/>
    <w:rsid w:val="00F245AD"/>
    <w:rsid w:val="00F25DEF"/>
    <w:rsid w:val="00F33886"/>
    <w:rsid w:val="00F44058"/>
    <w:rsid w:val="00F514EC"/>
    <w:rsid w:val="00F53AD4"/>
    <w:rsid w:val="00F60CD4"/>
    <w:rsid w:val="00F630EA"/>
    <w:rsid w:val="00F7007E"/>
    <w:rsid w:val="00F70200"/>
    <w:rsid w:val="00F73193"/>
    <w:rsid w:val="00F74F95"/>
    <w:rsid w:val="00F80705"/>
    <w:rsid w:val="00FA0D95"/>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uiPriority w:val="99"/>
    <w:semiHidden/>
    <w:rsid w:val="00405336"/>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character" w:customStyle="1" w:styleId="anchor-text">
    <w:name w:val="anchor-text"/>
    <w:basedOn w:val="DefaultParagraphFont"/>
    <w:rsid w:val="000234DC"/>
  </w:style>
  <w:style w:type="table" w:styleId="TableGridLight">
    <w:name w:val="Grid Table Light"/>
    <w:basedOn w:val="TableNormal"/>
    <w:uiPriority w:val="40"/>
    <w:rsid w:val="00C82E65"/>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g-scope">
    <w:name w:val="ng-scope"/>
    <w:basedOn w:val="Normal"/>
    <w:rsid w:val="00C82E65"/>
    <w:pPr>
      <w:spacing w:before="100" w:beforeAutospacing="1" w:after="100" w:afterAutospacing="1"/>
    </w:pPr>
    <w:rPr>
      <w:szCs w:val="24"/>
    </w:rPr>
  </w:style>
  <w:style w:type="character" w:customStyle="1" w:styleId="ng-binding">
    <w:name w:val="ng-binding"/>
    <w:basedOn w:val="DefaultParagraphFont"/>
    <w:rsid w:val="00C82E65"/>
  </w:style>
  <w:style w:type="paragraph" w:customStyle="1" w:styleId="Default">
    <w:name w:val="Default"/>
    <w:rsid w:val="00C82E65"/>
    <w:pPr>
      <w:autoSpaceDE w:val="0"/>
      <w:autoSpaceDN w:val="0"/>
      <w:adjustRightInd w:val="0"/>
    </w:pPr>
    <w:rPr>
      <w:rFonts w:ascii="Palatino Linotype" w:eastAsiaTheme="minorHAnsi" w:hAnsi="Palatino Linotype" w:cs="Palatino Linotype"/>
      <w:color w:val="000000"/>
      <w:sz w:val="24"/>
      <w:szCs w:val="24"/>
    </w:rPr>
  </w:style>
  <w:style w:type="character" w:styleId="LineNumber">
    <w:name w:val="line number"/>
    <w:basedOn w:val="DefaultParagraphFont"/>
    <w:semiHidden/>
    <w:unhideWhenUsed/>
    <w:rsid w:val="00E26623"/>
  </w:style>
  <w:style w:type="paragraph" w:styleId="Revision">
    <w:name w:val="Revision"/>
    <w:hidden/>
    <w:uiPriority w:val="99"/>
    <w:semiHidden/>
    <w:rsid w:val="00406DB1"/>
    <w:rPr>
      <w:sz w:val="24"/>
    </w:rPr>
  </w:style>
  <w:style w:type="character" w:customStyle="1" w:styleId="markoc95w9asz">
    <w:name w:val="markoc95w9asz"/>
    <w:basedOn w:val="DefaultParagraphFont"/>
    <w:rsid w:val="00F24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1249">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667828029">
      <w:bodyDiv w:val="1"/>
      <w:marLeft w:val="0"/>
      <w:marRight w:val="0"/>
      <w:marTop w:val="0"/>
      <w:marBottom w:val="0"/>
      <w:divBdr>
        <w:top w:val="none" w:sz="0" w:space="0" w:color="auto"/>
        <w:left w:val="none" w:sz="0" w:space="0" w:color="auto"/>
        <w:bottom w:val="none" w:sz="0" w:space="0" w:color="auto"/>
        <w:right w:val="none" w:sz="0" w:space="0" w:color="auto"/>
      </w:divBdr>
    </w:div>
    <w:div w:id="182678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bpesquero@unifesp.br"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thermofisher.com/taqman-gene-expression/product/Mm00440387_m1?CID=&amp;ICID=&amp;subtyp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www.citeab.com/antibodies/search?cl=1&amp;q=5.8A" TargetMode="Externa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www.thermofisher.com/order/genome-database/details/antibody/42-0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FE602-EB86-429A-BFD7-FD041281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7894</Words>
  <Characters>45002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52791</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Leonardo Martins</cp:lastModifiedBy>
  <cp:revision>11</cp:revision>
  <cp:lastPrinted>2018-02-26T17:19:00Z</cp:lastPrinted>
  <dcterms:created xsi:type="dcterms:W3CDTF">2023-06-20T14:04:00Z</dcterms:created>
  <dcterms:modified xsi:type="dcterms:W3CDTF">2023-07-17T19:42:00Z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http://www.zotero.org/styles/associacao-brasileira-de-normas-tecnicas-ufrgs-initials</vt:lpwstr>
  </property>
  <property fmtid="{D5CDD505-2E9C-101B-9397-08002B2CF9AE}" pid="19" name="Mendeley Recent Style Name 8_1">
    <vt:lpwstr>Universidade Federal do Rio Grande do Sul - ABNT (autoria abreviada) (Portuguese - Brazil)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3dc12ff4-3638-3228-9c79-028970e84a7b</vt:lpwstr>
  </property>
  <property fmtid="{D5CDD505-2E9C-101B-9397-08002B2CF9AE}" pid="24" name="Mendeley Citation Style_1">
    <vt:lpwstr>http://www.zotero.org/styles/ieee</vt:lpwstr>
  </property>
</Properties>
</file>