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document.xml" ContentType="application/vnd.openxmlformats-officedocument.wordprocessingml.document.main+xml"/>
  <Override PartName="/word/theme/theme1.xml" ContentType="application/vnd.openxmlformats-officedocument.theme+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2" Type="http://schemas.openxmlformats.org/officeDocument/2006/relationships/custom-properties" Target="docProps/custom.xml"/><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20" w:line="376.3636363636363" w:lineRule="auto"/>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Spondyloarthritis, acute anterior uveitis, and Crohn’s disease have both shared and distinct gut microbiota</w:t>
      </w:r>
    </w:p>
    <w:p w:rsidR="00000000" w:rsidDel="00000000" w:rsidP="00000000" w:rsidRDefault="00000000" w:rsidRPr="00000000" w14:paraId="00000002">
      <w:pPr>
        <w:pStyle w:val="Heading1"/>
        <w:spacing w:after="200" w:line="276" w:lineRule="auto"/>
        <w:jc w:val="both"/>
        <w:rPr>
          <w:rFonts w:ascii="Arial" w:cs="Arial" w:eastAsia="Arial" w:hAnsi="Arial"/>
          <w:b w:val="1"/>
          <w:sz w:val="28"/>
          <w:szCs w:val="28"/>
        </w:rPr>
      </w:pPr>
      <w:bookmarkStart w:colFirst="0" w:colLast="0" w:name="_uz1xelfmrtii" w:id="0"/>
      <w:bookmarkEnd w:id="0"/>
      <w:r w:rsidDel="00000000" w:rsidR="00000000" w:rsidRPr="00000000">
        <w:rPr>
          <w:rFonts w:ascii="Arial" w:cs="Arial" w:eastAsia="Arial" w:hAnsi="Arial"/>
          <w:color w:val="000000"/>
          <w:sz w:val="28"/>
          <w:szCs w:val="28"/>
          <w:rtl w:val="0"/>
        </w:rPr>
        <w:t xml:space="preserve">Supplementary Data File</w:t>
      </w:r>
      <w:r w:rsidDel="00000000" w:rsidR="00000000" w:rsidRPr="00000000">
        <w:rPr>
          <w:rtl w:val="0"/>
        </w:rPr>
      </w:r>
    </w:p>
    <w:p w:rsidR="00000000" w:rsidDel="00000000" w:rsidP="00000000" w:rsidRDefault="00000000" w:rsidRPr="00000000" w14:paraId="00000003">
      <w:pPr>
        <w:pStyle w:val="Heading1"/>
        <w:spacing w:after="200" w:line="276" w:lineRule="auto"/>
        <w:jc w:val="both"/>
        <w:rPr>
          <w:rFonts w:ascii="Arial" w:cs="Arial" w:eastAsia="Arial" w:hAnsi="Arial"/>
          <w:color w:val="000000"/>
          <w:sz w:val="28"/>
          <w:szCs w:val="28"/>
        </w:rPr>
      </w:pPr>
      <w:bookmarkStart w:colFirst="0" w:colLast="0" w:name="_p9b2wii3tp12" w:id="1"/>
      <w:bookmarkEnd w:id="1"/>
      <w:r w:rsidDel="00000000" w:rsidR="00000000" w:rsidRPr="00000000">
        <w:rPr>
          <w:rFonts w:ascii="Arial" w:cs="Arial" w:eastAsia="Arial" w:hAnsi="Arial"/>
          <w:color w:val="000000"/>
          <w:sz w:val="28"/>
          <w:szCs w:val="28"/>
          <w:rtl w:val="0"/>
        </w:rPr>
        <w:t xml:space="preserve">Methods</w:t>
      </w:r>
    </w:p>
    <w:p w:rsidR="00000000" w:rsidDel="00000000" w:rsidP="00000000" w:rsidRDefault="00000000" w:rsidRPr="00000000" w14:paraId="00000004">
      <w:pPr>
        <w:pStyle w:val="Heading2"/>
        <w:spacing w:line="276" w:lineRule="auto"/>
        <w:jc w:val="both"/>
        <w:rPr>
          <w:rFonts w:ascii="Arial" w:cs="Arial" w:eastAsia="Arial" w:hAnsi="Arial"/>
          <w:sz w:val="22"/>
          <w:szCs w:val="22"/>
        </w:rPr>
      </w:pPr>
      <w:bookmarkStart w:colFirst="0" w:colLast="0" w:name="_c6ap85yfw1q" w:id="2"/>
      <w:bookmarkEnd w:id="2"/>
      <w:r w:rsidDel="00000000" w:rsidR="00000000" w:rsidRPr="00000000">
        <w:rPr>
          <w:rFonts w:ascii="Arial" w:cs="Arial" w:eastAsia="Arial" w:hAnsi="Arial"/>
          <w:b w:val="1"/>
          <w:color w:val="000000"/>
          <w:sz w:val="22"/>
          <w:szCs w:val="22"/>
          <w:rtl w:val="0"/>
        </w:rPr>
        <w:t xml:space="preserve">Differential abundance analysis implementation</w:t>
      </w:r>
      <w:r w:rsidDel="00000000" w:rsidR="00000000" w:rsidRPr="00000000">
        <w:rPr>
          <w:rtl w:val="0"/>
        </w:rPr>
      </w:r>
    </w:p>
    <w:p w:rsidR="00000000" w:rsidDel="00000000" w:rsidP="00000000" w:rsidRDefault="00000000" w:rsidRPr="00000000" w14:paraId="00000005">
      <w:pPr>
        <w:spacing w:line="276"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Custom linear models were built for all n=565 taxa using the </w:t>
      </w:r>
      <w:r w:rsidDel="00000000" w:rsidR="00000000" w:rsidRPr="00000000">
        <w:rPr>
          <w:rFonts w:ascii="Arial" w:cs="Arial" w:eastAsia="Arial" w:hAnsi="Arial"/>
          <w:i w:val="1"/>
          <w:sz w:val="22"/>
          <w:szCs w:val="22"/>
          <w:rtl w:val="0"/>
        </w:rPr>
        <w:t xml:space="preserve">lm</w:t>
      </w:r>
      <w:r w:rsidDel="00000000" w:rsidR="00000000" w:rsidRPr="00000000">
        <w:rPr>
          <w:rFonts w:ascii="Arial" w:cs="Arial" w:eastAsia="Arial" w:hAnsi="Arial"/>
          <w:sz w:val="22"/>
          <w:szCs w:val="22"/>
          <w:rtl w:val="0"/>
        </w:rPr>
        <w:t xml:space="preserve"> function in base R with the formula </w:t>
      </w:r>
      <w:r w:rsidDel="00000000" w:rsidR="00000000" w:rsidRPr="00000000">
        <w:rPr>
          <w:rFonts w:ascii="Arial" w:cs="Arial" w:eastAsia="Arial" w:hAnsi="Arial"/>
          <w:i w:val="1"/>
          <w:sz w:val="22"/>
          <w:szCs w:val="22"/>
          <w:rtl w:val="0"/>
        </w:rPr>
        <w:t xml:space="preserve">relative_abundance ~ disease_status * sequencing_experiment</w:t>
      </w:r>
      <w:r w:rsidDel="00000000" w:rsidR="00000000" w:rsidRPr="00000000">
        <w:rPr>
          <w:rFonts w:ascii="Arial" w:cs="Arial" w:eastAsia="Arial" w:hAnsi="Arial"/>
          <w:sz w:val="22"/>
          <w:szCs w:val="22"/>
          <w:rtl w:val="0"/>
        </w:rPr>
        <w:t xml:space="preserve"> to account for technical variation. Model parameters were extracted, tested for significance using the default Wald method, adjusted for multiple testing (Benjamini-Hochberg procedure), and bootstrapped to obtain 95% confidence intervals using the </w:t>
      </w:r>
      <w:r w:rsidDel="00000000" w:rsidR="00000000" w:rsidRPr="00000000">
        <w:rPr>
          <w:rFonts w:ascii="Arial" w:cs="Arial" w:eastAsia="Arial" w:hAnsi="Arial"/>
          <w:i w:val="1"/>
          <w:sz w:val="22"/>
          <w:szCs w:val="22"/>
          <w:rtl w:val="0"/>
        </w:rPr>
        <w:t xml:space="preserve">parameters::model_parameters()</w:t>
      </w:r>
      <w:r w:rsidDel="00000000" w:rsidR="00000000" w:rsidRPr="00000000">
        <w:rPr>
          <w:rFonts w:ascii="Arial" w:cs="Arial" w:eastAsia="Arial" w:hAnsi="Arial"/>
          <w:sz w:val="22"/>
          <w:szCs w:val="22"/>
          <w:rtl w:val="0"/>
        </w:rPr>
        <w:t xml:space="preserve"> function. All taxa were also tested for significant differential abundance using a blocked Wilcoxon permutation test (</w:t>
      </w:r>
      <w:r w:rsidDel="00000000" w:rsidR="00000000" w:rsidRPr="00000000">
        <w:rPr>
          <w:rFonts w:ascii="Arial" w:cs="Arial" w:eastAsia="Arial" w:hAnsi="Arial"/>
          <w:i w:val="1"/>
          <w:sz w:val="22"/>
          <w:szCs w:val="22"/>
          <w:rtl w:val="0"/>
        </w:rPr>
        <w:t xml:space="preserve">coin::wilcox_test()</w:t>
      </w:r>
      <w:r w:rsidDel="00000000" w:rsidR="00000000" w:rsidRPr="00000000">
        <w:rPr>
          <w:rFonts w:ascii="Arial" w:cs="Arial" w:eastAsia="Arial" w:hAnsi="Arial"/>
          <w:sz w:val="22"/>
          <w:szCs w:val="22"/>
          <w:rtl w:val="0"/>
        </w:rPr>
        <w:t xml:space="preserve"> function with the formula </w:t>
      </w:r>
      <w:r w:rsidDel="00000000" w:rsidR="00000000" w:rsidRPr="00000000">
        <w:rPr>
          <w:rFonts w:ascii="Arial" w:cs="Arial" w:eastAsia="Arial" w:hAnsi="Arial"/>
          <w:i w:val="1"/>
          <w:sz w:val="22"/>
          <w:szCs w:val="22"/>
          <w:rtl w:val="0"/>
        </w:rPr>
        <w:t xml:space="preserve">relative_abundance ~ disease_status | sequencing_experiment</w:t>
      </w:r>
      <w:r w:rsidDel="00000000" w:rsidR="00000000" w:rsidRPr="00000000">
        <w:rPr>
          <w:rFonts w:ascii="Arial" w:cs="Arial" w:eastAsia="Arial" w:hAnsi="Arial"/>
          <w:sz w:val="22"/>
          <w:szCs w:val="22"/>
          <w:rtl w:val="0"/>
        </w:rPr>
        <w:t xml:space="preserve">), and raw </w:t>
      </w:r>
      <w:r w:rsidDel="00000000" w:rsidR="00000000" w:rsidRPr="00000000">
        <w:rPr>
          <w:rFonts w:ascii="Arial" w:cs="Arial" w:eastAsia="Arial" w:hAnsi="Arial"/>
          <w:i w:val="1"/>
          <w:sz w:val="22"/>
          <w:szCs w:val="22"/>
          <w:rtl w:val="0"/>
        </w:rPr>
        <w:t xml:space="preserve">P</w:t>
      </w:r>
      <w:r w:rsidDel="00000000" w:rsidR="00000000" w:rsidRPr="00000000">
        <w:rPr>
          <w:rFonts w:ascii="Arial" w:cs="Arial" w:eastAsia="Arial" w:hAnsi="Arial"/>
          <w:sz w:val="22"/>
          <w:szCs w:val="22"/>
          <w:rtl w:val="0"/>
        </w:rPr>
        <w:t xml:space="preserve"> values were adjusted for multiple testing.</w:t>
      </w:r>
    </w:p>
    <w:p w:rsidR="00000000" w:rsidDel="00000000" w:rsidP="00000000" w:rsidRDefault="00000000" w:rsidRPr="00000000" w14:paraId="00000006">
      <w:pPr>
        <w:spacing w:line="276"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07">
      <w:pPr>
        <w:pStyle w:val="Heading2"/>
        <w:spacing w:line="276" w:lineRule="auto"/>
        <w:jc w:val="both"/>
        <w:rPr>
          <w:rFonts w:ascii="Arial" w:cs="Arial" w:eastAsia="Arial" w:hAnsi="Arial"/>
          <w:b w:val="1"/>
          <w:color w:val="000000"/>
          <w:sz w:val="22"/>
          <w:szCs w:val="22"/>
        </w:rPr>
      </w:pPr>
      <w:bookmarkStart w:colFirst="0" w:colLast="0" w:name="_h7ienr8dxx8u" w:id="3"/>
      <w:bookmarkEnd w:id="3"/>
      <w:r w:rsidDel="00000000" w:rsidR="00000000" w:rsidRPr="00000000">
        <w:rPr>
          <w:rFonts w:ascii="Arial" w:cs="Arial" w:eastAsia="Arial" w:hAnsi="Arial"/>
          <w:b w:val="1"/>
          <w:color w:val="000000"/>
          <w:sz w:val="22"/>
          <w:szCs w:val="22"/>
          <w:rtl w:val="0"/>
        </w:rPr>
        <w:t xml:space="preserve">Confounder analysis with medications</w:t>
      </w:r>
    </w:p>
    <w:p w:rsidR="00000000" w:rsidDel="00000000" w:rsidP="00000000" w:rsidRDefault="00000000" w:rsidRPr="00000000" w14:paraId="00000008">
      <w:pPr>
        <w:spacing w:line="276" w:lineRule="auto"/>
        <w:jc w:val="both"/>
        <w:rPr/>
      </w:pPr>
      <w:r w:rsidDel="00000000" w:rsidR="00000000" w:rsidRPr="00000000">
        <w:rPr>
          <w:rFonts w:ascii="Arial" w:cs="Arial" w:eastAsia="Arial" w:hAnsi="Arial"/>
          <w:sz w:val="22"/>
          <w:szCs w:val="22"/>
          <w:rtl w:val="0"/>
        </w:rPr>
        <w:t xml:space="preserve">Instead of using the case-control groupings from the differential abundance and mediation analyses (see main text </w:t>
      </w:r>
      <w:r w:rsidDel="00000000" w:rsidR="00000000" w:rsidRPr="00000000">
        <w:rPr>
          <w:rFonts w:ascii="Arial" w:cs="Arial" w:eastAsia="Arial" w:hAnsi="Arial"/>
          <w:b w:val="1"/>
          <w:sz w:val="22"/>
          <w:szCs w:val="22"/>
          <w:rtl w:val="0"/>
        </w:rPr>
        <w:t xml:space="preserve">Methods</w:t>
      </w:r>
      <w:r w:rsidDel="00000000" w:rsidR="00000000" w:rsidRPr="00000000">
        <w:rPr>
          <w:rFonts w:ascii="Arial" w:cs="Arial" w:eastAsia="Arial" w:hAnsi="Arial"/>
          <w:sz w:val="22"/>
          <w:szCs w:val="22"/>
          <w:rtl w:val="0"/>
        </w:rPr>
        <w:t xml:space="preserve">), samples were first grouped according to disease phenotype (groups with &lt;40 samples were not analyzed), such that disease status was not a factor, and the formula </w:t>
      </w:r>
      <w:r w:rsidDel="00000000" w:rsidR="00000000" w:rsidRPr="00000000">
        <w:rPr>
          <w:rFonts w:ascii="Arial" w:cs="Arial" w:eastAsia="Arial" w:hAnsi="Arial"/>
          <w:i w:val="1"/>
          <w:sz w:val="22"/>
          <w:szCs w:val="22"/>
          <w:rtl w:val="0"/>
        </w:rPr>
        <w:t xml:space="preserve">relative_abundance ~ intake_status * sequencing_experiment </w:t>
      </w:r>
      <w:r w:rsidDel="00000000" w:rsidR="00000000" w:rsidRPr="00000000">
        <w:rPr>
          <w:rFonts w:ascii="Arial" w:cs="Arial" w:eastAsia="Arial" w:hAnsi="Arial"/>
          <w:sz w:val="22"/>
          <w:szCs w:val="22"/>
          <w:rtl w:val="0"/>
        </w:rPr>
        <w:t xml:space="preserve">was used to test specific disease-drug differential abundance hypotheses (e.g. conventional synthetic (cs)DMARD use, which was only relevant in CD patients). In the group of all patients examining previous antibiotic use, the formula </w:t>
      </w:r>
      <w:r w:rsidDel="00000000" w:rsidR="00000000" w:rsidRPr="00000000">
        <w:rPr>
          <w:rFonts w:ascii="Arial" w:cs="Arial" w:eastAsia="Arial" w:hAnsi="Arial"/>
          <w:i w:val="1"/>
          <w:sz w:val="22"/>
          <w:szCs w:val="22"/>
          <w:rtl w:val="0"/>
        </w:rPr>
        <w:t xml:space="preserve">relative_abundance ~ disease_status * sequencing_experiment + intake_status</w:t>
      </w:r>
      <w:r w:rsidDel="00000000" w:rsidR="00000000" w:rsidRPr="00000000">
        <w:rPr>
          <w:rFonts w:ascii="Arial" w:cs="Arial" w:eastAsia="Arial" w:hAnsi="Arial"/>
          <w:sz w:val="22"/>
          <w:szCs w:val="22"/>
          <w:rtl w:val="0"/>
        </w:rPr>
        <w:t xml:space="preserve"> was used; in the control subset examining NSAID use, simple models (</w:t>
      </w:r>
      <w:r w:rsidDel="00000000" w:rsidR="00000000" w:rsidRPr="00000000">
        <w:rPr>
          <w:rFonts w:ascii="Arial" w:cs="Arial" w:eastAsia="Arial" w:hAnsi="Arial"/>
          <w:i w:val="1"/>
          <w:sz w:val="22"/>
          <w:szCs w:val="22"/>
          <w:rtl w:val="0"/>
        </w:rPr>
        <w:t xml:space="preserve">relative_abundance ~ intake_status</w:t>
      </w:r>
      <w:r w:rsidDel="00000000" w:rsidR="00000000" w:rsidRPr="00000000">
        <w:rPr>
          <w:rFonts w:ascii="Arial" w:cs="Arial" w:eastAsia="Arial" w:hAnsi="Arial"/>
          <w:sz w:val="22"/>
          <w:szCs w:val="22"/>
          <w:rtl w:val="0"/>
        </w:rPr>
        <w:t xml:space="preserve">) were used as no other factors were relevant.</w:t>
      </w:r>
      <w:r w:rsidDel="00000000" w:rsidR="00000000" w:rsidRPr="00000000">
        <w:rPr>
          <w:rtl w:val="0"/>
        </w:rPr>
      </w:r>
    </w:p>
    <w:p w:rsidR="00000000" w:rsidDel="00000000" w:rsidP="00000000" w:rsidRDefault="00000000" w:rsidRPr="00000000" w14:paraId="00000009">
      <w:pPr>
        <w:jc w:val="center"/>
        <w:rPr>
          <w:rFonts w:ascii="Arial" w:cs="Arial" w:eastAsia="Arial" w:hAnsi="Arial"/>
          <w:color w:val="231f20"/>
          <w:sz w:val="18"/>
          <w:szCs w:val="18"/>
        </w:rPr>
      </w:pPr>
      <w:r w:rsidDel="00000000" w:rsidR="00000000" w:rsidRPr="00000000">
        <w:rPr>
          <w:rFonts w:ascii="Arial" w:cs="Arial" w:eastAsia="Arial" w:hAnsi="Arial"/>
          <w:color w:val="231f20"/>
          <w:sz w:val="18"/>
          <w:szCs w:val="18"/>
        </w:rPr>
        <w:drawing>
          <wp:inline distB="114300" distT="114300" distL="114300" distR="114300">
            <wp:extent cx="5588248" cy="6777038"/>
            <wp:effectExtent b="0" l="0" r="0" t="0"/>
            <wp:docPr id="1" name="image1.png"/>
            <a:graphic>
              <a:graphicData uri="http://schemas.openxmlformats.org/drawingml/2006/picture">
                <pic:pic>
                  <pic:nvPicPr>
                    <pic:cNvPr id="0" name="image1.png"/>
                    <pic:cNvPicPr preferRelativeResize="0"/>
                  </pic:nvPicPr>
                  <pic:blipFill>
                    <a:blip r:embed="rId6"/>
                    <a:srcRect b="1028" l="0" r="0" t="1028"/>
                    <a:stretch>
                      <a:fillRect/>
                    </a:stretch>
                  </pic:blipFill>
                  <pic:spPr>
                    <a:xfrm>
                      <a:off x="0" y="0"/>
                      <a:ext cx="5588248" cy="6777038"/>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pStyle w:val="Heading2"/>
        <w:jc w:val="both"/>
        <w:rPr>
          <w:rFonts w:ascii="Arial" w:cs="Arial" w:eastAsia="Arial" w:hAnsi="Arial"/>
          <w:b w:val="1"/>
          <w:color w:val="000000"/>
          <w:sz w:val="18"/>
          <w:szCs w:val="18"/>
        </w:rPr>
      </w:pPr>
      <w:bookmarkStart w:colFirst="0" w:colLast="0" w:name="_pkl4dl2wi0gg" w:id="4"/>
      <w:bookmarkEnd w:id="4"/>
      <w:r w:rsidDel="00000000" w:rsidR="00000000" w:rsidRPr="00000000">
        <w:rPr>
          <w:rFonts w:ascii="Arial" w:cs="Arial" w:eastAsia="Arial" w:hAnsi="Arial"/>
          <w:b w:val="1"/>
          <w:color w:val="000000"/>
          <w:sz w:val="18"/>
          <w:szCs w:val="18"/>
          <w:rtl w:val="0"/>
        </w:rPr>
        <w:t xml:space="preserve">Supplementary Figure 1: Overview of cohorts and individuals included in this study</w:t>
      </w:r>
    </w:p>
    <w:p w:rsidR="00000000" w:rsidDel="00000000" w:rsidP="00000000" w:rsidRDefault="00000000" w:rsidRPr="00000000" w14:paraId="0000000B">
      <w:pPr>
        <w:jc w:val="both"/>
        <w:rPr>
          <w:rFonts w:ascii="Arial" w:cs="Arial" w:eastAsia="Arial" w:hAnsi="Arial"/>
          <w:color w:val="231f20"/>
          <w:sz w:val="18"/>
          <w:szCs w:val="18"/>
        </w:rPr>
      </w:pPr>
      <w:r w:rsidDel="00000000" w:rsidR="00000000" w:rsidRPr="00000000">
        <w:rPr>
          <w:rFonts w:ascii="Arial" w:cs="Arial" w:eastAsia="Arial" w:hAnsi="Arial"/>
          <w:b w:val="1"/>
          <w:color w:val="231f20"/>
          <w:sz w:val="18"/>
          <w:szCs w:val="18"/>
          <w:rtl w:val="0"/>
        </w:rPr>
        <w:t xml:space="preserve">A) </w:t>
      </w:r>
      <w:r w:rsidDel="00000000" w:rsidR="00000000" w:rsidRPr="00000000">
        <w:rPr>
          <w:rFonts w:ascii="Arial" w:cs="Arial" w:eastAsia="Arial" w:hAnsi="Arial"/>
          <w:color w:val="231f20"/>
          <w:sz w:val="18"/>
          <w:szCs w:val="18"/>
          <w:rtl w:val="0"/>
        </w:rPr>
        <w:t xml:space="preserve">Flowchart containing numbers of participants at each stage of study with letters denoting reasons for exclusion, namely: </w:t>
      </w:r>
      <w:r w:rsidDel="00000000" w:rsidR="00000000" w:rsidRPr="00000000">
        <w:rPr>
          <w:rFonts w:ascii="Arial" w:cs="Arial" w:eastAsia="Arial" w:hAnsi="Arial"/>
          <w:i w:val="1"/>
          <w:color w:val="231f20"/>
          <w:sz w:val="18"/>
          <w:szCs w:val="18"/>
          <w:rtl w:val="0"/>
        </w:rPr>
        <w:t xml:space="preserve">A</w:t>
      </w:r>
      <w:r w:rsidDel="00000000" w:rsidR="00000000" w:rsidRPr="00000000">
        <w:rPr>
          <w:rFonts w:ascii="Arial" w:cs="Arial" w:eastAsia="Arial" w:hAnsi="Arial"/>
          <w:color w:val="231f20"/>
          <w:sz w:val="18"/>
          <w:szCs w:val="18"/>
          <w:rtl w:val="0"/>
        </w:rPr>
        <w:t xml:space="preserve">=excluded if patient inclusion criteria not met,</w:t>
      </w:r>
      <w:r w:rsidDel="00000000" w:rsidR="00000000" w:rsidRPr="00000000">
        <w:rPr>
          <w:rFonts w:ascii="Arial" w:cs="Arial" w:eastAsia="Arial" w:hAnsi="Arial"/>
          <w:i w:val="1"/>
          <w:color w:val="231f20"/>
          <w:sz w:val="18"/>
          <w:szCs w:val="18"/>
          <w:rtl w:val="0"/>
        </w:rPr>
        <w:t xml:space="preserve"> B</w:t>
      </w:r>
      <w:r w:rsidDel="00000000" w:rsidR="00000000" w:rsidRPr="00000000">
        <w:rPr>
          <w:rFonts w:ascii="Arial" w:cs="Arial" w:eastAsia="Arial" w:hAnsi="Arial"/>
          <w:color w:val="231f20"/>
          <w:sz w:val="18"/>
          <w:szCs w:val="18"/>
          <w:rtl w:val="0"/>
        </w:rPr>
        <w:t xml:space="preserve">=excluded if no stool sample given at baseline visit, </w:t>
      </w:r>
      <w:r w:rsidDel="00000000" w:rsidR="00000000" w:rsidRPr="00000000">
        <w:rPr>
          <w:rFonts w:ascii="Arial" w:cs="Arial" w:eastAsia="Arial" w:hAnsi="Arial"/>
          <w:i w:val="1"/>
          <w:color w:val="231f20"/>
          <w:sz w:val="18"/>
          <w:szCs w:val="18"/>
          <w:rtl w:val="0"/>
        </w:rPr>
        <w:t xml:space="preserve">C</w:t>
      </w:r>
      <w:r w:rsidDel="00000000" w:rsidR="00000000" w:rsidRPr="00000000">
        <w:rPr>
          <w:rFonts w:ascii="Arial" w:cs="Arial" w:eastAsia="Arial" w:hAnsi="Arial"/>
          <w:color w:val="231f20"/>
          <w:sz w:val="18"/>
          <w:szCs w:val="18"/>
          <w:rtl w:val="0"/>
        </w:rPr>
        <w:t xml:space="preserve">=excluded if metadata incomplete or sequenced stool sample of poor quality,</w:t>
      </w:r>
      <w:r w:rsidDel="00000000" w:rsidR="00000000" w:rsidRPr="00000000">
        <w:rPr>
          <w:rFonts w:ascii="Arial" w:cs="Arial" w:eastAsia="Arial" w:hAnsi="Arial"/>
          <w:i w:val="1"/>
          <w:color w:val="231f20"/>
          <w:sz w:val="18"/>
          <w:szCs w:val="18"/>
          <w:rtl w:val="0"/>
        </w:rPr>
        <w:t xml:space="preserve"> D</w:t>
      </w:r>
      <w:r w:rsidDel="00000000" w:rsidR="00000000" w:rsidRPr="00000000">
        <w:rPr>
          <w:rFonts w:ascii="Arial" w:cs="Arial" w:eastAsia="Arial" w:hAnsi="Arial"/>
          <w:color w:val="231f20"/>
          <w:sz w:val="18"/>
          <w:szCs w:val="18"/>
          <w:rtl w:val="0"/>
        </w:rPr>
        <w:t xml:space="preserve">=excluded if </w:t>
      </w:r>
      <w:r w:rsidDel="00000000" w:rsidR="00000000" w:rsidRPr="00000000">
        <w:rPr>
          <w:rFonts w:ascii="Arial Unicode MS" w:cs="Arial Unicode MS" w:eastAsia="Arial Unicode MS" w:hAnsi="Arial Unicode MS"/>
          <w:color w:val="231f20"/>
          <w:sz w:val="18"/>
          <w:szCs w:val="18"/>
          <w:rtl w:val="0"/>
        </w:rPr>
        <w:t xml:space="preserve">oral antibiotics taken ≤30 days prior to stool sample, or if</w:t>
      </w:r>
      <w:r w:rsidDel="00000000" w:rsidR="00000000" w:rsidRPr="00000000">
        <w:rPr>
          <w:rFonts w:ascii="Arial" w:cs="Arial" w:eastAsia="Arial" w:hAnsi="Arial"/>
          <w:color w:val="231f20"/>
          <w:sz w:val="18"/>
          <w:szCs w:val="18"/>
          <w:rtl w:val="0"/>
        </w:rPr>
        <w:t xml:space="preserve"> previous diagnosis of SpA, AAU, CD, </w:t>
      </w:r>
      <w:r w:rsidDel="00000000" w:rsidR="00000000" w:rsidRPr="00000000">
        <w:rPr>
          <w:rFonts w:ascii="Arial" w:cs="Arial" w:eastAsia="Arial" w:hAnsi="Arial"/>
          <w:color w:val="231f20"/>
          <w:sz w:val="18"/>
          <w:szCs w:val="18"/>
          <w:rtl w:val="0"/>
        </w:rPr>
        <w:t xml:space="preserve">UC,</w:t>
      </w:r>
      <w:r w:rsidDel="00000000" w:rsidR="00000000" w:rsidRPr="00000000">
        <w:rPr>
          <w:rFonts w:ascii="Arial" w:cs="Arial" w:eastAsia="Arial" w:hAnsi="Arial"/>
          <w:color w:val="231f20"/>
          <w:sz w:val="18"/>
          <w:szCs w:val="18"/>
          <w:rtl w:val="0"/>
        </w:rPr>
        <w:t xml:space="preserve"> or psoriasis present. An asterisk* denotes that recruitment was still ongoing at the time of analysis. </w:t>
      </w:r>
      <w:r w:rsidDel="00000000" w:rsidR="00000000" w:rsidRPr="00000000">
        <w:rPr>
          <w:rFonts w:ascii="Arial" w:cs="Arial" w:eastAsia="Arial" w:hAnsi="Arial"/>
          <w:sz w:val="18"/>
          <w:szCs w:val="18"/>
          <w:rtl w:val="0"/>
        </w:rPr>
        <w:t xml:space="preserve">Control samples were obtained from the Optiref study</w:t>
      </w:r>
      <w:hyperlink r:id="rId7">
        <w:r w:rsidDel="00000000" w:rsidR="00000000" w:rsidRPr="00000000">
          <w:rPr>
            <w:rFonts w:ascii="Arial" w:cs="Arial" w:eastAsia="Arial" w:hAnsi="Arial"/>
            <w:b w:val="0"/>
            <w:color w:val="000000"/>
            <w:sz w:val="18"/>
            <w:szCs w:val="18"/>
            <w:u w:val="none"/>
            <w:vertAlign w:val="superscript"/>
            <w:rtl w:val="0"/>
          </w:rPr>
          <w:t xml:space="preserve">1</w:t>
        </w:r>
      </w:hyperlink>
      <w:r w:rsidDel="00000000" w:rsidR="00000000" w:rsidRPr="00000000">
        <w:rPr>
          <w:rFonts w:ascii="Arial" w:cs="Arial" w:eastAsia="Arial" w:hAnsi="Arial"/>
          <w:color w:val="231f20"/>
          <w:sz w:val="18"/>
          <w:szCs w:val="18"/>
          <w:rtl w:val="0"/>
        </w:rPr>
        <w:t xml:space="preserve"> </w:t>
      </w:r>
      <w:r w:rsidDel="00000000" w:rsidR="00000000" w:rsidRPr="00000000">
        <w:rPr>
          <w:rFonts w:ascii="Arial" w:cs="Arial" w:eastAsia="Arial" w:hAnsi="Arial"/>
          <w:color w:val="231f20"/>
          <w:sz w:val="18"/>
          <w:szCs w:val="18"/>
          <w:rtl w:val="0"/>
        </w:rPr>
        <w:t xml:space="preserve">and were resequenced and reprofiled with patient samples.</w:t>
      </w:r>
      <w:r w:rsidDel="00000000" w:rsidR="00000000" w:rsidRPr="00000000">
        <w:rPr>
          <w:rFonts w:ascii="Arial" w:cs="Arial" w:eastAsia="Arial" w:hAnsi="Arial"/>
          <w:b w:val="1"/>
          <w:color w:val="231f20"/>
          <w:sz w:val="18"/>
          <w:szCs w:val="18"/>
          <w:rtl w:val="0"/>
        </w:rPr>
        <w:t xml:space="preserve"> B) </w:t>
      </w:r>
      <w:r w:rsidDel="00000000" w:rsidR="00000000" w:rsidRPr="00000000">
        <w:rPr>
          <w:rFonts w:ascii="Arial" w:cs="Arial" w:eastAsia="Arial" w:hAnsi="Arial"/>
          <w:color w:val="231f20"/>
          <w:sz w:val="18"/>
          <w:szCs w:val="18"/>
          <w:rtl w:val="0"/>
        </w:rPr>
        <w:t xml:space="preserve">Patients were recruited into cohorts reflecting their primary disease pathology, but varied in </w:t>
      </w:r>
      <w:r w:rsidDel="00000000" w:rsidR="00000000" w:rsidRPr="00000000">
        <w:rPr>
          <w:rFonts w:ascii="Arial" w:cs="Arial" w:eastAsia="Arial" w:hAnsi="Arial"/>
          <w:color w:val="231f20"/>
          <w:sz w:val="18"/>
          <w:szCs w:val="18"/>
          <w:rtl w:val="0"/>
        </w:rPr>
        <w:t xml:space="preserve">their expression of human leukocyte antigen (HLA) B27 and</w:t>
      </w:r>
      <w:r w:rsidDel="00000000" w:rsidR="00000000" w:rsidRPr="00000000">
        <w:rPr>
          <w:rFonts w:ascii="Arial" w:cs="Arial" w:eastAsia="Arial" w:hAnsi="Arial"/>
          <w:color w:val="231f20"/>
          <w:sz w:val="18"/>
          <w:szCs w:val="18"/>
          <w:rtl w:val="0"/>
        </w:rPr>
        <w:t xml:space="preserve"> their presentation of secondary and tertiary pathologies. </w:t>
      </w:r>
      <w:r w:rsidDel="00000000" w:rsidR="00000000" w:rsidRPr="00000000">
        <w:rPr>
          <w:rFonts w:ascii="Arial" w:cs="Arial" w:eastAsia="Arial" w:hAnsi="Arial"/>
          <w:color w:val="231f20"/>
          <w:sz w:val="18"/>
          <w:szCs w:val="18"/>
          <w:rtl w:val="0"/>
        </w:rPr>
        <w:t xml:space="preserve">CD, Crohn’s disease; axSpA, axial spondyloarthritis; AAU, acute anterior uveitis.</w:t>
      </w:r>
      <w:r w:rsidDel="00000000" w:rsidR="00000000" w:rsidRPr="00000000">
        <w:rPr>
          <w:rtl w:val="0"/>
        </w:rPr>
      </w:r>
    </w:p>
    <w:p w:rsidR="00000000" w:rsidDel="00000000" w:rsidP="00000000" w:rsidRDefault="00000000" w:rsidRPr="00000000" w14:paraId="0000000C">
      <w:pPr>
        <w:tabs>
          <w:tab w:val="left" w:leader="none" w:pos="1534"/>
        </w:tabs>
        <w:spacing w:line="276" w:lineRule="auto"/>
        <w:jc w:val="both"/>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5919788" cy="5319942"/>
            <wp:effectExtent b="0" l="0" r="0" t="0"/>
            <wp:docPr id="2" name="image2.png"/>
            <a:graphic>
              <a:graphicData uri="http://schemas.openxmlformats.org/drawingml/2006/picture">
                <pic:pic>
                  <pic:nvPicPr>
                    <pic:cNvPr id="0" name="image2.png"/>
                    <pic:cNvPicPr preferRelativeResize="0"/>
                  </pic:nvPicPr>
                  <pic:blipFill>
                    <a:blip r:embed="rId8"/>
                    <a:srcRect b="0" l="0" r="0" t="-2075"/>
                    <a:stretch>
                      <a:fillRect/>
                    </a:stretch>
                  </pic:blipFill>
                  <pic:spPr>
                    <a:xfrm>
                      <a:off x="0" y="0"/>
                      <a:ext cx="5919788" cy="5319942"/>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jc w:val="both"/>
        <w:rPr>
          <w:rFonts w:ascii="Arial" w:cs="Arial" w:eastAsia="Arial" w:hAnsi="Arial"/>
          <w:sz w:val="18"/>
          <w:szCs w:val="18"/>
        </w:rPr>
      </w:pPr>
      <w:r w:rsidDel="00000000" w:rsidR="00000000" w:rsidRPr="00000000">
        <w:rPr>
          <w:rFonts w:ascii="Arial" w:cs="Arial" w:eastAsia="Arial" w:hAnsi="Arial"/>
          <w:b w:val="1"/>
          <w:sz w:val="18"/>
          <w:szCs w:val="18"/>
          <w:rtl w:val="0"/>
        </w:rPr>
        <w:t xml:space="preserve">Supplementary Figure 2: Microbiota composition of immune-mediated disease cohorts and back pain controls. </w:t>
      </w:r>
      <w:r w:rsidDel="00000000" w:rsidR="00000000" w:rsidRPr="00000000">
        <w:rPr>
          <w:rFonts w:ascii="Arial" w:cs="Arial" w:eastAsia="Arial" w:hAnsi="Arial"/>
          <w:sz w:val="18"/>
          <w:szCs w:val="18"/>
          <w:rtl w:val="0"/>
        </w:rPr>
        <w:t xml:space="preserve">Relative abundances at different taxonomic resolutions of all n=339 individuals in our study, grouped by primary (recruitment) cohort.</w:t>
      </w:r>
      <w:r w:rsidDel="00000000" w:rsidR="00000000" w:rsidRPr="00000000">
        <w:rPr>
          <w:rFonts w:ascii="Arial" w:cs="Arial" w:eastAsia="Arial" w:hAnsi="Arial"/>
          <w:b w:val="1"/>
          <w:sz w:val="18"/>
          <w:szCs w:val="18"/>
          <w:rtl w:val="0"/>
        </w:rPr>
        <w:t xml:space="preserve"> A) </w:t>
      </w:r>
      <w:r w:rsidDel="00000000" w:rsidR="00000000" w:rsidRPr="00000000">
        <w:rPr>
          <w:rFonts w:ascii="Arial" w:cs="Arial" w:eastAsia="Arial" w:hAnsi="Arial"/>
          <w:sz w:val="18"/>
          <w:szCs w:val="18"/>
          <w:rtl w:val="0"/>
        </w:rPr>
        <w:t xml:space="preserve">Phylum-level taxonomic profiles. Phyla with a median relative abundance of 0 across at least two cohorts were grouped into “Other”. </w:t>
      </w:r>
      <w:r w:rsidDel="00000000" w:rsidR="00000000" w:rsidRPr="00000000">
        <w:rPr>
          <w:rFonts w:ascii="Arial" w:cs="Arial" w:eastAsia="Arial" w:hAnsi="Arial"/>
          <w:b w:val="1"/>
          <w:sz w:val="18"/>
          <w:szCs w:val="18"/>
          <w:rtl w:val="0"/>
        </w:rPr>
        <w:t xml:space="preserve">B)</w:t>
      </w:r>
      <w:r w:rsidDel="00000000" w:rsidR="00000000" w:rsidRPr="00000000">
        <w:rPr>
          <w:rFonts w:ascii="Arial" w:cs="Arial" w:eastAsia="Arial" w:hAnsi="Arial"/>
          <w:sz w:val="18"/>
          <w:szCs w:val="18"/>
          <w:rtl w:val="0"/>
        </w:rPr>
        <w:t xml:space="preserve"> Taxonomic profiles of the top six most abundant taxa, corresponding to relative abundances binned at the genus level, except for Lachnospiraceae (representing an unknown genus inside the Lachnospiraceae family). All other taxa were pooled into “Other”. Both legends are ranked according to median relative abundance across all cohorts from top to bottom and samples follow the same order in A and B. </w:t>
      </w:r>
      <w:r w:rsidDel="00000000" w:rsidR="00000000" w:rsidRPr="00000000">
        <w:rPr>
          <w:rFonts w:ascii="Arial" w:cs="Arial" w:eastAsia="Arial" w:hAnsi="Arial"/>
          <w:b w:val="1"/>
          <w:sz w:val="18"/>
          <w:szCs w:val="18"/>
          <w:rtl w:val="0"/>
        </w:rPr>
        <w:t xml:space="preserve">C) </w:t>
      </w:r>
      <w:r w:rsidDel="00000000" w:rsidR="00000000" w:rsidRPr="00000000">
        <w:rPr>
          <w:rFonts w:ascii="Arial" w:cs="Arial" w:eastAsia="Arial" w:hAnsi="Arial"/>
          <w:color w:val="231f20"/>
          <w:sz w:val="18"/>
          <w:szCs w:val="18"/>
          <w:rtl w:val="0"/>
        </w:rPr>
        <w:t xml:space="preserve"> Median relative abundances of phyla by cohort. </w:t>
      </w:r>
      <w:r w:rsidDel="00000000" w:rsidR="00000000" w:rsidRPr="00000000">
        <w:rPr>
          <w:rFonts w:ascii="Arial" w:cs="Arial" w:eastAsia="Arial" w:hAnsi="Arial"/>
          <w:b w:val="1"/>
          <w:sz w:val="18"/>
          <w:szCs w:val="18"/>
          <w:rtl w:val="0"/>
        </w:rPr>
        <w:t xml:space="preserve">D) </w:t>
      </w:r>
      <w:r w:rsidDel="00000000" w:rsidR="00000000" w:rsidRPr="00000000">
        <w:rPr>
          <w:rFonts w:ascii="Arial" w:cs="Arial" w:eastAsia="Arial" w:hAnsi="Arial"/>
          <w:color w:val="231f20"/>
          <w:sz w:val="18"/>
          <w:szCs w:val="18"/>
          <w:rtl w:val="0"/>
        </w:rPr>
        <w:t xml:space="preserve">Median relative abundances of genera by cohort. </w:t>
      </w:r>
      <w:r w:rsidDel="00000000" w:rsidR="00000000" w:rsidRPr="00000000">
        <w:rPr>
          <w:rFonts w:ascii="Arial" w:cs="Arial" w:eastAsia="Arial" w:hAnsi="Arial"/>
          <w:b w:val="1"/>
          <w:color w:val="231f20"/>
          <w:sz w:val="18"/>
          <w:szCs w:val="18"/>
          <w:rtl w:val="0"/>
        </w:rPr>
        <w:t xml:space="preserve">E)</w:t>
      </w:r>
      <w:r w:rsidDel="00000000" w:rsidR="00000000" w:rsidRPr="00000000">
        <w:rPr>
          <w:rFonts w:ascii="Arial" w:cs="Arial" w:eastAsia="Arial" w:hAnsi="Arial"/>
          <w:color w:val="231f20"/>
          <w:sz w:val="18"/>
          <w:szCs w:val="18"/>
          <w:rtl w:val="0"/>
        </w:rPr>
        <w:t xml:space="preserve"> </w:t>
      </w:r>
      <w:r w:rsidDel="00000000" w:rsidR="00000000" w:rsidRPr="00000000">
        <w:rPr>
          <w:rFonts w:ascii="Arial" w:cs="Arial" w:eastAsia="Arial" w:hAnsi="Arial"/>
          <w:sz w:val="18"/>
          <w:szCs w:val="18"/>
          <w:rtl w:val="0"/>
        </w:rPr>
        <w:t xml:space="preserve">Same as C but for enterotype groups determined from the bins in D (modification from Lahti and Shetty</w:t>
      </w:r>
      <w:hyperlink r:id="rId9">
        <w:r w:rsidDel="00000000" w:rsidR="00000000" w:rsidRPr="00000000">
          <w:rPr>
            <w:rFonts w:ascii="Arial" w:cs="Arial" w:eastAsia="Arial" w:hAnsi="Arial"/>
            <w:b w:val="0"/>
            <w:color w:val="000000"/>
            <w:sz w:val="18"/>
            <w:szCs w:val="18"/>
            <w:u w:val="none"/>
            <w:vertAlign w:val="superscript"/>
            <w:rtl w:val="0"/>
          </w:rPr>
          <w:t xml:space="preserve">2</w:t>
        </w:r>
      </w:hyperlink>
      <w:r w:rsidDel="00000000" w:rsidR="00000000" w:rsidRPr="00000000">
        <w:rPr>
          <w:rFonts w:ascii="Arial" w:cs="Arial" w:eastAsia="Arial" w:hAnsi="Arial"/>
          <w:sz w:val="18"/>
          <w:szCs w:val="18"/>
          <w:rtl w:val="0"/>
        </w:rPr>
        <w:t xml:space="preserve">, see also Holmes, Harris, and Quince</w:t>
      </w:r>
      <w:hyperlink r:id="rId10">
        <w:r w:rsidDel="00000000" w:rsidR="00000000" w:rsidRPr="00000000">
          <w:rPr>
            <w:rFonts w:ascii="Arial" w:cs="Arial" w:eastAsia="Arial" w:hAnsi="Arial"/>
            <w:b w:val="0"/>
            <w:color w:val="000000"/>
            <w:sz w:val="18"/>
            <w:szCs w:val="18"/>
            <w:u w:val="none"/>
            <w:vertAlign w:val="superscript"/>
            <w:rtl w:val="0"/>
          </w:rPr>
          <w:t xml:space="preserve">3</w:t>
        </w:r>
      </w:hyperlink>
      <w:r w:rsidDel="00000000" w:rsidR="00000000" w:rsidRPr="00000000">
        <w:rPr>
          <w:rFonts w:ascii="Arial" w:cs="Arial" w:eastAsia="Arial" w:hAnsi="Arial"/>
          <w:sz w:val="18"/>
          <w:szCs w:val="18"/>
          <w:rtl w:val="0"/>
        </w:rPr>
        <w:t xml:space="preserve">), representing the sum of all ASVs bearing the indicated genus label. </w:t>
      </w:r>
      <w:r w:rsidDel="00000000" w:rsidR="00000000" w:rsidRPr="00000000">
        <w:rPr>
          <w:rFonts w:ascii="Arial" w:cs="Arial" w:eastAsia="Arial" w:hAnsi="Arial"/>
          <w:b w:val="1"/>
          <w:sz w:val="18"/>
          <w:szCs w:val="18"/>
          <w:rtl w:val="0"/>
        </w:rPr>
        <w:t xml:space="preserve">F)</w:t>
      </w:r>
      <w:r w:rsidDel="00000000" w:rsidR="00000000" w:rsidRPr="00000000">
        <w:rPr>
          <w:rFonts w:ascii="Arial" w:cs="Arial" w:eastAsia="Arial" w:hAnsi="Arial"/>
          <w:sz w:val="18"/>
          <w:szCs w:val="18"/>
          <w:rtl w:val="0"/>
        </w:rPr>
        <w:t xml:space="preserve"> Same as D, but as in E shown for each enterotype.</w:t>
      </w:r>
    </w:p>
    <w:p w:rsidR="00000000" w:rsidDel="00000000" w:rsidP="00000000" w:rsidRDefault="00000000" w:rsidRPr="00000000" w14:paraId="0000000E">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0F">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0">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1">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2">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3">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4">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5">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6">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7">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8">
      <w:pPr>
        <w:spacing w:line="276"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All supplementary tables are hosted at </w:t>
      </w:r>
      <w:hyperlink r:id="rId11">
        <w:r w:rsidDel="00000000" w:rsidR="00000000" w:rsidRPr="00000000">
          <w:rPr>
            <w:rFonts w:ascii="Arial" w:cs="Arial" w:eastAsia="Arial" w:hAnsi="Arial"/>
            <w:color w:val="1155cc"/>
            <w:sz w:val="18"/>
            <w:szCs w:val="18"/>
            <w:u w:val="single"/>
            <w:rtl w:val="0"/>
          </w:rPr>
          <w:t xml:space="preserve">www.github.com/sxmorgan/gespic-public</w:t>
        </w:r>
      </w:hyperlink>
      <w:r w:rsidDel="00000000" w:rsidR="00000000" w:rsidRPr="00000000">
        <w:rPr>
          <w:rFonts w:ascii="Arial" w:cs="Arial" w:eastAsia="Arial" w:hAnsi="Arial"/>
          <w:sz w:val="18"/>
          <w:szCs w:val="18"/>
          <w:rtl w:val="0"/>
        </w:rPr>
        <w:t xml:space="preserve">, and printed here if space allows.</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19">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A">
      <w:pPr>
        <w:pStyle w:val="Heading2"/>
        <w:spacing w:line="276" w:lineRule="auto"/>
        <w:jc w:val="both"/>
        <w:rPr>
          <w:rFonts w:ascii="Arial" w:cs="Arial" w:eastAsia="Arial" w:hAnsi="Arial"/>
          <w:color w:val="000000"/>
          <w:sz w:val="18"/>
          <w:szCs w:val="18"/>
        </w:rPr>
      </w:pPr>
      <w:bookmarkStart w:colFirst="0" w:colLast="0" w:name="_gbpgcx7h7b7h" w:id="5"/>
      <w:bookmarkEnd w:id="5"/>
      <w:r w:rsidDel="00000000" w:rsidR="00000000" w:rsidRPr="00000000">
        <w:rPr>
          <w:rFonts w:ascii="Arial" w:cs="Arial" w:eastAsia="Arial" w:hAnsi="Arial"/>
          <w:b w:val="1"/>
          <w:color w:val="000000"/>
          <w:sz w:val="18"/>
          <w:szCs w:val="18"/>
          <w:rtl w:val="0"/>
        </w:rPr>
        <w:t xml:space="preserve">Supplementary Table 1: Taxonomic annotations for all n=442 ASVs used in the differential abundance analysis</w:t>
      </w:r>
      <w:r w:rsidDel="00000000" w:rsidR="00000000" w:rsidRPr="00000000">
        <w:rPr>
          <w:rFonts w:ascii="Arial" w:cs="Arial" w:eastAsia="Arial" w:hAnsi="Arial"/>
          <w:color w:val="000000"/>
          <w:sz w:val="18"/>
          <w:szCs w:val="18"/>
          <w:rtl w:val="0"/>
        </w:rPr>
        <w:t xml:space="preserve">. Species annotations were inferred using the </w:t>
      </w:r>
      <w:r w:rsidDel="00000000" w:rsidR="00000000" w:rsidRPr="00000000">
        <w:rPr>
          <w:rFonts w:ascii="Arial" w:cs="Arial" w:eastAsia="Arial" w:hAnsi="Arial"/>
          <w:i w:val="1"/>
          <w:color w:val="000000"/>
          <w:sz w:val="18"/>
          <w:szCs w:val="18"/>
          <w:rtl w:val="0"/>
        </w:rPr>
        <w:t xml:space="preserve">dada2::addSpecies</w:t>
      </w:r>
      <w:r w:rsidDel="00000000" w:rsidR="00000000" w:rsidRPr="00000000">
        <w:rPr>
          <w:rFonts w:ascii="Arial" w:cs="Arial" w:eastAsia="Arial" w:hAnsi="Arial"/>
          <w:color w:val="000000"/>
          <w:sz w:val="18"/>
          <w:szCs w:val="18"/>
          <w:rtl w:val="0"/>
        </w:rPr>
        <w:t xml:space="preserve"> function with </w:t>
      </w:r>
      <w:r w:rsidDel="00000000" w:rsidR="00000000" w:rsidRPr="00000000">
        <w:rPr>
          <w:rFonts w:ascii="Arial" w:cs="Arial" w:eastAsia="Arial" w:hAnsi="Arial"/>
          <w:i w:val="1"/>
          <w:color w:val="000000"/>
          <w:sz w:val="18"/>
          <w:szCs w:val="18"/>
          <w:rtl w:val="0"/>
        </w:rPr>
        <w:t xml:space="preserve">allowMultiple=F</w:t>
      </w:r>
      <w:r w:rsidDel="00000000" w:rsidR="00000000" w:rsidRPr="00000000">
        <w:rPr>
          <w:rFonts w:ascii="Arial" w:cs="Arial" w:eastAsia="Arial" w:hAnsi="Arial"/>
          <w:color w:val="000000"/>
          <w:sz w:val="18"/>
          <w:szCs w:val="18"/>
          <w:rtl w:val="0"/>
        </w:rPr>
        <w:t xml:space="preserve">, in order to exclude identification of ASVs where a species-level consensus was not reached</w:t>
      </w:r>
      <w:hyperlink r:id="rId12">
        <w:r w:rsidDel="00000000" w:rsidR="00000000" w:rsidRPr="00000000">
          <w:rPr>
            <w:rFonts w:ascii="Arial" w:cs="Arial" w:eastAsia="Arial" w:hAnsi="Arial"/>
            <w:b w:val="0"/>
            <w:color w:val="000000"/>
            <w:sz w:val="18"/>
            <w:szCs w:val="18"/>
            <w:u w:val="none"/>
            <w:vertAlign w:val="superscript"/>
            <w:rtl w:val="0"/>
          </w:rPr>
          <w:t xml:space="preserve">4</w:t>
        </w:r>
      </w:hyperlink>
      <w:r w:rsidDel="00000000" w:rsidR="00000000" w:rsidRPr="00000000">
        <w:rPr>
          <w:rFonts w:ascii="Arial" w:cs="Arial" w:eastAsia="Arial" w:hAnsi="Arial"/>
          <w:color w:val="000000"/>
          <w:sz w:val="18"/>
          <w:szCs w:val="18"/>
          <w:rtl w:val="0"/>
        </w:rPr>
        <w:t xml:space="preserve">. For the binned differential abundance analysis, the column “bin” was used to sum ASV rows.</w:t>
      </w:r>
    </w:p>
    <w:p w:rsidR="00000000" w:rsidDel="00000000" w:rsidP="00000000" w:rsidRDefault="00000000" w:rsidRPr="00000000" w14:paraId="0000001B">
      <w:pPr>
        <w:rPr/>
      </w:pPr>
      <w:r w:rsidDel="00000000" w:rsidR="00000000" w:rsidRPr="00000000">
        <w:rPr>
          <w:rtl w:val="0"/>
        </w:rPr>
      </w:r>
    </w:p>
    <w:tbl>
      <w:tblPr>
        <w:tblStyle w:val="Table1"/>
        <w:tblW w:w="9360.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085"/>
        <w:gridCol w:w="1710"/>
        <w:gridCol w:w="5565"/>
        <w:tblGridChange w:id="0">
          <w:tblGrid>
            <w:gridCol w:w="2085"/>
            <w:gridCol w:w="1710"/>
            <w:gridCol w:w="5565"/>
          </w:tblGrid>
        </w:tblGridChange>
      </w:tblGrid>
      <w:tr>
        <w:trPr>
          <w:cantSplit w:val="0"/>
          <w:trHeight w:val="14.399999999999999" w:hRule="atLeast"/>
          <w:tblHeader w:val="1"/>
        </w:trPr>
        <w:tc>
          <w:tcPr>
            <w:tcBorders>
              <w:top w:color="000000" w:space="0" w:sz="0" w:val="nil"/>
              <w:left w:color="000000" w:space="0" w:sz="0" w:val="nil"/>
              <w:bottom w:color="7f7f7f" w:space="0" w:sz="8" w:val="single"/>
              <w:right w:color="000000" w:space="0" w:sz="0" w:val="nil"/>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C">
            <w:pPr>
              <w:spacing w:line="240" w:lineRule="auto"/>
              <w:jc w:val="righ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Covariate</w:t>
            </w:r>
          </w:p>
        </w:tc>
        <w:tc>
          <w:tcPr>
            <w:tcBorders>
              <w:top w:color="000000" w:space="0" w:sz="0" w:val="nil"/>
              <w:left w:color="000000" w:space="0" w:sz="0" w:val="nil"/>
              <w:bottom w:color="7f7f7f" w:space="0" w:sz="8" w:val="single"/>
              <w:right w:color="000000" w:space="0" w:sz="0" w:val="nil"/>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D">
            <w:pPr>
              <w:spacing w:line="240" w:lineRule="auto"/>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Variable type</w:t>
            </w:r>
          </w:p>
        </w:tc>
        <w:tc>
          <w:tcPr>
            <w:tcBorders>
              <w:top w:color="000000" w:space="0" w:sz="0" w:val="nil"/>
              <w:left w:color="000000" w:space="0" w:sz="0" w:val="nil"/>
              <w:bottom w:color="7f7f7f" w:space="0" w:sz="8" w:val="single"/>
              <w:right w:color="000000" w:space="0" w:sz="0" w:val="nil"/>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E">
            <w:pPr>
              <w:spacing w:line="240" w:lineRule="auto"/>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Description</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F">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GESPIC</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0">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1">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Any</w:t>
            </w:r>
            <w:r w:rsidDel="00000000" w:rsidR="00000000" w:rsidRPr="00000000">
              <w:rPr>
                <w:rFonts w:ascii="Arial" w:cs="Arial" w:eastAsia="Arial" w:hAnsi="Arial"/>
                <w:sz w:val="22"/>
                <w:szCs w:val="22"/>
                <w:rtl w:val="0"/>
              </w:rPr>
              <w:t xml:space="preserve"> disease </w:t>
            </w:r>
            <w:r w:rsidDel="00000000" w:rsidR="00000000" w:rsidRPr="00000000">
              <w:rPr>
                <w:rFonts w:ascii="Arial" w:cs="Arial" w:eastAsia="Arial" w:hAnsi="Arial"/>
                <w:sz w:val="22"/>
                <w:szCs w:val="22"/>
                <w:rtl w:val="0"/>
              </w:rPr>
              <w:t xml:space="preserve">diagnosis</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2">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Age</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3">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Continuous</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4">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Age in years</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5">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Sex</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6">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7">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Sex assigned at birth</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8">
            <w:pPr>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BMI</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9">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Continuous</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A">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Body mass index</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B">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HLAB27</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C">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D">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HLA-B27 </w:t>
            </w:r>
            <w:r w:rsidDel="00000000" w:rsidR="00000000" w:rsidRPr="00000000">
              <w:rPr>
                <w:rFonts w:ascii="Arial" w:cs="Arial" w:eastAsia="Arial" w:hAnsi="Arial"/>
                <w:sz w:val="22"/>
                <w:szCs w:val="22"/>
                <w:rtl w:val="0"/>
              </w:rPr>
              <w:t xml:space="preserve">expression</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E">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CRP</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2F">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Continuous</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0">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C-Reactive Protein in mg/L</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1">
            <w:pPr>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ESR</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2">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Continuous</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3">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Erythrocyte sedimentation rate in mm/h</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4">
            <w:pPr>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BASDAI</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5">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Ordinal</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6">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Bath Ankylosing Spondylitis Disease Activity Index</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7">
            <w:pPr>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SpA</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8">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9">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Previous or current spondyloarthritis diagnosis</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A">
            <w:pPr>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CD</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B">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C">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Previous or current Crohn's diagnosis</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D">
            <w:pPr>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AAU</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E">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3F">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Previous or current acute anterior uveitis diagnosis</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0">
            <w:pPr>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PsA</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1">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2">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Previous or current psoriatic arthritis diagnosis</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3">
            <w:pPr>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Antibiotics_recent</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4">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5">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Antibiotic treatment </w:t>
            </w:r>
            <w:r w:rsidDel="00000000" w:rsidR="00000000" w:rsidRPr="00000000">
              <w:rPr>
                <w:rFonts w:ascii="Arial" w:cs="Arial" w:eastAsia="Arial" w:hAnsi="Arial"/>
                <w:sz w:val="22"/>
                <w:szCs w:val="22"/>
                <w:rtl w:val="0"/>
              </w:rPr>
              <w:t xml:space="preserve">2-3 months before sampling</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6">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Corticoid_current</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7">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8">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Current glucocorticoid treatment</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9">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csDMARD_ever</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A">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B">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Current conventional synthetic DMARD treatment</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C">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csDMARD_current</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D">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E">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Previous conventional synthetic DMARD treatment</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4F">
            <w:pPr>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NSAID_current</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0">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1">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Current NSAID treatment</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2">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Smoker</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3">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4">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Current smoker</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5">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Cohort_CD</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6">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7">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Crohn’s disease cohort (primary CD diagnosis)</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8">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Cohort_SpA</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9">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A">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Axial spondyloarthritis cohort (primary SpA diagnosis)</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B">
            <w:pPr>
              <w:spacing w:line="240"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Cohort_AAU</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C">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Binary</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D">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Acute anterior uveitis cohort (primary AAU diagnosis)</w:t>
            </w:r>
          </w:p>
        </w:tc>
      </w:tr>
      <w:tr>
        <w:trPr>
          <w:cantSplit w:val="0"/>
          <w:trHeight w:val="14.399999999999999" w:hRule="atLeast"/>
          <w:tblHeader w:val="1"/>
        </w:trPr>
        <w:tc>
          <w:tcPr>
            <w:tcBorders>
              <w:top w:color="000000" w:space="0" w:sz="0" w:val="nil"/>
              <w:left w:color="000000" w:space="0" w:sz="0" w:val="nil"/>
              <w:bottom w:color="000000" w:space="0" w:sz="0" w:val="nil"/>
              <w:right w:color="7f7f7f" w:space="0" w:sz="8" w:val="single"/>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E">
            <w:pPr>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LibSize</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5F">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Continuous</w:t>
            </w:r>
          </w:p>
        </w:tc>
        <w:tc>
          <w:tcPr>
            <w:tcBorders>
              <w:top w:color="000000" w:space="0" w:sz="0" w:val="nil"/>
              <w:left w:color="000000" w:space="0" w:sz="0" w:val="nil"/>
              <w:bottom w:color="000000" w:space="0" w:sz="0" w:val="nil"/>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60">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Raw number of sequencing reads from stool sample</w:t>
            </w:r>
          </w:p>
        </w:tc>
      </w:tr>
    </w:tbl>
    <w:p w:rsidR="00000000" w:rsidDel="00000000" w:rsidP="00000000" w:rsidRDefault="00000000" w:rsidRPr="00000000" w14:paraId="00000061">
      <w:pPr>
        <w:pStyle w:val="Heading2"/>
        <w:spacing w:line="276" w:lineRule="auto"/>
        <w:jc w:val="both"/>
        <w:rPr>
          <w:rFonts w:ascii="Arial" w:cs="Arial" w:eastAsia="Arial" w:hAnsi="Arial"/>
          <w:b w:val="1"/>
          <w:color w:val="000000"/>
          <w:sz w:val="18"/>
          <w:szCs w:val="18"/>
        </w:rPr>
      </w:pPr>
      <w:bookmarkStart w:colFirst="0" w:colLast="0" w:name="_qka76ccoybdu" w:id="6"/>
      <w:bookmarkEnd w:id="6"/>
      <w:r w:rsidDel="00000000" w:rsidR="00000000" w:rsidRPr="00000000">
        <w:rPr>
          <w:rtl w:val="0"/>
        </w:rPr>
      </w:r>
    </w:p>
    <w:p w:rsidR="00000000" w:rsidDel="00000000" w:rsidP="00000000" w:rsidRDefault="00000000" w:rsidRPr="00000000" w14:paraId="00000062">
      <w:pPr>
        <w:pStyle w:val="Heading2"/>
        <w:spacing w:line="276" w:lineRule="auto"/>
        <w:jc w:val="both"/>
        <w:rPr>
          <w:rFonts w:ascii="Arial" w:cs="Arial" w:eastAsia="Arial" w:hAnsi="Arial"/>
          <w:b w:val="1"/>
          <w:color w:val="000000"/>
          <w:sz w:val="18"/>
          <w:szCs w:val="18"/>
        </w:rPr>
      </w:pPr>
      <w:bookmarkStart w:colFirst="0" w:colLast="0" w:name="_b3oyp6w6b5tc" w:id="7"/>
      <w:bookmarkEnd w:id="7"/>
      <w:r w:rsidDel="00000000" w:rsidR="00000000" w:rsidRPr="00000000">
        <w:rPr>
          <w:rFonts w:ascii="Arial" w:cs="Arial" w:eastAsia="Arial" w:hAnsi="Arial"/>
          <w:b w:val="1"/>
          <w:color w:val="000000"/>
          <w:sz w:val="18"/>
          <w:szCs w:val="18"/>
          <w:rtl w:val="0"/>
        </w:rPr>
        <w:t xml:space="preserve">Supplementary Table </w:t>
      </w:r>
      <w:r w:rsidDel="00000000" w:rsidR="00000000" w:rsidRPr="00000000">
        <w:rPr>
          <w:rFonts w:ascii="Arial" w:cs="Arial" w:eastAsia="Arial" w:hAnsi="Arial"/>
          <w:b w:val="1"/>
          <w:color w:val="000000"/>
          <w:sz w:val="18"/>
          <w:szCs w:val="18"/>
          <w:rtl w:val="0"/>
        </w:rPr>
        <w:t xml:space="preserve">2:</w:t>
      </w:r>
      <w:r w:rsidDel="00000000" w:rsidR="00000000" w:rsidRPr="00000000">
        <w:rPr>
          <w:rFonts w:ascii="Arial" w:cs="Arial" w:eastAsia="Arial" w:hAnsi="Arial"/>
          <w:b w:val="1"/>
          <w:color w:val="000000"/>
          <w:sz w:val="18"/>
          <w:szCs w:val="18"/>
          <w:rtl w:val="0"/>
        </w:rPr>
        <w:t xml:space="preserve"> Complete list of tested covariates available for all patients and controls</w:t>
      </w:r>
    </w:p>
    <w:p w:rsidR="00000000" w:rsidDel="00000000" w:rsidP="00000000" w:rsidRDefault="00000000" w:rsidRPr="00000000" w14:paraId="00000063">
      <w:pPr>
        <w:spacing w:line="276"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GESPIC: German Spondyloarthritis Inception Cohort; HLA-B27: human leukocyte antigen B27; DMARD: disease-modifying anti-rheumatic drug; NSAID: non-steroidal anti-inflammatory drug</w:t>
      </w:r>
    </w:p>
    <w:p w:rsidR="00000000" w:rsidDel="00000000" w:rsidP="00000000" w:rsidRDefault="00000000" w:rsidRPr="00000000" w14:paraId="00000064">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5">
      <w:pPr>
        <w:spacing w:line="276" w:lineRule="auto"/>
        <w:jc w:val="both"/>
        <w:rPr>
          <w:rFonts w:ascii="Arial" w:cs="Arial" w:eastAsia="Arial" w:hAnsi="Arial"/>
          <w:sz w:val="22"/>
          <w:szCs w:val="22"/>
        </w:rPr>
      </w:pPr>
      <w:r w:rsidDel="00000000" w:rsidR="00000000" w:rsidRPr="00000000">
        <w:rPr>
          <w:rFonts w:ascii="Arial" w:cs="Arial" w:eastAsia="Arial" w:hAnsi="Arial"/>
          <w:b w:val="1"/>
          <w:color w:val="000000"/>
          <w:sz w:val="18"/>
          <w:szCs w:val="18"/>
          <w:rtl w:val="0"/>
        </w:rPr>
        <w:t xml:space="preserve">Supplementary Table 3: Master table of all n=339 anonymized individuals in our study. </w:t>
      </w:r>
      <w:r w:rsidDel="00000000" w:rsidR="00000000" w:rsidRPr="00000000">
        <w:rPr>
          <w:rFonts w:ascii="Arial" w:cs="Arial" w:eastAsia="Arial" w:hAnsi="Arial"/>
          <w:color w:val="000000"/>
          <w:sz w:val="18"/>
          <w:szCs w:val="18"/>
          <w:rtl w:val="0"/>
        </w:rPr>
        <w:t xml:space="preserve">ASV and higher taxa (binned at genus- or family-level) relative abundance profiles, alpha diversities, and clinical metadata (NA if missing) are included in wide format.</w:t>
      </w:r>
      <w:r w:rsidDel="00000000" w:rsidR="00000000" w:rsidRPr="00000000">
        <w:rPr>
          <w:rtl w:val="0"/>
        </w:rPr>
      </w:r>
    </w:p>
    <w:p w:rsidR="00000000" w:rsidDel="00000000" w:rsidP="00000000" w:rsidRDefault="00000000" w:rsidRPr="00000000" w14:paraId="00000066">
      <w:pPr>
        <w:pStyle w:val="Heading1"/>
        <w:spacing w:after="200" w:line="276" w:lineRule="auto"/>
        <w:jc w:val="both"/>
        <w:rPr>
          <w:rFonts w:ascii="Arial" w:cs="Arial" w:eastAsia="Arial" w:hAnsi="Arial"/>
          <w:sz w:val="20"/>
          <w:szCs w:val="20"/>
        </w:rPr>
      </w:pPr>
      <w:bookmarkStart w:colFirst="0" w:colLast="0" w:name="_xovmh54tmloi" w:id="8"/>
      <w:bookmarkEnd w:id="8"/>
      <w:r w:rsidDel="00000000" w:rsidR="00000000" w:rsidRPr="00000000">
        <w:rPr>
          <w:rFonts w:ascii="Arial" w:cs="Arial" w:eastAsia="Arial" w:hAnsi="Arial"/>
          <w:color w:val="000000"/>
          <w:sz w:val="28"/>
          <w:szCs w:val="28"/>
          <w:rtl w:val="0"/>
        </w:rPr>
        <w:t xml:space="preserve">References</w:t>
      </w:r>
      <w:r w:rsidDel="00000000" w:rsidR="00000000" w:rsidRPr="00000000">
        <w:rPr>
          <w:rtl w:val="0"/>
        </w:rPr>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76" w:lineRule="auto"/>
        <w:ind w:left="400" w:right="0" w:hanging="400"/>
        <w:jc w:val="left"/>
        <w:rPr>
          <w:rFonts w:ascii="Arial" w:cs="Arial" w:eastAsia="Arial" w:hAnsi="Arial"/>
          <w:b w:val="0"/>
          <w:i w:val="0"/>
          <w:color w:val="000000"/>
          <w:sz w:val="20"/>
          <w:szCs w:val="20"/>
        </w:rPr>
      </w:pPr>
      <w:r w:rsidDel="00000000" w:rsidR="00000000" w:rsidRPr="00000000">
        <w:rPr>
          <w:rFonts w:ascii="Arial" w:cs="Arial" w:eastAsia="Arial" w:hAnsi="Arial"/>
          <w:b w:val="0"/>
          <w:i w:val="0"/>
          <w:color w:val="000000"/>
          <w:sz w:val="20"/>
          <w:szCs w:val="20"/>
          <w:rtl w:val="0"/>
        </w:rPr>
        <w:t xml:space="preserve">1.</w:t>
        <w:tab/>
      </w:r>
      <w:hyperlink r:id="rId13">
        <w:r w:rsidDel="00000000" w:rsidR="00000000" w:rsidRPr="00000000">
          <w:rPr>
            <w:rFonts w:ascii="Arial" w:cs="Arial" w:eastAsia="Arial" w:hAnsi="Arial"/>
            <w:b w:val="0"/>
            <w:i w:val="0"/>
            <w:color w:val="000000"/>
            <w:sz w:val="20"/>
            <w:szCs w:val="20"/>
            <w:u w:val="none"/>
            <w:rtl w:val="0"/>
          </w:rPr>
          <w:t xml:space="preserve">Proft, F. </w:t>
        </w:r>
      </w:hyperlink>
      <w:hyperlink r:id="rId14">
        <w:r w:rsidDel="00000000" w:rsidR="00000000" w:rsidRPr="00000000">
          <w:rPr>
            <w:rFonts w:ascii="Arial" w:cs="Arial" w:eastAsia="Arial" w:hAnsi="Arial"/>
            <w:b w:val="0"/>
            <w:i w:val="1"/>
            <w:color w:val="000000"/>
            <w:sz w:val="20"/>
            <w:szCs w:val="20"/>
            <w:u w:val="none"/>
            <w:rtl w:val="0"/>
          </w:rPr>
          <w:t xml:space="preserve">et al.</w:t>
        </w:r>
      </w:hyperlink>
      <w:hyperlink r:id="rId15">
        <w:r w:rsidDel="00000000" w:rsidR="00000000" w:rsidRPr="00000000">
          <w:rPr>
            <w:rFonts w:ascii="Arial" w:cs="Arial" w:eastAsia="Arial" w:hAnsi="Arial"/>
            <w:b w:val="0"/>
            <w:i w:val="0"/>
            <w:color w:val="000000"/>
            <w:sz w:val="20"/>
            <w:szCs w:val="20"/>
            <w:u w:val="none"/>
            <w:rtl w:val="0"/>
          </w:rPr>
          <w:t xml:space="preserve"> Comparison of an online self-referral tool with a physician-based referral strategy for early recognition of patients with a high probability of axial spa. </w:t>
        </w:r>
      </w:hyperlink>
      <w:hyperlink r:id="rId16">
        <w:r w:rsidDel="00000000" w:rsidR="00000000" w:rsidRPr="00000000">
          <w:rPr>
            <w:rFonts w:ascii="Arial" w:cs="Arial" w:eastAsia="Arial" w:hAnsi="Arial"/>
            <w:b w:val="0"/>
            <w:i w:val="1"/>
            <w:color w:val="000000"/>
            <w:sz w:val="20"/>
            <w:szCs w:val="20"/>
            <w:u w:val="none"/>
            <w:rtl w:val="0"/>
          </w:rPr>
          <w:t xml:space="preserve">Semin. Arthritis Rheum.</w:t>
        </w:r>
      </w:hyperlink>
      <w:hyperlink r:id="rId17">
        <w:r w:rsidDel="00000000" w:rsidR="00000000" w:rsidRPr="00000000">
          <w:rPr>
            <w:rFonts w:ascii="Arial" w:cs="Arial" w:eastAsia="Arial" w:hAnsi="Arial"/>
            <w:b w:val="0"/>
            <w:i w:val="0"/>
            <w:color w:val="000000"/>
            <w:sz w:val="20"/>
            <w:szCs w:val="20"/>
            <w:u w:val="none"/>
            <w:rtl w:val="0"/>
          </w:rPr>
          <w:t xml:space="preserve"> </w:t>
        </w:r>
      </w:hyperlink>
      <w:hyperlink r:id="rId18">
        <w:r w:rsidDel="00000000" w:rsidR="00000000" w:rsidRPr="00000000">
          <w:rPr>
            <w:rFonts w:ascii="Arial" w:cs="Arial" w:eastAsia="Arial" w:hAnsi="Arial"/>
            <w:b w:val="1"/>
            <w:i w:val="0"/>
            <w:color w:val="000000"/>
            <w:sz w:val="20"/>
            <w:szCs w:val="20"/>
            <w:u w:val="none"/>
            <w:rtl w:val="0"/>
          </w:rPr>
          <w:t xml:space="preserve">50</w:t>
        </w:r>
      </w:hyperlink>
      <w:hyperlink r:id="rId19">
        <w:r w:rsidDel="00000000" w:rsidR="00000000" w:rsidRPr="00000000">
          <w:rPr>
            <w:rFonts w:ascii="Arial" w:cs="Arial" w:eastAsia="Arial" w:hAnsi="Arial"/>
            <w:b w:val="0"/>
            <w:i w:val="0"/>
            <w:color w:val="000000"/>
            <w:sz w:val="20"/>
            <w:szCs w:val="20"/>
            <w:u w:val="none"/>
            <w:rtl w:val="0"/>
          </w:rPr>
          <w:t xml:space="preserve">, 1015–1021 (2020).</w:t>
        </w:r>
      </w:hyperlink>
      <w:r w:rsidDel="00000000" w:rsidR="00000000" w:rsidRPr="00000000">
        <w:rPr>
          <w:rtl w:val="0"/>
        </w:rPr>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00" w:right="0" w:hanging="400"/>
        <w:jc w:val="left"/>
        <w:rPr>
          <w:rFonts w:ascii="Arial" w:cs="Arial" w:eastAsia="Arial" w:hAnsi="Arial"/>
          <w:b w:val="0"/>
          <w:i w:val="0"/>
          <w:color w:val="000000"/>
          <w:sz w:val="20"/>
          <w:szCs w:val="20"/>
        </w:rPr>
      </w:pPr>
      <w:r w:rsidDel="00000000" w:rsidR="00000000" w:rsidRPr="00000000">
        <w:rPr>
          <w:rFonts w:ascii="Arial" w:cs="Arial" w:eastAsia="Arial" w:hAnsi="Arial"/>
          <w:b w:val="0"/>
          <w:i w:val="0"/>
          <w:color w:val="000000"/>
          <w:sz w:val="20"/>
          <w:szCs w:val="20"/>
          <w:rtl w:val="0"/>
        </w:rPr>
        <w:t xml:space="preserve">2.</w:t>
        <w:tab/>
      </w:r>
      <w:hyperlink r:id="rId20">
        <w:r w:rsidDel="00000000" w:rsidR="00000000" w:rsidRPr="00000000">
          <w:rPr>
            <w:rFonts w:ascii="Arial" w:cs="Arial" w:eastAsia="Arial" w:hAnsi="Arial"/>
            <w:b w:val="0"/>
            <w:i w:val="0"/>
            <w:color w:val="000000"/>
            <w:sz w:val="20"/>
            <w:szCs w:val="20"/>
            <w:u w:val="none"/>
            <w:rtl w:val="0"/>
          </w:rPr>
          <w:t xml:space="preserve">Lahti, L. &amp; Al, S. S. et. Dirichlet Multinomial Mixtures. </w:t>
        </w:r>
      </w:hyperlink>
      <w:hyperlink r:id="rId21">
        <w:r w:rsidDel="00000000" w:rsidR="00000000" w:rsidRPr="00000000">
          <w:rPr>
            <w:rFonts w:ascii="Arial" w:cs="Arial" w:eastAsia="Arial" w:hAnsi="Arial"/>
            <w:b w:val="0"/>
            <w:i w:val="0"/>
            <w:color w:val="000000"/>
            <w:sz w:val="20"/>
            <w:szCs w:val="20"/>
            <w:u w:val="none"/>
            <w:rtl w:val="0"/>
          </w:rPr>
          <w:t xml:space="preserve">https://microbiome.github.io/tutorials/DMM.html</w:t>
        </w:r>
      </w:hyperlink>
      <w:hyperlink r:id="rId22">
        <w:r w:rsidDel="00000000" w:rsidR="00000000" w:rsidRPr="00000000">
          <w:rPr>
            <w:rFonts w:ascii="Arial" w:cs="Arial" w:eastAsia="Arial" w:hAnsi="Arial"/>
            <w:b w:val="0"/>
            <w:i w:val="0"/>
            <w:color w:val="000000"/>
            <w:sz w:val="20"/>
            <w:szCs w:val="20"/>
            <w:u w:val="none"/>
            <w:rtl w:val="0"/>
          </w:rPr>
          <w:t xml:space="preserve">.</w:t>
        </w:r>
      </w:hyperlink>
      <w:r w:rsidDel="00000000" w:rsidR="00000000" w:rsidRPr="00000000">
        <w:rPr>
          <w:rtl w:val="0"/>
        </w:rPr>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00" w:right="0" w:hanging="400"/>
        <w:jc w:val="left"/>
        <w:rPr>
          <w:rFonts w:ascii="Arial" w:cs="Arial" w:eastAsia="Arial" w:hAnsi="Arial"/>
          <w:b w:val="0"/>
          <w:i w:val="0"/>
          <w:color w:val="000000"/>
          <w:sz w:val="20"/>
          <w:szCs w:val="20"/>
        </w:rPr>
      </w:pPr>
      <w:r w:rsidDel="00000000" w:rsidR="00000000" w:rsidRPr="00000000">
        <w:rPr>
          <w:rFonts w:ascii="Arial" w:cs="Arial" w:eastAsia="Arial" w:hAnsi="Arial"/>
          <w:b w:val="0"/>
          <w:i w:val="0"/>
          <w:color w:val="000000"/>
          <w:sz w:val="20"/>
          <w:szCs w:val="20"/>
          <w:rtl w:val="0"/>
        </w:rPr>
        <w:t xml:space="preserve">3.</w:t>
        <w:tab/>
      </w:r>
      <w:hyperlink r:id="rId23">
        <w:r w:rsidDel="00000000" w:rsidR="00000000" w:rsidRPr="00000000">
          <w:rPr>
            <w:rFonts w:ascii="Arial" w:cs="Arial" w:eastAsia="Arial" w:hAnsi="Arial"/>
            <w:b w:val="0"/>
            <w:i w:val="0"/>
            <w:color w:val="000000"/>
            <w:sz w:val="20"/>
            <w:szCs w:val="20"/>
            <w:u w:val="none"/>
            <w:rtl w:val="0"/>
          </w:rPr>
          <w:t xml:space="preserve">Holmes, I., Harris, K. &amp; Quince, C. Dirichlet multinomial mixtures: generative models for microbial metagenomics. </w:t>
        </w:r>
      </w:hyperlink>
      <w:hyperlink r:id="rId24">
        <w:r w:rsidDel="00000000" w:rsidR="00000000" w:rsidRPr="00000000">
          <w:rPr>
            <w:rFonts w:ascii="Arial" w:cs="Arial" w:eastAsia="Arial" w:hAnsi="Arial"/>
            <w:b w:val="0"/>
            <w:i w:val="1"/>
            <w:color w:val="000000"/>
            <w:sz w:val="20"/>
            <w:szCs w:val="20"/>
            <w:u w:val="none"/>
            <w:rtl w:val="0"/>
          </w:rPr>
          <w:t xml:space="preserve">PLoS One</w:t>
        </w:r>
      </w:hyperlink>
      <w:hyperlink r:id="rId25">
        <w:r w:rsidDel="00000000" w:rsidR="00000000" w:rsidRPr="00000000">
          <w:rPr>
            <w:rFonts w:ascii="Arial" w:cs="Arial" w:eastAsia="Arial" w:hAnsi="Arial"/>
            <w:b w:val="0"/>
            <w:i w:val="0"/>
            <w:color w:val="000000"/>
            <w:sz w:val="20"/>
            <w:szCs w:val="20"/>
            <w:u w:val="none"/>
            <w:rtl w:val="0"/>
          </w:rPr>
          <w:t xml:space="preserve"> </w:t>
        </w:r>
      </w:hyperlink>
      <w:hyperlink r:id="rId26">
        <w:r w:rsidDel="00000000" w:rsidR="00000000" w:rsidRPr="00000000">
          <w:rPr>
            <w:rFonts w:ascii="Arial" w:cs="Arial" w:eastAsia="Arial" w:hAnsi="Arial"/>
            <w:b w:val="1"/>
            <w:i w:val="0"/>
            <w:color w:val="000000"/>
            <w:sz w:val="20"/>
            <w:szCs w:val="20"/>
            <w:u w:val="none"/>
            <w:rtl w:val="0"/>
          </w:rPr>
          <w:t xml:space="preserve">7</w:t>
        </w:r>
      </w:hyperlink>
      <w:hyperlink r:id="rId27">
        <w:r w:rsidDel="00000000" w:rsidR="00000000" w:rsidRPr="00000000">
          <w:rPr>
            <w:rFonts w:ascii="Arial" w:cs="Arial" w:eastAsia="Arial" w:hAnsi="Arial"/>
            <w:b w:val="0"/>
            <w:i w:val="0"/>
            <w:color w:val="000000"/>
            <w:sz w:val="20"/>
            <w:szCs w:val="20"/>
            <w:u w:val="none"/>
            <w:rtl w:val="0"/>
          </w:rPr>
          <w:t xml:space="preserve">, e30126 (2012).</w:t>
        </w:r>
      </w:hyperlink>
      <w:r w:rsidDel="00000000" w:rsidR="00000000" w:rsidRPr="00000000">
        <w:rPr>
          <w:rtl w:val="0"/>
        </w:rPr>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400" w:right="0" w:hanging="400"/>
        <w:jc w:val="left"/>
        <w:rPr>
          <w:rFonts w:ascii="Arial" w:cs="Arial" w:eastAsia="Arial" w:hAnsi="Arial"/>
          <w:b w:val="0"/>
          <w:i w:val="0"/>
          <w:color w:val="000000"/>
          <w:sz w:val="20"/>
          <w:szCs w:val="20"/>
        </w:rPr>
      </w:pPr>
      <w:r w:rsidDel="00000000" w:rsidR="00000000" w:rsidRPr="00000000">
        <w:rPr>
          <w:rFonts w:ascii="Arial" w:cs="Arial" w:eastAsia="Arial" w:hAnsi="Arial"/>
          <w:b w:val="0"/>
          <w:i w:val="0"/>
          <w:color w:val="000000"/>
          <w:sz w:val="20"/>
          <w:szCs w:val="20"/>
          <w:rtl w:val="0"/>
        </w:rPr>
        <w:t xml:space="preserve">4.</w:t>
        <w:tab/>
      </w:r>
      <w:hyperlink r:id="rId28">
        <w:r w:rsidDel="00000000" w:rsidR="00000000" w:rsidRPr="00000000">
          <w:rPr>
            <w:rFonts w:ascii="Arial" w:cs="Arial" w:eastAsia="Arial" w:hAnsi="Arial"/>
            <w:b w:val="0"/>
            <w:i w:val="0"/>
            <w:color w:val="000000"/>
            <w:sz w:val="20"/>
            <w:szCs w:val="20"/>
            <w:u w:val="none"/>
            <w:rtl w:val="0"/>
          </w:rPr>
          <w:t xml:space="preserve">Taxonomic Assignment. </w:t>
        </w:r>
      </w:hyperlink>
      <w:hyperlink r:id="rId29">
        <w:r w:rsidDel="00000000" w:rsidR="00000000" w:rsidRPr="00000000">
          <w:rPr>
            <w:rFonts w:ascii="Arial" w:cs="Arial" w:eastAsia="Arial" w:hAnsi="Arial"/>
            <w:b w:val="0"/>
            <w:i w:val="0"/>
            <w:color w:val="000000"/>
            <w:sz w:val="20"/>
            <w:szCs w:val="20"/>
            <w:u w:val="none"/>
            <w:rtl w:val="0"/>
          </w:rPr>
          <w:t xml:space="preserve">https://benjjneb.github.io/dada2/assign.html</w:t>
        </w:r>
      </w:hyperlink>
      <w:hyperlink r:id="rId30">
        <w:r w:rsidDel="00000000" w:rsidR="00000000" w:rsidRPr="00000000">
          <w:rPr>
            <w:rFonts w:ascii="Arial" w:cs="Arial" w:eastAsia="Arial" w:hAnsi="Arial"/>
            <w:b w:val="0"/>
            <w:i w:val="0"/>
            <w:color w:val="000000"/>
            <w:sz w:val="20"/>
            <w:szCs w:val="20"/>
            <w:u w:val="none"/>
            <w:rtl w:val="0"/>
          </w:rPr>
          <w:t xml:space="preserve">.</w:t>
        </w:r>
      </w:hyperlink>
      <w:r w:rsidDel="00000000" w:rsidR="00000000" w:rsidRPr="00000000">
        <w:rPr>
          <w:rtl w:val="0"/>
        </w:rPr>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Arial" w:cs="Arial" w:eastAsia="Arial" w:hAnsi="Arial"/>
          <w:sz w:val="20"/>
          <w:szCs w:val="20"/>
        </w:rPr>
      </w:pPr>
      <w:r w:rsidDel="00000000" w:rsidR="00000000" w:rsidRPr="00000000">
        <w:rPr>
          <w:rtl w:val="0"/>
        </w:rPr>
      </w:r>
    </w:p>
    <w:sectPr>
      <w:headerReference r:id="rId31" w:type="default"/>
      <w:headerReference r:id="rId32" w:type="first"/>
      <w:footerReference r:id="rId33" w:type="default"/>
      <w:footerReference r:id="rId34"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Georgia"/>
  <w:font w:name="Arial Unicode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C">
    <w:pPr>
      <w:jc w:val="right"/>
      <w:rPr>
        <w:rFonts w:ascii="Arial" w:cs="Arial" w:eastAsia="Arial" w:hAnsi="Arial"/>
        <w:sz w:val="22"/>
        <w:szCs w:val="22"/>
      </w:rPr>
    </w:pPr>
    <w:r w:rsidDel="00000000" w:rsidR="00000000" w:rsidRPr="00000000">
      <w:rPr>
        <w:rFonts w:ascii="Arial" w:cs="Arial" w:eastAsia="Arial" w:hAnsi="Arial"/>
        <w:sz w:val="22"/>
        <w:szCs w:val="22"/>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D">
    <w:pPr>
      <w:jc w:val="right"/>
      <w:rPr>
        <w:rFonts w:ascii="Arial" w:cs="Arial" w:eastAsia="Arial" w:hAnsi="Arial"/>
        <w:sz w:val="22"/>
        <w:szCs w:val="22"/>
      </w:rPr>
    </w:pPr>
    <w:r w:rsidDel="00000000" w:rsidR="00000000" w:rsidRPr="00000000">
      <w:rPr>
        <w:rFonts w:ascii="Arial" w:cs="Arial" w:eastAsia="Arial" w:hAnsi="Arial"/>
        <w:sz w:val="22"/>
        <w:szCs w:val="22"/>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E">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en"/>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pageBreakBefore w:val="0"/>
      <w:spacing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pageBreakBefore w:val="0"/>
      <w:spacing w:before="40" w:lineRule="auto"/>
    </w:pPr>
    <w:rPr>
      <w:rFonts w:ascii="Calibri" w:cs="Calibri" w:eastAsia="Calibri" w:hAnsi="Calibri"/>
      <w:color w:val="1f3863"/>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rFonts w:ascii="Arial" w:cs="Arial" w:eastAsia="Arial" w:hAnsi="Arial"/>
      <w:b w:val="1"/>
      <w:sz w:val="30"/>
      <w:szCs w:val="30"/>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6" Type="http://schemas.openxmlformats.org/officeDocument/2006/relationships/hyperlink" Target="http://paperpile.com/b/reaLWV/yODq" TargetMode="External"/><Relationship Id="rId13" Type="http://schemas.openxmlformats.org/officeDocument/2006/relationships/hyperlink" Target="http://paperpile.com/b/reaLWV/oDRCU" TargetMode="External"/><Relationship Id="rId18" Type="http://schemas.openxmlformats.org/officeDocument/2006/relationships/hyperlink" Target="http://paperpile.com/b/reaLWV/oDRCU" TargetMode="External"/><Relationship Id="rId21" Type="http://schemas.openxmlformats.org/officeDocument/2006/relationships/hyperlink" Target="https://microbiome.github.io/tutorials/DMM.html" TargetMode="External"/><Relationship Id="rId34" Type="http://schemas.openxmlformats.org/officeDocument/2006/relationships/footer" Target="footer2.xml"/><Relationship Id="rId25" Type="http://schemas.openxmlformats.org/officeDocument/2006/relationships/hyperlink" Target="http://paperpile.com/b/reaLWV/yODq" TargetMode="External"/><Relationship Id="rId7" Type="http://schemas.openxmlformats.org/officeDocument/2006/relationships/hyperlink" Target="https://paperpile.com/c/reaLWV/oDRCU" TargetMode="External"/><Relationship Id="rId33" Type="http://schemas.openxmlformats.org/officeDocument/2006/relationships/footer" Target="footer1.xml"/><Relationship Id="rId12" Type="http://schemas.openxmlformats.org/officeDocument/2006/relationships/hyperlink" Target="https://paperpile.com/c/reaLWV/6BqGH" TargetMode="External"/><Relationship Id="rId17" Type="http://schemas.openxmlformats.org/officeDocument/2006/relationships/hyperlink" Target="http://paperpile.com/b/reaLWV/oDRCU" TargetMode="External"/><Relationship Id="rId20" Type="http://schemas.openxmlformats.org/officeDocument/2006/relationships/hyperlink" Target="http://paperpile.com/b/reaLWV/Toyrr" TargetMode="External"/><Relationship Id="rId2" Type="http://schemas.openxmlformats.org/officeDocument/2006/relationships/settings" Target="settings.xml"/><Relationship Id="rId29" Type="http://schemas.openxmlformats.org/officeDocument/2006/relationships/hyperlink" Target="https://benjjneb.github.io/dada2/assign.html" TargetMode="External"/><Relationship Id="rId16" Type="http://schemas.openxmlformats.org/officeDocument/2006/relationships/hyperlink" Target="http://paperpile.com/b/reaLWV/oDRCU" TargetMode="External"/><Relationship Id="rId24" Type="http://schemas.openxmlformats.org/officeDocument/2006/relationships/hyperlink" Target="http://paperpile.com/b/reaLWV/yODq" TargetMode="External"/><Relationship Id="rId1" Type="http://schemas.openxmlformats.org/officeDocument/2006/relationships/theme" Target="theme/theme1.xml"/><Relationship Id="rId6" Type="http://schemas.openxmlformats.org/officeDocument/2006/relationships/image" Target="media/image1.png"/><Relationship Id="rId11" Type="http://schemas.openxmlformats.org/officeDocument/2006/relationships/hyperlink" Target="http://www.github.com/sxmorgan/gespic-public" TargetMode="External"/><Relationship Id="rId32" Type="http://schemas.openxmlformats.org/officeDocument/2006/relationships/header" Target="header1.xml"/><Relationship Id="rId37" Type="http://schemas.openxmlformats.org/officeDocument/2006/relationships/customXml" Target="../customXml/item3.xml"/><Relationship Id="rId23" Type="http://schemas.openxmlformats.org/officeDocument/2006/relationships/hyperlink" Target="http://paperpile.com/b/reaLWV/yODq" TargetMode="External"/><Relationship Id="rId28" Type="http://schemas.openxmlformats.org/officeDocument/2006/relationships/hyperlink" Target="http://paperpile.com/b/reaLWV/6BqGH" TargetMode="External"/><Relationship Id="rId5" Type="http://schemas.openxmlformats.org/officeDocument/2006/relationships/styles" Target="styles.xml"/><Relationship Id="rId15" Type="http://schemas.openxmlformats.org/officeDocument/2006/relationships/hyperlink" Target="http://paperpile.com/b/reaLWV/oDRCU" TargetMode="External"/><Relationship Id="rId36" Type="http://schemas.openxmlformats.org/officeDocument/2006/relationships/customXml" Target="../customXml/item2.xml"/><Relationship Id="rId31" Type="http://schemas.openxmlformats.org/officeDocument/2006/relationships/header" Target="header2.xml"/><Relationship Id="rId10" Type="http://schemas.openxmlformats.org/officeDocument/2006/relationships/hyperlink" Target="https://paperpile.com/c/reaLWV/yODq" TargetMode="External"/><Relationship Id="rId19" Type="http://schemas.openxmlformats.org/officeDocument/2006/relationships/hyperlink" Target="http://paperpile.com/b/reaLWV/oDRCU" TargetMode="External"/><Relationship Id="rId22" Type="http://schemas.openxmlformats.org/officeDocument/2006/relationships/hyperlink" Target="http://paperpile.com/b/reaLWV/Toyrr" TargetMode="External"/><Relationship Id="rId4" Type="http://schemas.openxmlformats.org/officeDocument/2006/relationships/numbering" Target="numbering.xml"/><Relationship Id="rId9" Type="http://schemas.openxmlformats.org/officeDocument/2006/relationships/hyperlink" Target="https://paperpile.com/c/reaLWV/Toyrr" TargetMode="External"/><Relationship Id="rId27" Type="http://schemas.openxmlformats.org/officeDocument/2006/relationships/hyperlink" Target="http://paperpile.com/b/reaLWV/yODq" TargetMode="External"/><Relationship Id="rId30" Type="http://schemas.openxmlformats.org/officeDocument/2006/relationships/hyperlink" Target="http://paperpile.com/b/reaLWV/6BqGH" TargetMode="External"/><Relationship Id="rId14" Type="http://schemas.openxmlformats.org/officeDocument/2006/relationships/hyperlink" Target="http://paperpile.com/b/reaLWV/oDRCU" TargetMode="External"/><Relationship Id="rId35" Type="http://schemas.openxmlformats.org/officeDocument/2006/relationships/customXml" Target="../customXml/item1.xml"/><Relationship Id="rId8" Type="http://schemas.openxmlformats.org/officeDocument/2006/relationships/image" Target="media/image2.png"/><Relationship Id="rId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7EA80B5E82DAD4787FEC63ACDC5576F" ma:contentTypeVersion="11" ma:contentTypeDescription="Create a new document." ma:contentTypeScope="" ma:versionID="92a3c63b7d64ee3c4e14e3189842c201">
  <xsd:schema xmlns:xsd="http://www.w3.org/2001/XMLSchema" xmlns:xs="http://www.w3.org/2001/XMLSchema" xmlns:p="http://schemas.microsoft.com/office/2006/metadata/properties" xmlns:ns2="b9677a99-3b8d-4663-b364-087f9c274452" xmlns:ns3="5c8e23b4-3167-4842-a354-d332b17454d1" targetNamespace="http://schemas.microsoft.com/office/2006/metadata/properties" ma:root="true" ma:fieldsID="69036aac6c8236e6de8cec883cbc34d8" ns2:_="" ns3:_="">
    <xsd:import namespace="b9677a99-3b8d-4663-b364-087f9c274452"/>
    <xsd:import namespace="5c8e23b4-3167-4842-a354-d332b17454d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77a99-3b8d-4663-b364-087f9c2744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87414def-154c-4d25-b3bb-ada8546948f6"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c8e23b4-3167-4842-a354-d332b17454d1"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17e423e2-7135-4190-bb07-578a82d0bf01}" ma:internalName="TaxCatchAll" ma:showField="CatchAllData" ma:web="5c8e23b4-3167-4842-a354-d332b17454d1">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5c8e23b4-3167-4842-a354-d332b17454d1" xsi:nil="true"/>
    <lcf76f155ced4ddcb4097134ff3c332f xmlns="b9677a99-3b8d-4663-b364-087f9c27445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FAEEF72-2940-4C85-9558-1A662EBC33F8}"/>
</file>

<file path=customXml/itemProps2.xml><?xml version="1.0" encoding="utf-8"?>
<ds:datastoreItem xmlns:ds="http://schemas.openxmlformats.org/officeDocument/2006/customXml" ds:itemID="{4330A687-7DAC-46BD-B6CA-0982E7F118B0}"/>
</file>

<file path=customXml/itemProps3.xml><?xml version="1.0" encoding="utf-8"?>
<ds:datastoreItem xmlns:ds="http://schemas.openxmlformats.org/officeDocument/2006/customXml" ds:itemID="{CE0387F8-7CC1-46D9-B2EB-E5FFD749B4EE}"/>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0x01010007EA80B5E82DAD4787FEC63ACDC5576F</vt:lpwstr>
  </property>
</Properties>
</file>