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0A4B" w14:textId="60CF6829" w:rsidR="0022171E" w:rsidRPr="00224F1E" w:rsidRDefault="0022171E" w:rsidP="0022171E">
      <w:pPr>
        <w:spacing w:line="48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t xml:space="preserve">Additional </w:t>
      </w:r>
      <w:r w:rsidRPr="00224F1E">
        <w:rPr>
          <w:rFonts w:ascii="Times New Roman" w:hAnsi="Times New Roman" w:cs="Times New Roman"/>
          <w:b/>
          <w:sz w:val="32"/>
          <w:szCs w:val="32"/>
          <w:lang w:val="en-US"/>
        </w:rPr>
        <w:t xml:space="preserve">material </w:t>
      </w:r>
    </w:p>
    <w:p w14:paraId="7B60B017" w14:textId="77777777" w:rsidR="0022171E" w:rsidRPr="00224F1E" w:rsidRDefault="0022171E" w:rsidP="0022171E">
      <w:pPr>
        <w:spacing w:line="480" w:lineRule="auto"/>
        <w:jc w:val="both"/>
        <w:rPr>
          <w:rFonts w:ascii="Times New Roman" w:hAnsi="Times New Roman" w:cs="Times New Roman"/>
          <w:sz w:val="32"/>
          <w:szCs w:val="32"/>
          <w:lang w:val="en-US"/>
        </w:rPr>
      </w:pPr>
    </w:p>
    <w:p w14:paraId="4750622F" w14:textId="6D6DB2B3" w:rsidR="0022171E" w:rsidRPr="00224F1E" w:rsidRDefault="0022171E" w:rsidP="0022171E">
      <w:pPr>
        <w:spacing w:line="480" w:lineRule="auto"/>
        <w:jc w:val="both"/>
        <w:rPr>
          <w:rFonts w:ascii="Times New Roman" w:hAnsi="Times New Roman" w:cs="Times New Roman"/>
          <w:sz w:val="32"/>
          <w:szCs w:val="32"/>
          <w:lang w:val="en-US"/>
        </w:rPr>
      </w:pPr>
      <w:r>
        <w:rPr>
          <w:rFonts w:ascii="Times New Roman" w:hAnsi="Times New Roman" w:cs="Times New Roman"/>
          <w:sz w:val="32"/>
          <w:szCs w:val="32"/>
          <w:lang w:val="en-US"/>
        </w:rPr>
        <w:t>T</w:t>
      </w:r>
      <w:r w:rsidRPr="00224F1E">
        <w:rPr>
          <w:rFonts w:ascii="Times New Roman" w:hAnsi="Times New Roman" w:cs="Times New Roman"/>
          <w:sz w:val="32"/>
          <w:szCs w:val="32"/>
          <w:lang w:val="en-US"/>
        </w:rPr>
        <w:t xml:space="preserve">able </w:t>
      </w:r>
      <w:r>
        <w:rPr>
          <w:rFonts w:ascii="Times New Roman" w:hAnsi="Times New Roman" w:cs="Times New Roman"/>
          <w:sz w:val="32"/>
          <w:szCs w:val="32"/>
          <w:lang w:val="en-US"/>
        </w:rPr>
        <w:t>S</w:t>
      </w:r>
      <w:r w:rsidRPr="00224F1E">
        <w:rPr>
          <w:rFonts w:ascii="Times New Roman" w:hAnsi="Times New Roman" w:cs="Times New Roman"/>
          <w:sz w:val="32"/>
          <w:szCs w:val="32"/>
          <w:lang w:val="en-US"/>
        </w:rPr>
        <w:t>1. CMR in adults with congenital heart disease</w:t>
      </w:r>
    </w:p>
    <w:p w14:paraId="71D37A6A" w14:textId="77777777" w:rsidR="0022171E" w:rsidRPr="00224F1E" w:rsidRDefault="0022171E" w:rsidP="0022171E">
      <w:pPr>
        <w:spacing w:line="480" w:lineRule="auto"/>
        <w:jc w:val="both"/>
        <w:rPr>
          <w:rFonts w:ascii="Times New Roman" w:hAnsi="Times New Roman" w:cs="Times New Roman"/>
          <w:sz w:val="32"/>
          <w:szCs w:val="32"/>
          <w:lang w:val="en-US"/>
        </w:rPr>
      </w:pPr>
    </w:p>
    <w:tbl>
      <w:tblPr>
        <w:tblStyle w:val="TableGrid"/>
        <w:tblW w:w="0" w:type="auto"/>
        <w:tblLook w:val="04A0" w:firstRow="1" w:lastRow="0" w:firstColumn="1" w:lastColumn="0" w:noHBand="0" w:noVBand="1"/>
      </w:tblPr>
      <w:tblGrid>
        <w:gridCol w:w="2997"/>
        <w:gridCol w:w="6059"/>
      </w:tblGrid>
      <w:tr w:rsidR="0022171E" w:rsidRPr="00224F1E" w14:paraId="177679C0" w14:textId="77777777" w:rsidTr="00227F8E">
        <w:tc>
          <w:tcPr>
            <w:tcW w:w="0" w:type="auto"/>
          </w:tcPr>
          <w:p w14:paraId="590C3070" w14:textId="77777777" w:rsidR="0022171E" w:rsidRPr="00224F1E" w:rsidRDefault="0022171E" w:rsidP="00227F8E">
            <w:pPr>
              <w:spacing w:line="480" w:lineRule="auto"/>
              <w:jc w:val="both"/>
              <w:rPr>
                <w:rFonts w:ascii="Times New Roman" w:hAnsi="Times New Roman" w:cs="Times New Roman"/>
                <w:b/>
                <w:sz w:val="32"/>
                <w:szCs w:val="32"/>
                <w:lang w:val="en-US"/>
              </w:rPr>
            </w:pPr>
            <w:r w:rsidRPr="00224F1E">
              <w:rPr>
                <w:rFonts w:ascii="Times New Roman" w:hAnsi="Times New Roman" w:cs="Times New Roman"/>
                <w:b/>
                <w:sz w:val="32"/>
                <w:szCs w:val="32"/>
                <w:lang w:val="en-US"/>
              </w:rPr>
              <w:t>Specific lesion</w:t>
            </w:r>
          </w:p>
        </w:tc>
        <w:tc>
          <w:tcPr>
            <w:tcW w:w="0" w:type="auto"/>
          </w:tcPr>
          <w:p w14:paraId="43AB2350" w14:textId="77777777" w:rsidR="0022171E" w:rsidRPr="00224F1E" w:rsidRDefault="0022171E" w:rsidP="00227F8E">
            <w:pPr>
              <w:spacing w:line="480" w:lineRule="auto"/>
              <w:jc w:val="both"/>
              <w:rPr>
                <w:rFonts w:ascii="Times New Roman" w:hAnsi="Times New Roman" w:cs="Times New Roman"/>
                <w:b/>
                <w:sz w:val="32"/>
                <w:szCs w:val="32"/>
                <w:lang w:val="en-US"/>
              </w:rPr>
            </w:pPr>
            <w:r w:rsidRPr="00224F1E">
              <w:rPr>
                <w:rFonts w:ascii="Times New Roman" w:hAnsi="Times New Roman" w:cs="Times New Roman"/>
                <w:b/>
                <w:sz w:val="32"/>
                <w:szCs w:val="32"/>
                <w:lang w:val="en-US"/>
              </w:rPr>
              <w:t>Role of CMR</w:t>
            </w:r>
          </w:p>
        </w:tc>
      </w:tr>
      <w:tr w:rsidR="0022171E" w:rsidRPr="00224F1E" w14:paraId="5C93CB07" w14:textId="77777777" w:rsidTr="00227F8E">
        <w:tc>
          <w:tcPr>
            <w:tcW w:w="0" w:type="auto"/>
          </w:tcPr>
          <w:p w14:paraId="37296B6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Atrial septal defect and anomalous pulmonary venous connection</w:t>
            </w:r>
          </w:p>
          <w:p w14:paraId="4B093DA8"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3C8F329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Sinus venosus defects in general require TOE for accurate diagnosis. CMR/CCT is an alternative and superior in case of inferior sinus venosus defects). CMR is rarely required but may be useful for assessment of RV volume overload, identification of inferior sinus venosus defect, quantification of pulmonary to systemic flow ratio (</w:t>
            </w:r>
            <w:proofErr w:type="spellStart"/>
            <w:proofErr w:type="gramStart"/>
            <w:r w:rsidRPr="00224F1E">
              <w:rPr>
                <w:rFonts w:ascii="Times New Roman" w:hAnsi="Times New Roman" w:cs="Times New Roman"/>
                <w:sz w:val="32"/>
                <w:szCs w:val="32"/>
                <w:lang w:val="en-US"/>
              </w:rPr>
              <w:t>Qp:Qs</w:t>
            </w:r>
            <w:proofErr w:type="spellEnd"/>
            <w:proofErr w:type="gramEnd"/>
            <w:r w:rsidRPr="00224F1E">
              <w:rPr>
                <w:rFonts w:ascii="Times New Roman" w:hAnsi="Times New Roman" w:cs="Times New Roman"/>
                <w:sz w:val="32"/>
                <w:szCs w:val="32"/>
                <w:lang w:val="en-US"/>
              </w:rPr>
              <w:t>), and evaluation of pulmonary venous connection.</w:t>
            </w:r>
          </w:p>
        </w:tc>
      </w:tr>
      <w:tr w:rsidR="0022171E" w:rsidRPr="00224F1E" w14:paraId="6C067315" w14:textId="77777777" w:rsidTr="00227F8E">
        <w:tc>
          <w:tcPr>
            <w:tcW w:w="0" w:type="auto"/>
          </w:tcPr>
          <w:p w14:paraId="2CE0AA07"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Ventricular septal defect</w:t>
            </w:r>
          </w:p>
        </w:tc>
        <w:tc>
          <w:tcPr>
            <w:tcW w:w="0" w:type="auto"/>
          </w:tcPr>
          <w:p w14:paraId="41E7AA4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can serve as an alternative if echocardiography is insufficient, particularly for assessment of LV volume overload and</w:t>
            </w:r>
          </w:p>
          <w:p w14:paraId="6F7B660A"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shunt quantification.</w:t>
            </w:r>
          </w:p>
        </w:tc>
      </w:tr>
      <w:tr w:rsidR="0022171E" w:rsidRPr="00224F1E" w14:paraId="06FD1D78" w14:textId="77777777" w:rsidTr="00227F8E">
        <w:tc>
          <w:tcPr>
            <w:tcW w:w="0" w:type="auto"/>
          </w:tcPr>
          <w:p w14:paraId="4E79EABC"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Atrioventricular septal defect</w:t>
            </w:r>
          </w:p>
        </w:tc>
        <w:tc>
          <w:tcPr>
            <w:tcW w:w="0" w:type="auto"/>
          </w:tcPr>
          <w:p w14:paraId="362EFCB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is indicated when additional quantification of ventricular</w:t>
            </w:r>
          </w:p>
          <w:p w14:paraId="43A30C0B"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volumes and function, AV valve regurgitation, or intracardiac</w:t>
            </w:r>
          </w:p>
          <w:p w14:paraId="6111E7F9"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shunting is required for decision making.</w:t>
            </w:r>
          </w:p>
        </w:tc>
      </w:tr>
      <w:tr w:rsidR="0022171E" w:rsidRPr="00224F1E" w14:paraId="6A7FF90A" w14:textId="77777777" w:rsidTr="00227F8E">
        <w:tc>
          <w:tcPr>
            <w:tcW w:w="0" w:type="auto"/>
          </w:tcPr>
          <w:p w14:paraId="3760282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Patent ductus arteriosus</w:t>
            </w:r>
          </w:p>
        </w:tc>
        <w:tc>
          <w:tcPr>
            <w:tcW w:w="0" w:type="auto"/>
          </w:tcPr>
          <w:p w14:paraId="7EF277A0"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is indicated when additional quantification of LV volumes</w:t>
            </w:r>
          </w:p>
          <w:p w14:paraId="36E42C30"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and quantification of shunt (</w:t>
            </w:r>
            <w:proofErr w:type="spellStart"/>
            <w:proofErr w:type="gramStart"/>
            <w:r w:rsidRPr="00224F1E">
              <w:rPr>
                <w:rFonts w:ascii="Times New Roman" w:hAnsi="Times New Roman" w:cs="Times New Roman"/>
                <w:sz w:val="32"/>
                <w:szCs w:val="32"/>
                <w:lang w:val="en-US"/>
              </w:rPr>
              <w:t>Qp:Qs</w:t>
            </w:r>
            <w:proofErr w:type="spellEnd"/>
            <w:proofErr w:type="gramEnd"/>
            <w:r w:rsidRPr="00224F1E">
              <w:rPr>
                <w:rFonts w:ascii="Times New Roman" w:hAnsi="Times New Roman" w:cs="Times New Roman"/>
                <w:sz w:val="32"/>
                <w:szCs w:val="32"/>
                <w:lang w:val="en-US"/>
              </w:rPr>
              <w:t>) is needed. CMR/CCT can further evaluate the anatomy where required.</w:t>
            </w:r>
          </w:p>
        </w:tc>
      </w:tr>
      <w:tr w:rsidR="0022171E" w:rsidRPr="00224F1E" w14:paraId="389CED41" w14:textId="77777777" w:rsidTr="00227F8E">
        <w:tc>
          <w:tcPr>
            <w:tcW w:w="0" w:type="auto"/>
          </w:tcPr>
          <w:p w14:paraId="4A81D909"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Valvular aortic stenosis</w:t>
            </w:r>
          </w:p>
        </w:tc>
        <w:tc>
          <w:tcPr>
            <w:tcW w:w="0" w:type="auto"/>
          </w:tcPr>
          <w:p w14:paraId="72701764"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CMR/CCT, despite having potential for assessing aortic stenosis, is mainly required to assess dilation of the ascending aorta, in cases where measurement is unreliable with echocardiography.</w:t>
            </w:r>
          </w:p>
          <w:p w14:paraId="513E5176"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CMR or CCT of the aorta is recommended in patients with a native BAV, patients with a history of isolated valve replacement where the ascending aorta is not well visualized on </w:t>
            </w:r>
            <w:r w:rsidRPr="00224F1E">
              <w:rPr>
                <w:rFonts w:ascii="Times New Roman" w:hAnsi="Times New Roman" w:cs="Times New Roman"/>
                <w:sz w:val="32"/>
                <w:szCs w:val="32"/>
                <w:lang w:val="en-US"/>
              </w:rPr>
              <w:lastRenderedPageBreak/>
              <w:t>TTE, and in patients with root/ascending diameters &gt;40mm.</w:t>
            </w:r>
          </w:p>
          <w:p w14:paraId="5EC7F8B4" w14:textId="77777777" w:rsidR="0022171E" w:rsidRPr="00224F1E" w:rsidRDefault="0022171E" w:rsidP="00227F8E">
            <w:pPr>
              <w:spacing w:line="480" w:lineRule="auto"/>
              <w:jc w:val="both"/>
              <w:rPr>
                <w:rFonts w:ascii="Times New Roman" w:hAnsi="Times New Roman" w:cs="Times New Roman"/>
                <w:sz w:val="32"/>
                <w:szCs w:val="32"/>
                <w:lang w:val="en-US"/>
              </w:rPr>
            </w:pPr>
          </w:p>
        </w:tc>
      </w:tr>
      <w:tr w:rsidR="0022171E" w:rsidRPr="00224F1E" w14:paraId="3D388486" w14:textId="77777777" w:rsidTr="00227F8E">
        <w:tc>
          <w:tcPr>
            <w:tcW w:w="0" w:type="auto"/>
          </w:tcPr>
          <w:p w14:paraId="7746A49C"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Supravalvular aortic stenosis</w:t>
            </w:r>
          </w:p>
          <w:p w14:paraId="6C25F83E"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07B1613B"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CMR/CCT is useful for detailed evaluation of supravalvular anatomy</w:t>
            </w:r>
            <w:proofErr w:type="gramStart"/>
            <w:r w:rsidRPr="00224F1E">
              <w:rPr>
                <w:rFonts w:ascii="Times New Roman" w:hAnsi="Times New Roman" w:cs="Times New Roman"/>
                <w:sz w:val="32"/>
                <w:szCs w:val="32"/>
                <w:lang w:val="en-US"/>
              </w:rPr>
              <w:t>, in particular, when</w:t>
            </w:r>
            <w:proofErr w:type="gramEnd"/>
            <w:r w:rsidRPr="00224F1E">
              <w:rPr>
                <w:rFonts w:ascii="Times New Roman" w:hAnsi="Times New Roman" w:cs="Times New Roman"/>
                <w:sz w:val="32"/>
                <w:szCs w:val="32"/>
                <w:lang w:val="en-US"/>
              </w:rPr>
              <w:t xml:space="preserve"> multilevel LVOTO is present or for</w:t>
            </w:r>
          </w:p>
          <w:p w14:paraId="3AEBCDE7"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(pre-operative) assessment of coronary artery anatomy and other aortic or aortic branch lesions (</w:t>
            </w:r>
            <w:proofErr w:type="gramStart"/>
            <w:r w:rsidRPr="00224F1E">
              <w:rPr>
                <w:rFonts w:ascii="Times New Roman" w:hAnsi="Times New Roman" w:cs="Times New Roman"/>
                <w:sz w:val="32"/>
                <w:szCs w:val="32"/>
                <w:lang w:val="en-US"/>
              </w:rPr>
              <w:t>e.g.</w:t>
            </w:r>
            <w:proofErr w:type="gramEnd"/>
            <w:r w:rsidRPr="00224F1E">
              <w:rPr>
                <w:rFonts w:ascii="Times New Roman" w:hAnsi="Times New Roman" w:cs="Times New Roman"/>
                <w:sz w:val="32"/>
                <w:szCs w:val="32"/>
                <w:lang w:val="en-US"/>
              </w:rPr>
              <w:t xml:space="preserve"> carotid and renal artery</w:t>
            </w:r>
          </w:p>
          <w:p w14:paraId="0346FCF9"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stenosis), and central and branch PAs.</w:t>
            </w:r>
          </w:p>
          <w:p w14:paraId="55639F1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Lifelong and regular follow-up, including echocardiography, is</w:t>
            </w:r>
          </w:p>
          <w:p w14:paraId="69DA3B5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required to determine progression of obstruction (rare), LV size/</w:t>
            </w:r>
          </w:p>
          <w:p w14:paraId="7424A77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function, and development of symptoms, as well as after surgery to detect late restenosis, development of aneurysm (CMR/CCT), and the occurrence or progression of CAD.</w:t>
            </w:r>
          </w:p>
        </w:tc>
      </w:tr>
      <w:tr w:rsidR="0022171E" w:rsidRPr="00224F1E" w14:paraId="78018BAE" w14:textId="77777777" w:rsidTr="00227F8E">
        <w:tc>
          <w:tcPr>
            <w:tcW w:w="0" w:type="auto"/>
          </w:tcPr>
          <w:p w14:paraId="3C40E6DD"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Subaortic stenosis</w:t>
            </w:r>
          </w:p>
          <w:p w14:paraId="20E5927D"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223195F6"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may be useful to characterize complex LVOTO anatomies,</w:t>
            </w:r>
          </w:p>
          <w:p w14:paraId="6352BBF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especially in patients with poor acoustic window.</w:t>
            </w:r>
          </w:p>
        </w:tc>
      </w:tr>
      <w:tr w:rsidR="0022171E" w:rsidRPr="00224F1E" w14:paraId="6AD5A514" w14:textId="77777777" w:rsidTr="00227F8E">
        <w:tc>
          <w:tcPr>
            <w:tcW w:w="0" w:type="auto"/>
          </w:tcPr>
          <w:p w14:paraId="6E587EB4"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Coarctation of the aorta</w:t>
            </w:r>
          </w:p>
        </w:tc>
        <w:tc>
          <w:tcPr>
            <w:tcW w:w="0" w:type="auto"/>
          </w:tcPr>
          <w:p w14:paraId="5401C03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and CCT, including 3D reconstruction, are the preferred</w:t>
            </w:r>
          </w:p>
          <w:p w14:paraId="6236FAEE"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non-invasive techniques to evaluate the entire aorta in adolescents and adults. Both depict site, extent, and degree of the aortic narrowing, the aortic arch and head and neck vessels, the </w:t>
            </w:r>
            <w:proofErr w:type="gramStart"/>
            <w:r w:rsidRPr="00224F1E">
              <w:rPr>
                <w:rFonts w:ascii="Times New Roman" w:hAnsi="Times New Roman" w:cs="Times New Roman"/>
                <w:sz w:val="32"/>
                <w:szCs w:val="32"/>
                <w:lang w:val="en-US"/>
              </w:rPr>
              <w:t>pre</w:t>
            </w:r>
            <w:proofErr w:type="gramEnd"/>
            <w:r w:rsidRPr="00224F1E">
              <w:rPr>
                <w:rFonts w:ascii="Times New Roman" w:hAnsi="Times New Roman" w:cs="Times New Roman"/>
                <w:sz w:val="32"/>
                <w:szCs w:val="32"/>
                <w:lang w:val="en-US"/>
              </w:rPr>
              <w:t xml:space="preserve"> and post-stenotic aorta, and collaterals. Both methods detect</w:t>
            </w:r>
          </w:p>
          <w:p w14:paraId="72456236"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complications such as aneurysms, false aneurysms, restenosis, or residual stenosis. All CoA patients require regular follow-up at least every year. Imaging of the aorta (preferably with CMR) is required to document post-repair or post-interventional </w:t>
            </w:r>
            <w:r w:rsidRPr="00224F1E">
              <w:rPr>
                <w:rFonts w:ascii="Times New Roman" w:hAnsi="Times New Roman" w:cs="Times New Roman"/>
                <w:sz w:val="32"/>
                <w:szCs w:val="32"/>
                <w:lang w:val="en-US"/>
              </w:rPr>
              <w:lastRenderedPageBreak/>
              <w:t>anatomy and complications (restenosis, aneurysm, false aneurysm formation).</w:t>
            </w:r>
          </w:p>
        </w:tc>
      </w:tr>
      <w:tr w:rsidR="0022171E" w:rsidRPr="00224F1E" w14:paraId="088585C6" w14:textId="77777777" w:rsidTr="00227F8E">
        <w:tc>
          <w:tcPr>
            <w:tcW w:w="0" w:type="auto"/>
          </w:tcPr>
          <w:p w14:paraId="212AED06"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Marfan syndrome and related heritable thoracic</w:t>
            </w:r>
          </w:p>
          <w:p w14:paraId="06D3C34B"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aortic diseases</w:t>
            </w:r>
          </w:p>
          <w:p w14:paraId="04F7CBFF"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3159AE82"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or CCT angiography from head to pelvis should be performed in every patient at baseline, providing imaging of the</w:t>
            </w:r>
          </w:p>
          <w:p w14:paraId="588885E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entire aorta and branching vessels. Lifelong and regular multidisciplinary follow-up at an expert center is required. Echocardiography and CCT/CMR are the principal examinations.</w:t>
            </w:r>
          </w:p>
        </w:tc>
      </w:tr>
      <w:tr w:rsidR="0022171E" w:rsidRPr="00224F1E" w14:paraId="6CE32732" w14:textId="77777777" w:rsidTr="00227F8E">
        <w:tc>
          <w:tcPr>
            <w:tcW w:w="0" w:type="auto"/>
          </w:tcPr>
          <w:p w14:paraId="0569BFC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Right ventricular outflow tract</w:t>
            </w:r>
          </w:p>
          <w:p w14:paraId="44EE9CF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obstruction</w:t>
            </w:r>
          </w:p>
        </w:tc>
        <w:tc>
          <w:tcPr>
            <w:tcW w:w="0" w:type="auto"/>
          </w:tcPr>
          <w:p w14:paraId="1107A21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For quantification of RV sizes, volumes, and EF, CMR is a more robust and more reliable technique &lt;than echocardiography&gt;. CMR and CCT frequently provide additional important information identifying the level(s) of obstruction, including at the </w:t>
            </w:r>
            <w:proofErr w:type="spellStart"/>
            <w:r w:rsidRPr="00224F1E">
              <w:rPr>
                <w:rFonts w:ascii="Times New Roman" w:hAnsi="Times New Roman" w:cs="Times New Roman"/>
                <w:sz w:val="32"/>
                <w:szCs w:val="32"/>
                <w:lang w:val="en-US"/>
              </w:rPr>
              <w:t>subinfundibular</w:t>
            </w:r>
            <w:proofErr w:type="spellEnd"/>
            <w:r w:rsidRPr="00224F1E">
              <w:rPr>
                <w:rFonts w:ascii="Times New Roman" w:hAnsi="Times New Roman" w:cs="Times New Roman"/>
                <w:sz w:val="32"/>
                <w:szCs w:val="32"/>
                <w:lang w:val="en-US"/>
              </w:rPr>
              <w:t xml:space="preserve"> (DCRV), conduit, or branch PA levels, and assessment of RV volumes, pulmonary annulus, outflow tract and artery </w:t>
            </w:r>
            <w:r w:rsidRPr="00224F1E">
              <w:rPr>
                <w:rFonts w:ascii="Times New Roman" w:hAnsi="Times New Roman" w:cs="Times New Roman"/>
                <w:sz w:val="32"/>
                <w:szCs w:val="32"/>
                <w:lang w:val="en-US"/>
              </w:rPr>
              <w:lastRenderedPageBreak/>
              <w:t>dimensions, and differential pulmonary blood flow. CMR and CCT are the methods of choice for visualization of pulmonary dilation and peripheral PS.</w:t>
            </w:r>
          </w:p>
        </w:tc>
      </w:tr>
      <w:tr w:rsidR="0022171E" w:rsidRPr="00224F1E" w14:paraId="6099372C" w14:textId="77777777" w:rsidTr="00227F8E">
        <w:tc>
          <w:tcPr>
            <w:tcW w:w="0" w:type="auto"/>
          </w:tcPr>
          <w:p w14:paraId="6163A23F" w14:textId="77777777" w:rsidR="0022171E" w:rsidRPr="00224F1E" w:rsidRDefault="0022171E" w:rsidP="00227F8E">
            <w:pPr>
              <w:spacing w:line="480" w:lineRule="auto"/>
              <w:jc w:val="both"/>
              <w:rPr>
                <w:rFonts w:ascii="Times New Roman" w:hAnsi="Times New Roman" w:cs="Times New Roman"/>
                <w:sz w:val="32"/>
                <w:szCs w:val="32"/>
                <w:lang w:val="en-US"/>
              </w:rPr>
            </w:pPr>
            <w:proofErr w:type="spellStart"/>
            <w:r w:rsidRPr="00224F1E">
              <w:rPr>
                <w:rFonts w:ascii="Times New Roman" w:hAnsi="Times New Roman" w:cs="Times New Roman"/>
                <w:sz w:val="32"/>
                <w:szCs w:val="32"/>
                <w:lang w:val="en-US"/>
              </w:rPr>
              <w:lastRenderedPageBreak/>
              <w:t>Ebstein</w:t>
            </w:r>
            <w:proofErr w:type="spellEnd"/>
            <w:r w:rsidRPr="00224F1E">
              <w:rPr>
                <w:rFonts w:ascii="Times New Roman" w:hAnsi="Times New Roman" w:cs="Times New Roman"/>
                <w:sz w:val="32"/>
                <w:szCs w:val="32"/>
                <w:lang w:val="en-US"/>
              </w:rPr>
              <w:t xml:space="preserve"> anomaly</w:t>
            </w:r>
          </w:p>
          <w:p w14:paraId="4654391B"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281FA211"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has value with regards to prognostication, and for evaluation before and after surgery, as it offers unrestricted views for assessment and quantification of the dilated right heart, RV function, and TV function.</w:t>
            </w:r>
          </w:p>
        </w:tc>
      </w:tr>
      <w:tr w:rsidR="0022171E" w:rsidRPr="00224F1E" w14:paraId="6C1ABBA3" w14:textId="77777777" w:rsidTr="00227F8E">
        <w:tc>
          <w:tcPr>
            <w:tcW w:w="0" w:type="auto"/>
          </w:tcPr>
          <w:p w14:paraId="70E67A62"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Tetralogy of Fallot</w:t>
            </w:r>
          </w:p>
        </w:tc>
        <w:tc>
          <w:tcPr>
            <w:tcW w:w="0" w:type="auto"/>
          </w:tcPr>
          <w:p w14:paraId="54F1F4EA"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is the method of choice for assessment of RV volume and</w:t>
            </w:r>
          </w:p>
          <w:p w14:paraId="614DA3D3"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function; PR; size, shape, and expansion of the PAs; infundibulum; the ascending aorta; the position of great vessels or conduits in relation to the sternum (</w:t>
            </w:r>
            <w:proofErr w:type="spellStart"/>
            <w:r w:rsidRPr="00224F1E">
              <w:rPr>
                <w:rFonts w:ascii="Times New Roman" w:hAnsi="Times New Roman" w:cs="Times New Roman"/>
                <w:sz w:val="32"/>
                <w:szCs w:val="32"/>
                <w:lang w:val="en-US"/>
              </w:rPr>
              <w:t>resternotomy</w:t>
            </w:r>
            <w:proofErr w:type="spellEnd"/>
            <w:r w:rsidRPr="00224F1E">
              <w:rPr>
                <w:rFonts w:ascii="Times New Roman" w:hAnsi="Times New Roman" w:cs="Times New Roman"/>
                <w:sz w:val="32"/>
                <w:szCs w:val="32"/>
                <w:lang w:val="en-US"/>
              </w:rPr>
              <w:t>); and evaluation for residual shunt (</w:t>
            </w:r>
            <w:proofErr w:type="spellStart"/>
            <w:proofErr w:type="gramStart"/>
            <w:r w:rsidRPr="00224F1E">
              <w:rPr>
                <w:rFonts w:ascii="Times New Roman" w:hAnsi="Times New Roman" w:cs="Times New Roman"/>
                <w:sz w:val="32"/>
                <w:szCs w:val="32"/>
                <w:lang w:val="en-US"/>
              </w:rPr>
              <w:t>Qp:Qs</w:t>
            </w:r>
            <w:proofErr w:type="spellEnd"/>
            <w:proofErr w:type="gramEnd"/>
            <w:r w:rsidRPr="00224F1E">
              <w:rPr>
                <w:rFonts w:ascii="Times New Roman" w:hAnsi="Times New Roman" w:cs="Times New Roman"/>
                <w:sz w:val="32"/>
                <w:szCs w:val="32"/>
                <w:lang w:val="en-US"/>
              </w:rPr>
              <w:t xml:space="preserve">). Late gadolinium enhancement demonstrates fibrosis, the extent of which relates to other </w:t>
            </w:r>
            <w:r w:rsidRPr="00224F1E">
              <w:rPr>
                <w:rFonts w:ascii="Times New Roman" w:hAnsi="Times New Roman" w:cs="Times New Roman"/>
                <w:sz w:val="32"/>
                <w:szCs w:val="32"/>
                <w:lang w:val="en-US"/>
              </w:rPr>
              <w:lastRenderedPageBreak/>
              <w:t>risk factors for VT and SCD. T1mapping may have an emerging role.</w:t>
            </w:r>
          </w:p>
          <w:p w14:paraId="7A92C84A"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Follow-up evaluation needs to look for the complications. All patients should have CMR at regular intervals, dependent on the pathology found.</w:t>
            </w:r>
          </w:p>
        </w:tc>
      </w:tr>
      <w:tr w:rsidR="0022171E" w:rsidRPr="00224F1E" w14:paraId="637830C7" w14:textId="77777777" w:rsidTr="00227F8E">
        <w:tc>
          <w:tcPr>
            <w:tcW w:w="0" w:type="auto"/>
          </w:tcPr>
          <w:p w14:paraId="589D46B0"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Pulmonary atresia with ventricular septal defect</w:t>
            </w:r>
          </w:p>
          <w:p w14:paraId="24ADAC20"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35B10777"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CMR, CCT, and cardiac catheterization are required to determine sources of pulmonary blood supply and size of PAs, to assess MAPCAs, and obtain </w:t>
            </w:r>
            <w:proofErr w:type="spellStart"/>
            <w:r w:rsidRPr="00224F1E">
              <w:rPr>
                <w:rFonts w:ascii="Times New Roman" w:hAnsi="Times New Roman" w:cs="Times New Roman"/>
                <w:sz w:val="32"/>
                <w:szCs w:val="32"/>
                <w:lang w:val="en-US"/>
              </w:rPr>
              <w:t>haemodynamics</w:t>
            </w:r>
            <w:proofErr w:type="spellEnd"/>
            <w:r w:rsidRPr="00224F1E">
              <w:rPr>
                <w:rFonts w:ascii="Times New Roman" w:hAnsi="Times New Roman" w:cs="Times New Roman"/>
                <w:sz w:val="32"/>
                <w:szCs w:val="32"/>
                <w:lang w:val="en-US"/>
              </w:rPr>
              <w:t>. In repaired patients, CMR is used for requirements similar to patients with TOF [for RV volumes and function, PR, size, shape, and expansion of the PAs, and the size of the ascending aorta, and for residual shunt (</w:t>
            </w:r>
            <w:proofErr w:type="spellStart"/>
            <w:proofErr w:type="gramStart"/>
            <w:r w:rsidRPr="00224F1E">
              <w:rPr>
                <w:rFonts w:ascii="Times New Roman" w:hAnsi="Times New Roman" w:cs="Times New Roman"/>
                <w:sz w:val="32"/>
                <w:szCs w:val="32"/>
                <w:lang w:val="en-US"/>
              </w:rPr>
              <w:t>Qp:Qs</w:t>
            </w:r>
            <w:proofErr w:type="spellEnd"/>
            <w:proofErr w:type="gramEnd"/>
            <w:r w:rsidRPr="00224F1E">
              <w:rPr>
                <w:rFonts w:ascii="Times New Roman" w:hAnsi="Times New Roman" w:cs="Times New Roman"/>
                <w:sz w:val="32"/>
                <w:szCs w:val="32"/>
                <w:lang w:val="en-US"/>
              </w:rPr>
              <w:t>)].</w:t>
            </w:r>
          </w:p>
        </w:tc>
      </w:tr>
      <w:tr w:rsidR="0022171E" w:rsidRPr="00224F1E" w14:paraId="7A30A3A2" w14:textId="77777777" w:rsidTr="00227F8E">
        <w:tc>
          <w:tcPr>
            <w:tcW w:w="0" w:type="auto"/>
          </w:tcPr>
          <w:p w14:paraId="14F42640"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Transposition of the great arteries</w:t>
            </w:r>
          </w:p>
          <w:p w14:paraId="756C2490"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50C394C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CMR provides more reliable and more robust quantitative assessment of systemic RV systolic function than echocardiography, and </w:t>
            </w:r>
            <w:r w:rsidRPr="00224F1E">
              <w:rPr>
                <w:rFonts w:ascii="Times New Roman" w:hAnsi="Times New Roman" w:cs="Times New Roman"/>
                <w:sz w:val="32"/>
                <w:szCs w:val="32"/>
                <w:lang w:val="en-US"/>
              </w:rPr>
              <w:lastRenderedPageBreak/>
              <w:t xml:space="preserve">of patency of the atrial baffles. Size of the great arteries can be measured reliably; an abnormally wide PA and/or large </w:t>
            </w:r>
            <w:proofErr w:type="spellStart"/>
            <w:r w:rsidRPr="00224F1E">
              <w:rPr>
                <w:rFonts w:ascii="Times New Roman" w:hAnsi="Times New Roman" w:cs="Times New Roman"/>
                <w:sz w:val="32"/>
                <w:szCs w:val="32"/>
                <w:lang w:val="en-US"/>
              </w:rPr>
              <w:t>subpulmonary</w:t>
            </w:r>
            <w:proofErr w:type="spellEnd"/>
            <w:r w:rsidRPr="00224F1E">
              <w:rPr>
                <w:rFonts w:ascii="Times New Roman" w:hAnsi="Times New Roman" w:cs="Times New Roman"/>
                <w:sz w:val="32"/>
                <w:szCs w:val="32"/>
                <w:lang w:val="en-US"/>
              </w:rPr>
              <w:t xml:space="preserve"> LV may indicate PH. Shunt related to baffle leak can be quantified (</w:t>
            </w:r>
            <w:proofErr w:type="spellStart"/>
            <w:proofErr w:type="gramStart"/>
            <w:r w:rsidRPr="00224F1E">
              <w:rPr>
                <w:rFonts w:ascii="Times New Roman" w:hAnsi="Times New Roman" w:cs="Times New Roman"/>
                <w:sz w:val="32"/>
                <w:szCs w:val="32"/>
                <w:lang w:val="en-US"/>
              </w:rPr>
              <w:t>Qp:Qs</w:t>
            </w:r>
            <w:proofErr w:type="spellEnd"/>
            <w:proofErr w:type="gramEnd"/>
            <w:r w:rsidRPr="00224F1E">
              <w:rPr>
                <w:rFonts w:ascii="Times New Roman" w:hAnsi="Times New Roman" w:cs="Times New Roman"/>
                <w:sz w:val="32"/>
                <w:szCs w:val="32"/>
                <w:lang w:val="en-US"/>
              </w:rPr>
              <w:t>). Late gadolinium enhancement in the systemic RV predicts clinical outcome.</w:t>
            </w:r>
          </w:p>
        </w:tc>
      </w:tr>
      <w:tr w:rsidR="0022171E" w:rsidRPr="00224F1E" w14:paraId="5B75FEBE" w14:textId="77777777" w:rsidTr="00227F8E">
        <w:tc>
          <w:tcPr>
            <w:tcW w:w="0" w:type="auto"/>
          </w:tcPr>
          <w:p w14:paraId="3702874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Arterial switch operation</w:t>
            </w:r>
          </w:p>
          <w:p w14:paraId="770C40FF"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2C267C29"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provides more reliable quantitative assessment of ventricular volumes, EF, and neo-aortic dilatation or regurgitation. Pulmonary trunk and branches can be visualized, together with their relation to the (dilated) neo-aortic root. Flow distribution between left and right lung can be calculated. Stress CMR is an alternative technique to assess myocardial perfusion and possible</w:t>
            </w:r>
          </w:p>
        </w:tc>
      </w:tr>
      <w:tr w:rsidR="0022171E" w:rsidRPr="00224F1E" w14:paraId="7AFE1B24" w14:textId="77777777" w:rsidTr="00227F8E">
        <w:tc>
          <w:tcPr>
            <w:tcW w:w="0" w:type="auto"/>
          </w:tcPr>
          <w:p w14:paraId="58BAB4A9"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Rastelli-type operation</w:t>
            </w:r>
          </w:p>
          <w:p w14:paraId="0DB197FB"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712030D4"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CMR provides a more robust quantification of LV and RV volumes, aortic diameters, and EF. The RV-PA conduit, often difficult to </w:t>
            </w:r>
            <w:r w:rsidRPr="00224F1E">
              <w:rPr>
                <w:rFonts w:ascii="Times New Roman" w:hAnsi="Times New Roman" w:cs="Times New Roman"/>
                <w:sz w:val="32"/>
                <w:szCs w:val="32"/>
                <w:lang w:val="en-US"/>
              </w:rPr>
              <w:lastRenderedPageBreak/>
              <w:t xml:space="preserve">visualize by echocardiogram, and peripheral PAs can be readily seen and measured with CMR. In the presence of a residual VSD, </w:t>
            </w:r>
            <w:proofErr w:type="spellStart"/>
            <w:proofErr w:type="gramStart"/>
            <w:r w:rsidRPr="00224F1E">
              <w:rPr>
                <w:rFonts w:ascii="Times New Roman" w:hAnsi="Times New Roman" w:cs="Times New Roman"/>
                <w:sz w:val="32"/>
                <w:szCs w:val="32"/>
                <w:lang w:val="en-US"/>
              </w:rPr>
              <w:t>Qp:Qs</w:t>
            </w:r>
            <w:proofErr w:type="spellEnd"/>
            <w:proofErr w:type="gramEnd"/>
            <w:r w:rsidRPr="00224F1E">
              <w:rPr>
                <w:rFonts w:ascii="Times New Roman" w:hAnsi="Times New Roman" w:cs="Times New Roman"/>
                <w:sz w:val="32"/>
                <w:szCs w:val="32"/>
                <w:lang w:val="en-US"/>
              </w:rPr>
              <w:t xml:space="preserve"> can be calculated.</w:t>
            </w:r>
          </w:p>
        </w:tc>
      </w:tr>
      <w:tr w:rsidR="0022171E" w:rsidRPr="00224F1E" w14:paraId="43354AA3" w14:textId="77777777" w:rsidTr="00227F8E">
        <w:tc>
          <w:tcPr>
            <w:tcW w:w="0" w:type="auto"/>
          </w:tcPr>
          <w:p w14:paraId="0164241A"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Congenitally corrected transposition of the great arteries</w:t>
            </w:r>
          </w:p>
          <w:p w14:paraId="79C99BD6"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466C48E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provides intracardiac and great vessel anatomy and is indicated for quantification of ventricular volumes, mass, and EF, especially since echocardiographic assessment of systolic function in systemic RVs is difficult and less reliable.</w:t>
            </w:r>
          </w:p>
        </w:tc>
      </w:tr>
      <w:tr w:rsidR="0022171E" w:rsidRPr="00224F1E" w14:paraId="77ACD7C7" w14:textId="77777777" w:rsidTr="00227F8E">
        <w:tc>
          <w:tcPr>
            <w:tcW w:w="0" w:type="auto"/>
          </w:tcPr>
          <w:p w14:paraId="6E7D3A0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Right ventricular to pulmonary</w:t>
            </w:r>
          </w:p>
          <w:p w14:paraId="55295266"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artery conduit</w:t>
            </w:r>
          </w:p>
          <w:p w14:paraId="2D4B041F"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31E9F6C6"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is used to quantify conduit stenosis and/or regurgitation, RV volumes and mass, and to assess PAs. CMR/CCT is helpful for coronary artery anatomy and proximity of the RV/conduit, and other structures to the retro sternum.</w:t>
            </w:r>
          </w:p>
        </w:tc>
      </w:tr>
      <w:tr w:rsidR="0022171E" w:rsidRPr="00224F1E" w14:paraId="6BBD11A5" w14:textId="77777777" w:rsidTr="00227F8E">
        <w:tc>
          <w:tcPr>
            <w:tcW w:w="0" w:type="auto"/>
          </w:tcPr>
          <w:p w14:paraId="3CDEE2EE"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Univentricular heart</w:t>
            </w:r>
          </w:p>
          <w:p w14:paraId="4DB4A531"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263235C0"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is the imaging modality of choice for extracardiac anatomy,</w:t>
            </w:r>
          </w:p>
          <w:p w14:paraId="6F44BE4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 xml:space="preserve">including </w:t>
            </w:r>
            <w:proofErr w:type="spellStart"/>
            <w:r w:rsidRPr="00224F1E">
              <w:rPr>
                <w:rFonts w:ascii="Times New Roman" w:hAnsi="Times New Roman" w:cs="Times New Roman"/>
                <w:sz w:val="32"/>
                <w:szCs w:val="32"/>
                <w:lang w:val="en-US"/>
              </w:rPr>
              <w:t>veno</w:t>
            </w:r>
            <w:proofErr w:type="spellEnd"/>
            <w:r w:rsidRPr="00224F1E">
              <w:rPr>
                <w:rFonts w:ascii="Times New Roman" w:hAnsi="Times New Roman" w:cs="Times New Roman"/>
                <w:sz w:val="32"/>
                <w:szCs w:val="32"/>
                <w:lang w:val="en-US"/>
              </w:rPr>
              <w:t xml:space="preserve">-atrial and </w:t>
            </w:r>
            <w:proofErr w:type="spellStart"/>
            <w:r w:rsidRPr="00224F1E">
              <w:rPr>
                <w:rFonts w:ascii="Times New Roman" w:hAnsi="Times New Roman" w:cs="Times New Roman"/>
                <w:sz w:val="32"/>
                <w:szCs w:val="32"/>
                <w:lang w:val="en-US"/>
              </w:rPr>
              <w:t>ventriculo</w:t>
            </w:r>
            <w:proofErr w:type="spellEnd"/>
            <w:r w:rsidRPr="00224F1E">
              <w:rPr>
                <w:rFonts w:ascii="Times New Roman" w:hAnsi="Times New Roman" w:cs="Times New Roman"/>
                <w:sz w:val="32"/>
                <w:szCs w:val="32"/>
                <w:lang w:val="en-US"/>
              </w:rPr>
              <w:t>-arterial connections (CCT is</w:t>
            </w:r>
          </w:p>
          <w:p w14:paraId="3B444DC2"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an alternative). Detailed morphological information of intracardiac</w:t>
            </w:r>
          </w:p>
          <w:p w14:paraId="4667EC82"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anatomy can also be obtained. CMR is also the method of</w:t>
            </w:r>
          </w:p>
          <w:p w14:paraId="1BE919A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choice for quantification of ventricular volumes, EF, and relative</w:t>
            </w:r>
          </w:p>
          <w:p w14:paraId="588B1BF9"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distribution of blood flow in the left and right lungs. CMR and an exercise test are required at least once at adult age and at further intervals timed according to baseline findings.</w:t>
            </w:r>
          </w:p>
        </w:tc>
      </w:tr>
      <w:tr w:rsidR="0022171E" w:rsidRPr="00224F1E" w14:paraId="751CAB9A" w14:textId="77777777" w:rsidTr="00227F8E">
        <w:tc>
          <w:tcPr>
            <w:tcW w:w="0" w:type="auto"/>
          </w:tcPr>
          <w:p w14:paraId="4F5AE040"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Patients after Fontan operation</w:t>
            </w:r>
          </w:p>
          <w:p w14:paraId="6C59D415" w14:textId="77777777" w:rsidR="0022171E" w:rsidRPr="00224F1E" w:rsidRDefault="0022171E" w:rsidP="00227F8E">
            <w:pPr>
              <w:spacing w:line="480" w:lineRule="auto"/>
              <w:jc w:val="both"/>
              <w:rPr>
                <w:rFonts w:ascii="Times New Roman" w:hAnsi="Times New Roman" w:cs="Times New Roman"/>
                <w:sz w:val="32"/>
                <w:szCs w:val="32"/>
                <w:lang w:val="en-US"/>
              </w:rPr>
            </w:pPr>
          </w:p>
        </w:tc>
        <w:tc>
          <w:tcPr>
            <w:tcW w:w="0" w:type="auto"/>
          </w:tcPr>
          <w:p w14:paraId="4D2A2BDB"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CMR is helpful for evaluation of the Fontan pathway, collaterals,</w:t>
            </w:r>
          </w:p>
          <w:p w14:paraId="65E13EB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and pulmonary veins (</w:t>
            </w:r>
            <w:proofErr w:type="gramStart"/>
            <w:r w:rsidRPr="00224F1E">
              <w:rPr>
                <w:rFonts w:ascii="Times New Roman" w:hAnsi="Times New Roman" w:cs="Times New Roman"/>
                <w:sz w:val="32"/>
                <w:szCs w:val="32"/>
                <w:lang w:val="en-US"/>
              </w:rPr>
              <w:t>e.g.</w:t>
            </w:r>
            <w:proofErr w:type="gramEnd"/>
            <w:r w:rsidRPr="00224F1E">
              <w:rPr>
                <w:rFonts w:ascii="Times New Roman" w:hAnsi="Times New Roman" w:cs="Times New Roman"/>
                <w:sz w:val="32"/>
                <w:szCs w:val="32"/>
                <w:lang w:val="en-US"/>
              </w:rPr>
              <w:t xml:space="preserve"> right pulmonary vein obstruction by</w:t>
            </w:r>
          </w:p>
          <w:p w14:paraId="0D2F90E8"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enlarged RA) and for thrombus. &lt;…</w:t>
            </w:r>
            <w:proofErr w:type="gramStart"/>
            <w:r w:rsidRPr="00224F1E">
              <w:rPr>
                <w:rFonts w:ascii="Times New Roman" w:hAnsi="Times New Roman" w:cs="Times New Roman"/>
                <w:sz w:val="32"/>
                <w:szCs w:val="32"/>
                <w:lang w:val="en-US"/>
              </w:rPr>
              <w:t>&gt;  CMR</w:t>
            </w:r>
            <w:proofErr w:type="gramEnd"/>
            <w:r w:rsidRPr="00224F1E">
              <w:rPr>
                <w:rFonts w:ascii="Times New Roman" w:hAnsi="Times New Roman" w:cs="Times New Roman"/>
                <w:sz w:val="32"/>
                <w:szCs w:val="32"/>
                <w:lang w:val="en-US"/>
              </w:rPr>
              <w:t xml:space="preserve"> is regularly performed</w:t>
            </w:r>
          </w:p>
          <w:p w14:paraId="74D6BE03"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for ventricular volumes, Fontan pathway patency and flows, to</w:t>
            </w:r>
          </w:p>
          <w:p w14:paraId="6D447FF5"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evaluate AV valve regurgitation, subaortic obstruction, myocardial</w:t>
            </w:r>
          </w:p>
          <w:p w14:paraId="77EDD868"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fibrosis, and for detection of thrombus.</w:t>
            </w:r>
          </w:p>
          <w:p w14:paraId="7A93F81A"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Cardiac catheterization &lt;… and&gt; Integration with CMR for flows</w:t>
            </w:r>
          </w:p>
          <w:p w14:paraId="19A1F40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w:t>
            </w:r>
            <w:proofErr w:type="gramStart"/>
            <w:r w:rsidRPr="00224F1E">
              <w:rPr>
                <w:rFonts w:ascii="Times New Roman" w:hAnsi="Times New Roman" w:cs="Times New Roman"/>
                <w:sz w:val="32"/>
                <w:szCs w:val="32"/>
                <w:lang w:val="en-US"/>
              </w:rPr>
              <w:t>cardiac</w:t>
            </w:r>
            <w:proofErr w:type="gramEnd"/>
            <w:r w:rsidRPr="00224F1E">
              <w:rPr>
                <w:rFonts w:ascii="Times New Roman" w:hAnsi="Times New Roman" w:cs="Times New Roman"/>
                <w:sz w:val="32"/>
                <w:szCs w:val="32"/>
                <w:lang w:val="en-US"/>
              </w:rPr>
              <w:t xml:space="preserve"> output) may allow more precise measurement of PVR.</w:t>
            </w:r>
          </w:p>
        </w:tc>
      </w:tr>
      <w:tr w:rsidR="0022171E" w:rsidRPr="00224F1E" w14:paraId="05488DF0" w14:textId="77777777" w:rsidTr="00227F8E">
        <w:tc>
          <w:tcPr>
            <w:tcW w:w="0" w:type="auto"/>
          </w:tcPr>
          <w:p w14:paraId="67F03013"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lastRenderedPageBreak/>
              <w:t>Coronary anomalies</w:t>
            </w:r>
          </w:p>
        </w:tc>
        <w:tc>
          <w:tcPr>
            <w:tcW w:w="0" w:type="auto"/>
          </w:tcPr>
          <w:p w14:paraId="04712FEF" w14:textId="77777777" w:rsidR="0022171E" w:rsidRPr="00224F1E" w:rsidRDefault="0022171E" w:rsidP="00227F8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Non-pharmacological functional imaging (</w:t>
            </w:r>
            <w:proofErr w:type="gramStart"/>
            <w:r w:rsidRPr="00224F1E">
              <w:rPr>
                <w:rFonts w:ascii="Times New Roman" w:hAnsi="Times New Roman" w:cs="Times New Roman"/>
                <w:sz w:val="32"/>
                <w:szCs w:val="32"/>
                <w:lang w:val="en-US"/>
              </w:rPr>
              <w:t>e.g.</w:t>
            </w:r>
            <w:proofErr w:type="gramEnd"/>
            <w:r w:rsidRPr="00224F1E">
              <w:rPr>
                <w:rFonts w:ascii="Times New Roman" w:hAnsi="Times New Roman" w:cs="Times New Roman"/>
                <w:sz w:val="32"/>
                <w:szCs w:val="32"/>
                <w:lang w:val="en-US"/>
              </w:rPr>
              <w:t xml:space="preserve"> nuclear study, echocardiography, or CMR with physical stress) is recommended in patients with coronary anomalies to confirm/ exclude myocardial ischemia.</w:t>
            </w:r>
          </w:p>
        </w:tc>
      </w:tr>
    </w:tbl>
    <w:p w14:paraId="4B79E6CF" w14:textId="77777777" w:rsidR="0022171E" w:rsidRPr="00224F1E" w:rsidRDefault="0022171E" w:rsidP="0022171E">
      <w:pPr>
        <w:spacing w:line="480" w:lineRule="auto"/>
        <w:jc w:val="both"/>
        <w:rPr>
          <w:rFonts w:ascii="Times New Roman" w:hAnsi="Times New Roman" w:cs="Times New Roman"/>
          <w:sz w:val="32"/>
          <w:szCs w:val="32"/>
          <w:lang w:val="en-US"/>
        </w:rPr>
      </w:pPr>
    </w:p>
    <w:p w14:paraId="1E987D00" w14:textId="246D6867" w:rsidR="0022171E" w:rsidRPr="00224F1E" w:rsidRDefault="0022171E" w:rsidP="0022171E">
      <w:pPr>
        <w:spacing w:line="480" w:lineRule="auto"/>
        <w:jc w:val="both"/>
        <w:rPr>
          <w:rFonts w:ascii="Times New Roman" w:hAnsi="Times New Roman" w:cs="Times New Roman"/>
          <w:sz w:val="32"/>
          <w:szCs w:val="32"/>
          <w:lang w:val="en-US"/>
        </w:rPr>
      </w:pPr>
      <w:r w:rsidRPr="00224F1E">
        <w:rPr>
          <w:rFonts w:ascii="Times New Roman" w:hAnsi="Times New Roman" w:cs="Times New Roman"/>
          <w:sz w:val="32"/>
          <w:szCs w:val="32"/>
          <w:lang w:val="en-US"/>
        </w:rPr>
        <w:t xml:space="preserve">CMR = Cardiovascular magnetic resonance, TOE = transesophageal echocardiography, CCT = cardiac computed tomography, RV = right ventricular, LV = left ventricular,  AV = atrioventricular, BAV = bicuspid aortic valve, TTE = transthoracic </w:t>
      </w:r>
      <w:proofErr w:type="spellStart"/>
      <w:r w:rsidRPr="00224F1E">
        <w:rPr>
          <w:rFonts w:ascii="Times New Roman" w:hAnsi="Times New Roman" w:cs="Times New Roman"/>
          <w:sz w:val="32"/>
          <w:szCs w:val="32"/>
          <w:lang w:val="en-US"/>
        </w:rPr>
        <w:t>echocardiogaphy</w:t>
      </w:r>
      <w:proofErr w:type="spellEnd"/>
      <w:r w:rsidRPr="00224F1E">
        <w:rPr>
          <w:rFonts w:ascii="Times New Roman" w:hAnsi="Times New Roman" w:cs="Times New Roman"/>
          <w:sz w:val="32"/>
          <w:szCs w:val="32"/>
          <w:lang w:val="en-US"/>
        </w:rPr>
        <w:t xml:space="preserve">, LVOTO </w:t>
      </w:r>
      <w:r w:rsidRPr="00224F1E">
        <w:rPr>
          <w:rFonts w:ascii="Times New Roman" w:hAnsi="Times New Roman" w:cs="Times New Roman"/>
          <w:sz w:val="32"/>
          <w:szCs w:val="32"/>
          <w:lang w:val="en-US"/>
        </w:rPr>
        <w:lastRenderedPageBreak/>
        <w:t>= left ventricular outflow tract obstruction, PA = pulmonary artery, CAD = coronary artery disease, 3D = three dimensional, CoA = coarctation of the aorta, EF = ejection fraction, DCRV = Double-chambered right ventricle, PS = pulmonary stenosis, TV = tricuspid valve, PR = pulmonary regurgitation, VT = ventricular tachycardia, SCD = sudden cardiac death, MAPCAs = major aortic pulmonary collaterals, TOF = tetralogy of Fallot, PH = pulmonary hypertension, VSD = ventricular septal defect, PVR = pulmonary vascular resistance</w:t>
      </w:r>
    </w:p>
    <w:p w14:paraId="5B002EC2" w14:textId="77777777" w:rsidR="0022171E" w:rsidRPr="00224F1E" w:rsidRDefault="0022171E" w:rsidP="0022171E">
      <w:pPr>
        <w:spacing w:line="480" w:lineRule="auto"/>
        <w:jc w:val="both"/>
        <w:rPr>
          <w:rFonts w:ascii="Times New Roman" w:hAnsi="Times New Roman" w:cs="Times New Roman"/>
          <w:sz w:val="32"/>
          <w:szCs w:val="32"/>
          <w:lang w:val="en-US"/>
        </w:rPr>
      </w:pPr>
    </w:p>
    <w:p w14:paraId="310EA670" w14:textId="77777777" w:rsidR="0022171E" w:rsidRPr="00224F1E" w:rsidRDefault="0022171E" w:rsidP="0022171E">
      <w:pPr>
        <w:spacing w:line="480" w:lineRule="auto"/>
        <w:jc w:val="both"/>
        <w:rPr>
          <w:rFonts w:ascii="Times New Roman" w:hAnsi="Times New Roman" w:cs="Times New Roman"/>
          <w:sz w:val="32"/>
          <w:szCs w:val="32"/>
          <w:lang w:val="en-US"/>
        </w:rPr>
      </w:pPr>
    </w:p>
    <w:p w14:paraId="1A13E7FD" w14:textId="77777777" w:rsidR="0022171E" w:rsidRPr="00224F1E" w:rsidRDefault="0022171E" w:rsidP="0022171E">
      <w:pPr>
        <w:spacing w:line="480" w:lineRule="auto"/>
        <w:jc w:val="both"/>
        <w:rPr>
          <w:rFonts w:ascii="Times New Roman" w:hAnsi="Times New Roman" w:cs="Times New Roman"/>
          <w:sz w:val="32"/>
          <w:szCs w:val="32"/>
          <w:lang w:val="en-US"/>
        </w:rPr>
      </w:pPr>
    </w:p>
    <w:p w14:paraId="08B78B76" w14:textId="77777777" w:rsidR="0022171E" w:rsidRPr="00224F1E" w:rsidRDefault="0022171E" w:rsidP="0022171E">
      <w:pPr>
        <w:spacing w:line="480" w:lineRule="auto"/>
        <w:jc w:val="both"/>
        <w:rPr>
          <w:rFonts w:ascii="Times New Roman" w:hAnsi="Times New Roman" w:cs="Times New Roman"/>
          <w:sz w:val="32"/>
          <w:szCs w:val="32"/>
          <w:lang w:val="en-US"/>
        </w:rPr>
      </w:pPr>
    </w:p>
    <w:p w14:paraId="046DEA57" w14:textId="77777777" w:rsidR="0022171E" w:rsidRPr="00224F1E" w:rsidRDefault="0022171E" w:rsidP="0022171E">
      <w:pPr>
        <w:spacing w:line="480" w:lineRule="auto"/>
        <w:jc w:val="both"/>
        <w:rPr>
          <w:rFonts w:ascii="Times New Roman" w:hAnsi="Times New Roman" w:cs="Times New Roman"/>
          <w:sz w:val="32"/>
          <w:szCs w:val="32"/>
          <w:lang w:val="en-US"/>
        </w:rPr>
      </w:pPr>
    </w:p>
    <w:p w14:paraId="4FC74A5B" w14:textId="77777777" w:rsidR="00DE5E16" w:rsidRDefault="00DE5E16"/>
    <w:sectPr w:rsidR="00DE5E16" w:rsidSect="00771E85">
      <w:footerReference w:type="even" r:id="rId4"/>
      <w:footerReference w:type="default" r:id="rI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F20" w14:textId="77777777" w:rsidR="00750057" w:rsidRDefault="00000000" w:rsidP="00053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215D8" w14:textId="77777777" w:rsidR="00750057" w:rsidRDefault="00000000" w:rsidP="002A3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A3D3" w14:textId="77777777" w:rsidR="00750057" w:rsidRPr="002A3FAC" w:rsidRDefault="00000000" w:rsidP="00053017">
    <w:pPr>
      <w:pStyle w:val="Footer"/>
      <w:framePr w:wrap="around" w:vAnchor="text" w:hAnchor="margin" w:xAlign="right" w:y="1"/>
      <w:rPr>
        <w:rStyle w:val="PageNumber"/>
        <w:rFonts w:ascii="Arial" w:hAnsi="Arial" w:cs="Arial"/>
        <w:sz w:val="18"/>
      </w:rPr>
    </w:pPr>
    <w:r w:rsidRPr="002A3FAC">
      <w:rPr>
        <w:rStyle w:val="PageNumber"/>
        <w:rFonts w:ascii="Arial" w:hAnsi="Arial" w:cs="Arial"/>
        <w:sz w:val="18"/>
      </w:rPr>
      <w:fldChar w:fldCharType="begin"/>
    </w:r>
    <w:r w:rsidRPr="002A3FAC">
      <w:rPr>
        <w:rStyle w:val="PageNumber"/>
        <w:rFonts w:ascii="Arial" w:hAnsi="Arial" w:cs="Arial"/>
        <w:sz w:val="18"/>
      </w:rPr>
      <w:instrText xml:space="preserve">PAGE  </w:instrText>
    </w:r>
    <w:r w:rsidRPr="002A3FAC">
      <w:rPr>
        <w:rStyle w:val="PageNumber"/>
        <w:rFonts w:ascii="Arial" w:hAnsi="Arial" w:cs="Arial"/>
        <w:sz w:val="18"/>
      </w:rPr>
      <w:fldChar w:fldCharType="separate"/>
    </w:r>
    <w:r>
      <w:rPr>
        <w:rStyle w:val="PageNumber"/>
        <w:rFonts w:ascii="Arial" w:hAnsi="Arial" w:cs="Arial"/>
        <w:noProof/>
        <w:sz w:val="18"/>
      </w:rPr>
      <w:t>64</w:t>
    </w:r>
    <w:r w:rsidRPr="002A3FAC">
      <w:rPr>
        <w:rStyle w:val="PageNumber"/>
        <w:rFonts w:ascii="Arial" w:hAnsi="Arial" w:cs="Arial"/>
        <w:sz w:val="18"/>
      </w:rPr>
      <w:fldChar w:fldCharType="end"/>
    </w:r>
  </w:p>
  <w:p w14:paraId="1A519040" w14:textId="77777777" w:rsidR="00750057" w:rsidRDefault="00000000" w:rsidP="002A3FA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E"/>
    <w:rsid w:val="00001A90"/>
    <w:rsid w:val="000028A1"/>
    <w:rsid w:val="00004B00"/>
    <w:rsid w:val="000054C0"/>
    <w:rsid w:val="00005A2F"/>
    <w:rsid w:val="0000606E"/>
    <w:rsid w:val="0000654F"/>
    <w:rsid w:val="000121C0"/>
    <w:rsid w:val="00013FAF"/>
    <w:rsid w:val="00016205"/>
    <w:rsid w:val="00016372"/>
    <w:rsid w:val="00021BB4"/>
    <w:rsid w:val="000231E8"/>
    <w:rsid w:val="00023CAA"/>
    <w:rsid w:val="0002659F"/>
    <w:rsid w:val="00030264"/>
    <w:rsid w:val="0003048A"/>
    <w:rsid w:val="00032949"/>
    <w:rsid w:val="00034598"/>
    <w:rsid w:val="00034AEE"/>
    <w:rsid w:val="00034C8D"/>
    <w:rsid w:val="0003605B"/>
    <w:rsid w:val="00036651"/>
    <w:rsid w:val="0003679B"/>
    <w:rsid w:val="00037D46"/>
    <w:rsid w:val="00041D1C"/>
    <w:rsid w:val="000436C2"/>
    <w:rsid w:val="000446C2"/>
    <w:rsid w:val="00050793"/>
    <w:rsid w:val="00052842"/>
    <w:rsid w:val="00054BF5"/>
    <w:rsid w:val="0005619C"/>
    <w:rsid w:val="000561ED"/>
    <w:rsid w:val="00057B4D"/>
    <w:rsid w:val="000614FB"/>
    <w:rsid w:val="00067338"/>
    <w:rsid w:val="00076B62"/>
    <w:rsid w:val="00077F1B"/>
    <w:rsid w:val="000827CD"/>
    <w:rsid w:val="000845B3"/>
    <w:rsid w:val="0008743E"/>
    <w:rsid w:val="00092A60"/>
    <w:rsid w:val="00092C0E"/>
    <w:rsid w:val="000942EC"/>
    <w:rsid w:val="00094E28"/>
    <w:rsid w:val="000957D1"/>
    <w:rsid w:val="00096CAB"/>
    <w:rsid w:val="000A22E3"/>
    <w:rsid w:val="000A233B"/>
    <w:rsid w:val="000A2B2C"/>
    <w:rsid w:val="000A3498"/>
    <w:rsid w:val="000A34C7"/>
    <w:rsid w:val="000A4FFD"/>
    <w:rsid w:val="000A66F2"/>
    <w:rsid w:val="000B0277"/>
    <w:rsid w:val="000B0C86"/>
    <w:rsid w:val="000B1501"/>
    <w:rsid w:val="000B58E5"/>
    <w:rsid w:val="000B58EE"/>
    <w:rsid w:val="000B5C4F"/>
    <w:rsid w:val="000B7253"/>
    <w:rsid w:val="000B7417"/>
    <w:rsid w:val="000C0FDA"/>
    <w:rsid w:val="000C173B"/>
    <w:rsid w:val="000C1E94"/>
    <w:rsid w:val="000C1EA4"/>
    <w:rsid w:val="000C2B6F"/>
    <w:rsid w:val="000C3210"/>
    <w:rsid w:val="000C4711"/>
    <w:rsid w:val="000C49ED"/>
    <w:rsid w:val="000C6AE1"/>
    <w:rsid w:val="000D1045"/>
    <w:rsid w:val="000D4155"/>
    <w:rsid w:val="000E0A23"/>
    <w:rsid w:val="000E473F"/>
    <w:rsid w:val="000E6275"/>
    <w:rsid w:val="000E70E0"/>
    <w:rsid w:val="000E7E60"/>
    <w:rsid w:val="000F039B"/>
    <w:rsid w:val="000F11A2"/>
    <w:rsid w:val="000F20B5"/>
    <w:rsid w:val="000F2174"/>
    <w:rsid w:val="000F2316"/>
    <w:rsid w:val="000F27D9"/>
    <w:rsid w:val="000F382E"/>
    <w:rsid w:val="000F3BB5"/>
    <w:rsid w:val="000F7B21"/>
    <w:rsid w:val="0010247E"/>
    <w:rsid w:val="00104E06"/>
    <w:rsid w:val="001054C0"/>
    <w:rsid w:val="00106CB3"/>
    <w:rsid w:val="00111634"/>
    <w:rsid w:val="00120CD6"/>
    <w:rsid w:val="00122DFE"/>
    <w:rsid w:val="001257C9"/>
    <w:rsid w:val="001264D1"/>
    <w:rsid w:val="001348E7"/>
    <w:rsid w:val="001355CD"/>
    <w:rsid w:val="001400C0"/>
    <w:rsid w:val="00141BCD"/>
    <w:rsid w:val="0014470E"/>
    <w:rsid w:val="00145690"/>
    <w:rsid w:val="00147637"/>
    <w:rsid w:val="00151E26"/>
    <w:rsid w:val="001532FE"/>
    <w:rsid w:val="00153F3B"/>
    <w:rsid w:val="00153F68"/>
    <w:rsid w:val="00155516"/>
    <w:rsid w:val="001607BC"/>
    <w:rsid w:val="00163A5C"/>
    <w:rsid w:val="00164EC1"/>
    <w:rsid w:val="00166364"/>
    <w:rsid w:val="001702C3"/>
    <w:rsid w:val="00171CBF"/>
    <w:rsid w:val="001733BE"/>
    <w:rsid w:val="00173CEE"/>
    <w:rsid w:val="0017429A"/>
    <w:rsid w:val="00174658"/>
    <w:rsid w:val="0017475D"/>
    <w:rsid w:val="0018196C"/>
    <w:rsid w:val="00181DE8"/>
    <w:rsid w:val="00184525"/>
    <w:rsid w:val="0018569E"/>
    <w:rsid w:val="00186C71"/>
    <w:rsid w:val="001913A6"/>
    <w:rsid w:val="001917D1"/>
    <w:rsid w:val="00195F7C"/>
    <w:rsid w:val="00196AFD"/>
    <w:rsid w:val="001974F9"/>
    <w:rsid w:val="001A06DC"/>
    <w:rsid w:val="001A14C1"/>
    <w:rsid w:val="001A1FC5"/>
    <w:rsid w:val="001A25DE"/>
    <w:rsid w:val="001A2D9C"/>
    <w:rsid w:val="001A38F4"/>
    <w:rsid w:val="001A42D9"/>
    <w:rsid w:val="001A4A11"/>
    <w:rsid w:val="001A4A24"/>
    <w:rsid w:val="001A575F"/>
    <w:rsid w:val="001B2A9C"/>
    <w:rsid w:val="001B3FFB"/>
    <w:rsid w:val="001B49C8"/>
    <w:rsid w:val="001B4D98"/>
    <w:rsid w:val="001B6E30"/>
    <w:rsid w:val="001B7937"/>
    <w:rsid w:val="001C2359"/>
    <w:rsid w:val="001C2F10"/>
    <w:rsid w:val="001C3A7D"/>
    <w:rsid w:val="001C541F"/>
    <w:rsid w:val="001C55A4"/>
    <w:rsid w:val="001C577B"/>
    <w:rsid w:val="001C58B9"/>
    <w:rsid w:val="001C60AB"/>
    <w:rsid w:val="001D2626"/>
    <w:rsid w:val="001D609E"/>
    <w:rsid w:val="001D617B"/>
    <w:rsid w:val="001D6B14"/>
    <w:rsid w:val="001D79D2"/>
    <w:rsid w:val="001E51CD"/>
    <w:rsid w:val="001E58C2"/>
    <w:rsid w:val="001E6E2B"/>
    <w:rsid w:val="001E6F1D"/>
    <w:rsid w:val="001E7F82"/>
    <w:rsid w:val="001F0349"/>
    <w:rsid w:val="001F0BAF"/>
    <w:rsid w:val="001F2534"/>
    <w:rsid w:val="001F3456"/>
    <w:rsid w:val="001F554B"/>
    <w:rsid w:val="002003A9"/>
    <w:rsid w:val="00201F5A"/>
    <w:rsid w:val="0020243C"/>
    <w:rsid w:val="002056C1"/>
    <w:rsid w:val="00207285"/>
    <w:rsid w:val="002106DF"/>
    <w:rsid w:val="00210DFD"/>
    <w:rsid w:val="00212757"/>
    <w:rsid w:val="00212763"/>
    <w:rsid w:val="00212DA0"/>
    <w:rsid w:val="00214203"/>
    <w:rsid w:val="00214672"/>
    <w:rsid w:val="00214849"/>
    <w:rsid w:val="002161CC"/>
    <w:rsid w:val="00220FEE"/>
    <w:rsid w:val="00221203"/>
    <w:rsid w:val="0022171E"/>
    <w:rsid w:val="0022301B"/>
    <w:rsid w:val="00224C44"/>
    <w:rsid w:val="0023059A"/>
    <w:rsid w:val="00230A82"/>
    <w:rsid w:val="0023497F"/>
    <w:rsid w:val="00235245"/>
    <w:rsid w:val="002368B6"/>
    <w:rsid w:val="00240E9D"/>
    <w:rsid w:val="00241FFE"/>
    <w:rsid w:val="00243108"/>
    <w:rsid w:val="00243371"/>
    <w:rsid w:val="0024348F"/>
    <w:rsid w:val="00252EFF"/>
    <w:rsid w:val="00253284"/>
    <w:rsid w:val="002554C2"/>
    <w:rsid w:val="0026086C"/>
    <w:rsid w:val="00261E45"/>
    <w:rsid w:val="00262A02"/>
    <w:rsid w:val="00262EE1"/>
    <w:rsid w:val="0026337E"/>
    <w:rsid w:val="00266659"/>
    <w:rsid w:val="0026669D"/>
    <w:rsid w:val="00271220"/>
    <w:rsid w:val="002715C0"/>
    <w:rsid w:val="00271D96"/>
    <w:rsid w:val="00272096"/>
    <w:rsid w:val="0027278F"/>
    <w:rsid w:val="00277E19"/>
    <w:rsid w:val="00280DA0"/>
    <w:rsid w:val="00281E8B"/>
    <w:rsid w:val="002827E4"/>
    <w:rsid w:val="00282E3E"/>
    <w:rsid w:val="00282FFD"/>
    <w:rsid w:val="00283696"/>
    <w:rsid w:val="002850D0"/>
    <w:rsid w:val="0028621F"/>
    <w:rsid w:val="0028671E"/>
    <w:rsid w:val="00286ED6"/>
    <w:rsid w:val="00287337"/>
    <w:rsid w:val="002875E9"/>
    <w:rsid w:val="00287605"/>
    <w:rsid w:val="00287843"/>
    <w:rsid w:val="00291BAC"/>
    <w:rsid w:val="00293859"/>
    <w:rsid w:val="00294613"/>
    <w:rsid w:val="00294ECE"/>
    <w:rsid w:val="002969C3"/>
    <w:rsid w:val="00297741"/>
    <w:rsid w:val="002A35C3"/>
    <w:rsid w:val="002A3980"/>
    <w:rsid w:val="002A42EC"/>
    <w:rsid w:val="002A480F"/>
    <w:rsid w:val="002A51D6"/>
    <w:rsid w:val="002A7140"/>
    <w:rsid w:val="002B0ADF"/>
    <w:rsid w:val="002B174B"/>
    <w:rsid w:val="002B1D32"/>
    <w:rsid w:val="002B207C"/>
    <w:rsid w:val="002B22A0"/>
    <w:rsid w:val="002B3B1B"/>
    <w:rsid w:val="002B46D1"/>
    <w:rsid w:val="002B4DA3"/>
    <w:rsid w:val="002B55BF"/>
    <w:rsid w:val="002B6CFE"/>
    <w:rsid w:val="002B7365"/>
    <w:rsid w:val="002B7AAD"/>
    <w:rsid w:val="002C164A"/>
    <w:rsid w:val="002C27DC"/>
    <w:rsid w:val="002C7897"/>
    <w:rsid w:val="002D0CA7"/>
    <w:rsid w:val="002D212B"/>
    <w:rsid w:val="002D372D"/>
    <w:rsid w:val="002D4279"/>
    <w:rsid w:val="002D4607"/>
    <w:rsid w:val="002D5114"/>
    <w:rsid w:val="002D5B70"/>
    <w:rsid w:val="002D65DD"/>
    <w:rsid w:val="002D67E9"/>
    <w:rsid w:val="002D7EB0"/>
    <w:rsid w:val="002E1CFC"/>
    <w:rsid w:val="002E26F4"/>
    <w:rsid w:val="002E33A1"/>
    <w:rsid w:val="002E36DD"/>
    <w:rsid w:val="002E4025"/>
    <w:rsid w:val="002E610C"/>
    <w:rsid w:val="002E6896"/>
    <w:rsid w:val="002E699E"/>
    <w:rsid w:val="002E7201"/>
    <w:rsid w:val="002F2533"/>
    <w:rsid w:val="002F3120"/>
    <w:rsid w:val="002F3722"/>
    <w:rsid w:val="002F4332"/>
    <w:rsid w:val="002F6B0A"/>
    <w:rsid w:val="00300FD7"/>
    <w:rsid w:val="003023AB"/>
    <w:rsid w:val="00304A08"/>
    <w:rsid w:val="0030591D"/>
    <w:rsid w:val="003064FD"/>
    <w:rsid w:val="00307853"/>
    <w:rsid w:val="00307942"/>
    <w:rsid w:val="0031015E"/>
    <w:rsid w:val="0031066E"/>
    <w:rsid w:val="00311E24"/>
    <w:rsid w:val="00312291"/>
    <w:rsid w:val="00312ECB"/>
    <w:rsid w:val="00314EDD"/>
    <w:rsid w:val="00322A9B"/>
    <w:rsid w:val="00324854"/>
    <w:rsid w:val="00324C7D"/>
    <w:rsid w:val="003256DB"/>
    <w:rsid w:val="003338D3"/>
    <w:rsid w:val="00333D9A"/>
    <w:rsid w:val="00335647"/>
    <w:rsid w:val="003360EC"/>
    <w:rsid w:val="0033746F"/>
    <w:rsid w:val="00337A19"/>
    <w:rsid w:val="00342B21"/>
    <w:rsid w:val="00342D8F"/>
    <w:rsid w:val="003438CC"/>
    <w:rsid w:val="0034485B"/>
    <w:rsid w:val="0034501C"/>
    <w:rsid w:val="00345023"/>
    <w:rsid w:val="003453AD"/>
    <w:rsid w:val="00346743"/>
    <w:rsid w:val="0035182D"/>
    <w:rsid w:val="00354612"/>
    <w:rsid w:val="003560B9"/>
    <w:rsid w:val="003570C5"/>
    <w:rsid w:val="003571DE"/>
    <w:rsid w:val="00360F4C"/>
    <w:rsid w:val="00361C00"/>
    <w:rsid w:val="003625F0"/>
    <w:rsid w:val="00366B6E"/>
    <w:rsid w:val="003703DC"/>
    <w:rsid w:val="00370616"/>
    <w:rsid w:val="003709EF"/>
    <w:rsid w:val="00370F4D"/>
    <w:rsid w:val="0037154B"/>
    <w:rsid w:val="0037735F"/>
    <w:rsid w:val="00377A07"/>
    <w:rsid w:val="00380156"/>
    <w:rsid w:val="00380790"/>
    <w:rsid w:val="00380B2E"/>
    <w:rsid w:val="00383BD4"/>
    <w:rsid w:val="0038656C"/>
    <w:rsid w:val="00386880"/>
    <w:rsid w:val="00390ACD"/>
    <w:rsid w:val="00390F03"/>
    <w:rsid w:val="003923FC"/>
    <w:rsid w:val="0039324C"/>
    <w:rsid w:val="003940F4"/>
    <w:rsid w:val="0039476F"/>
    <w:rsid w:val="00396A36"/>
    <w:rsid w:val="003973DC"/>
    <w:rsid w:val="00397B39"/>
    <w:rsid w:val="003A0CDA"/>
    <w:rsid w:val="003A1075"/>
    <w:rsid w:val="003A22DE"/>
    <w:rsid w:val="003A4B4E"/>
    <w:rsid w:val="003A52B3"/>
    <w:rsid w:val="003A5F02"/>
    <w:rsid w:val="003B1216"/>
    <w:rsid w:val="003B3A6F"/>
    <w:rsid w:val="003B3BD0"/>
    <w:rsid w:val="003B3D41"/>
    <w:rsid w:val="003B4B24"/>
    <w:rsid w:val="003B5F27"/>
    <w:rsid w:val="003B788C"/>
    <w:rsid w:val="003B7F72"/>
    <w:rsid w:val="003C06F0"/>
    <w:rsid w:val="003C3F04"/>
    <w:rsid w:val="003C7CB6"/>
    <w:rsid w:val="003C7F1D"/>
    <w:rsid w:val="003D1F82"/>
    <w:rsid w:val="003D26B6"/>
    <w:rsid w:val="003D3465"/>
    <w:rsid w:val="003D3A13"/>
    <w:rsid w:val="003D3D11"/>
    <w:rsid w:val="003D5415"/>
    <w:rsid w:val="003D596D"/>
    <w:rsid w:val="003D6117"/>
    <w:rsid w:val="003D6731"/>
    <w:rsid w:val="003D7508"/>
    <w:rsid w:val="003E572D"/>
    <w:rsid w:val="003E5EE9"/>
    <w:rsid w:val="003F0023"/>
    <w:rsid w:val="003F02DF"/>
    <w:rsid w:val="003F1795"/>
    <w:rsid w:val="003F1F23"/>
    <w:rsid w:val="003F4C08"/>
    <w:rsid w:val="00403928"/>
    <w:rsid w:val="00403ADC"/>
    <w:rsid w:val="004068D8"/>
    <w:rsid w:val="00406C0D"/>
    <w:rsid w:val="00406CDD"/>
    <w:rsid w:val="00411532"/>
    <w:rsid w:val="00413F95"/>
    <w:rsid w:val="00414D5D"/>
    <w:rsid w:val="00415F98"/>
    <w:rsid w:val="004163DC"/>
    <w:rsid w:val="0041702C"/>
    <w:rsid w:val="004206E9"/>
    <w:rsid w:val="00425600"/>
    <w:rsid w:val="00425E10"/>
    <w:rsid w:val="00427633"/>
    <w:rsid w:val="00430396"/>
    <w:rsid w:val="00430B59"/>
    <w:rsid w:val="00431BDB"/>
    <w:rsid w:val="00432A3D"/>
    <w:rsid w:val="00433403"/>
    <w:rsid w:val="00435D68"/>
    <w:rsid w:val="00436035"/>
    <w:rsid w:val="0043716F"/>
    <w:rsid w:val="0043746C"/>
    <w:rsid w:val="004402F0"/>
    <w:rsid w:val="00440BDB"/>
    <w:rsid w:val="00441121"/>
    <w:rsid w:val="00442C09"/>
    <w:rsid w:val="00444C7C"/>
    <w:rsid w:val="0044649C"/>
    <w:rsid w:val="004500B3"/>
    <w:rsid w:val="004520AD"/>
    <w:rsid w:val="00454C32"/>
    <w:rsid w:val="004555ED"/>
    <w:rsid w:val="00456D5E"/>
    <w:rsid w:val="00460857"/>
    <w:rsid w:val="00461203"/>
    <w:rsid w:val="00461B7F"/>
    <w:rsid w:val="00465736"/>
    <w:rsid w:val="00465F6C"/>
    <w:rsid w:val="0046676F"/>
    <w:rsid w:val="0047170F"/>
    <w:rsid w:val="004720E3"/>
    <w:rsid w:val="00474093"/>
    <w:rsid w:val="00476284"/>
    <w:rsid w:val="00476CA1"/>
    <w:rsid w:val="004771AA"/>
    <w:rsid w:val="0048000D"/>
    <w:rsid w:val="00481696"/>
    <w:rsid w:val="0048219C"/>
    <w:rsid w:val="004827A5"/>
    <w:rsid w:val="00483445"/>
    <w:rsid w:val="004843DE"/>
    <w:rsid w:val="004854F8"/>
    <w:rsid w:val="00486A7E"/>
    <w:rsid w:val="004908FF"/>
    <w:rsid w:val="00491606"/>
    <w:rsid w:val="00492C0C"/>
    <w:rsid w:val="0049404D"/>
    <w:rsid w:val="00494827"/>
    <w:rsid w:val="004955BA"/>
    <w:rsid w:val="00495910"/>
    <w:rsid w:val="0049597F"/>
    <w:rsid w:val="00495FB6"/>
    <w:rsid w:val="0049673F"/>
    <w:rsid w:val="004A01E8"/>
    <w:rsid w:val="004A0DDF"/>
    <w:rsid w:val="004A1AB3"/>
    <w:rsid w:val="004A1FDD"/>
    <w:rsid w:val="004A4BE9"/>
    <w:rsid w:val="004A6C27"/>
    <w:rsid w:val="004A765E"/>
    <w:rsid w:val="004B2E0E"/>
    <w:rsid w:val="004B36C5"/>
    <w:rsid w:val="004B6008"/>
    <w:rsid w:val="004B6B48"/>
    <w:rsid w:val="004B77D1"/>
    <w:rsid w:val="004C017B"/>
    <w:rsid w:val="004C059F"/>
    <w:rsid w:val="004C0621"/>
    <w:rsid w:val="004C0C55"/>
    <w:rsid w:val="004C2EE7"/>
    <w:rsid w:val="004C3801"/>
    <w:rsid w:val="004C53F3"/>
    <w:rsid w:val="004C5711"/>
    <w:rsid w:val="004C5B2E"/>
    <w:rsid w:val="004C64DA"/>
    <w:rsid w:val="004C6F78"/>
    <w:rsid w:val="004D1070"/>
    <w:rsid w:val="004D3A2F"/>
    <w:rsid w:val="004D474D"/>
    <w:rsid w:val="004D60ED"/>
    <w:rsid w:val="004D6996"/>
    <w:rsid w:val="004E2ACF"/>
    <w:rsid w:val="004E5567"/>
    <w:rsid w:val="004E7EC2"/>
    <w:rsid w:val="004E7FFA"/>
    <w:rsid w:val="004F22E9"/>
    <w:rsid w:val="004F2506"/>
    <w:rsid w:val="004F2671"/>
    <w:rsid w:val="004F414E"/>
    <w:rsid w:val="004F513E"/>
    <w:rsid w:val="004F635B"/>
    <w:rsid w:val="004F67B4"/>
    <w:rsid w:val="004F7B12"/>
    <w:rsid w:val="005113BD"/>
    <w:rsid w:val="00513462"/>
    <w:rsid w:val="00513C11"/>
    <w:rsid w:val="00513E91"/>
    <w:rsid w:val="0051458B"/>
    <w:rsid w:val="00514B7C"/>
    <w:rsid w:val="00514CDF"/>
    <w:rsid w:val="00515503"/>
    <w:rsid w:val="00516BA9"/>
    <w:rsid w:val="005202BC"/>
    <w:rsid w:val="00521D7A"/>
    <w:rsid w:val="00523ECC"/>
    <w:rsid w:val="0052576F"/>
    <w:rsid w:val="00531228"/>
    <w:rsid w:val="00533479"/>
    <w:rsid w:val="0053364D"/>
    <w:rsid w:val="005355B5"/>
    <w:rsid w:val="00540B69"/>
    <w:rsid w:val="00542C9A"/>
    <w:rsid w:val="00544BD3"/>
    <w:rsid w:val="005479C6"/>
    <w:rsid w:val="00551283"/>
    <w:rsid w:val="0055251C"/>
    <w:rsid w:val="00552AFF"/>
    <w:rsid w:val="0055313D"/>
    <w:rsid w:val="0055339A"/>
    <w:rsid w:val="00556380"/>
    <w:rsid w:val="00556756"/>
    <w:rsid w:val="00556D87"/>
    <w:rsid w:val="00557E5F"/>
    <w:rsid w:val="00563FAE"/>
    <w:rsid w:val="005642B5"/>
    <w:rsid w:val="00573B9A"/>
    <w:rsid w:val="00574277"/>
    <w:rsid w:val="00576831"/>
    <w:rsid w:val="00582AC2"/>
    <w:rsid w:val="0058329F"/>
    <w:rsid w:val="005849A4"/>
    <w:rsid w:val="005906EB"/>
    <w:rsid w:val="005914F9"/>
    <w:rsid w:val="005924FA"/>
    <w:rsid w:val="005957EF"/>
    <w:rsid w:val="0059589F"/>
    <w:rsid w:val="005972BB"/>
    <w:rsid w:val="005A04B9"/>
    <w:rsid w:val="005A0796"/>
    <w:rsid w:val="005A1C14"/>
    <w:rsid w:val="005A2D85"/>
    <w:rsid w:val="005A2DD4"/>
    <w:rsid w:val="005A3081"/>
    <w:rsid w:val="005A3169"/>
    <w:rsid w:val="005A6D06"/>
    <w:rsid w:val="005B07C2"/>
    <w:rsid w:val="005B3275"/>
    <w:rsid w:val="005B5A6B"/>
    <w:rsid w:val="005C2673"/>
    <w:rsid w:val="005C5DA2"/>
    <w:rsid w:val="005C7701"/>
    <w:rsid w:val="005D6434"/>
    <w:rsid w:val="005E29F2"/>
    <w:rsid w:val="005E36C6"/>
    <w:rsid w:val="005E3AF7"/>
    <w:rsid w:val="005E5B81"/>
    <w:rsid w:val="005F147F"/>
    <w:rsid w:val="005F25D5"/>
    <w:rsid w:val="005F4B40"/>
    <w:rsid w:val="005F547E"/>
    <w:rsid w:val="005F58FE"/>
    <w:rsid w:val="005F73ED"/>
    <w:rsid w:val="006005B9"/>
    <w:rsid w:val="00600A92"/>
    <w:rsid w:val="00600B5E"/>
    <w:rsid w:val="006019CC"/>
    <w:rsid w:val="00602139"/>
    <w:rsid w:val="00604DA0"/>
    <w:rsid w:val="00605C39"/>
    <w:rsid w:val="00606398"/>
    <w:rsid w:val="00606D3E"/>
    <w:rsid w:val="006070A5"/>
    <w:rsid w:val="00607C4B"/>
    <w:rsid w:val="00610802"/>
    <w:rsid w:val="00613C55"/>
    <w:rsid w:val="00614A5B"/>
    <w:rsid w:val="00614E74"/>
    <w:rsid w:val="00616B46"/>
    <w:rsid w:val="0062075D"/>
    <w:rsid w:val="00620B6C"/>
    <w:rsid w:val="006213EA"/>
    <w:rsid w:val="00621FA7"/>
    <w:rsid w:val="00622165"/>
    <w:rsid w:val="00622417"/>
    <w:rsid w:val="00623E1C"/>
    <w:rsid w:val="00626806"/>
    <w:rsid w:val="00627261"/>
    <w:rsid w:val="00627511"/>
    <w:rsid w:val="00627DAF"/>
    <w:rsid w:val="0063062F"/>
    <w:rsid w:val="0063225A"/>
    <w:rsid w:val="00633844"/>
    <w:rsid w:val="0063437E"/>
    <w:rsid w:val="006371A1"/>
    <w:rsid w:val="00637543"/>
    <w:rsid w:val="00641A9B"/>
    <w:rsid w:val="00643753"/>
    <w:rsid w:val="00643FE5"/>
    <w:rsid w:val="00644EFA"/>
    <w:rsid w:val="0064700C"/>
    <w:rsid w:val="0064755C"/>
    <w:rsid w:val="00650AF6"/>
    <w:rsid w:val="00651D8F"/>
    <w:rsid w:val="00652516"/>
    <w:rsid w:val="006526E9"/>
    <w:rsid w:val="0065350C"/>
    <w:rsid w:val="006537AB"/>
    <w:rsid w:val="00654ED3"/>
    <w:rsid w:val="00656CBA"/>
    <w:rsid w:val="00656E55"/>
    <w:rsid w:val="0066106A"/>
    <w:rsid w:val="00661233"/>
    <w:rsid w:val="00661BC7"/>
    <w:rsid w:val="0066222B"/>
    <w:rsid w:val="006622EC"/>
    <w:rsid w:val="00662E6B"/>
    <w:rsid w:val="00662FC9"/>
    <w:rsid w:val="00664661"/>
    <w:rsid w:val="006661E9"/>
    <w:rsid w:val="00667B4A"/>
    <w:rsid w:val="006720D2"/>
    <w:rsid w:val="0067318E"/>
    <w:rsid w:val="00673FDB"/>
    <w:rsid w:val="0067522A"/>
    <w:rsid w:val="00676FF6"/>
    <w:rsid w:val="0067766B"/>
    <w:rsid w:val="00680655"/>
    <w:rsid w:val="00681655"/>
    <w:rsid w:val="006840D4"/>
    <w:rsid w:val="0068584D"/>
    <w:rsid w:val="006862C0"/>
    <w:rsid w:val="00686331"/>
    <w:rsid w:val="00687DF6"/>
    <w:rsid w:val="006919DC"/>
    <w:rsid w:val="00693E13"/>
    <w:rsid w:val="0069552C"/>
    <w:rsid w:val="006A292E"/>
    <w:rsid w:val="006A45D0"/>
    <w:rsid w:val="006A7290"/>
    <w:rsid w:val="006B1240"/>
    <w:rsid w:val="006B6045"/>
    <w:rsid w:val="006B619E"/>
    <w:rsid w:val="006B696B"/>
    <w:rsid w:val="006C1E96"/>
    <w:rsid w:val="006C3A00"/>
    <w:rsid w:val="006C410E"/>
    <w:rsid w:val="006C5DCD"/>
    <w:rsid w:val="006C6DB3"/>
    <w:rsid w:val="006D0572"/>
    <w:rsid w:val="006D0E7D"/>
    <w:rsid w:val="006D1FCB"/>
    <w:rsid w:val="006D2678"/>
    <w:rsid w:val="006D2767"/>
    <w:rsid w:val="006D392B"/>
    <w:rsid w:val="006D3B73"/>
    <w:rsid w:val="006D4C3F"/>
    <w:rsid w:val="006D64D2"/>
    <w:rsid w:val="006D6BAA"/>
    <w:rsid w:val="006D7274"/>
    <w:rsid w:val="006D7381"/>
    <w:rsid w:val="006D7476"/>
    <w:rsid w:val="006D7E8C"/>
    <w:rsid w:val="006E16E3"/>
    <w:rsid w:val="006E3480"/>
    <w:rsid w:val="006E37AE"/>
    <w:rsid w:val="006E490E"/>
    <w:rsid w:val="006E4B71"/>
    <w:rsid w:val="006E70E9"/>
    <w:rsid w:val="006F1856"/>
    <w:rsid w:val="006F1AF0"/>
    <w:rsid w:val="006F3D13"/>
    <w:rsid w:val="006F56AD"/>
    <w:rsid w:val="006F5CDD"/>
    <w:rsid w:val="006F7B75"/>
    <w:rsid w:val="00700AB3"/>
    <w:rsid w:val="00700C2D"/>
    <w:rsid w:val="00711C86"/>
    <w:rsid w:val="00714127"/>
    <w:rsid w:val="007159A0"/>
    <w:rsid w:val="00715BCC"/>
    <w:rsid w:val="00722B35"/>
    <w:rsid w:val="0072323B"/>
    <w:rsid w:val="00724369"/>
    <w:rsid w:val="007264DE"/>
    <w:rsid w:val="00733DDD"/>
    <w:rsid w:val="00735A11"/>
    <w:rsid w:val="00735B6B"/>
    <w:rsid w:val="00735DE6"/>
    <w:rsid w:val="007416CD"/>
    <w:rsid w:val="00742E63"/>
    <w:rsid w:val="00744E79"/>
    <w:rsid w:val="00745125"/>
    <w:rsid w:val="0074750C"/>
    <w:rsid w:val="00747D75"/>
    <w:rsid w:val="00751E7E"/>
    <w:rsid w:val="00751E8F"/>
    <w:rsid w:val="0075280D"/>
    <w:rsid w:val="0075411A"/>
    <w:rsid w:val="00756F3A"/>
    <w:rsid w:val="00761D36"/>
    <w:rsid w:val="00764E9F"/>
    <w:rsid w:val="00765431"/>
    <w:rsid w:val="00767B03"/>
    <w:rsid w:val="00770C17"/>
    <w:rsid w:val="007727CB"/>
    <w:rsid w:val="00775120"/>
    <w:rsid w:val="00775405"/>
    <w:rsid w:val="00775DF7"/>
    <w:rsid w:val="00776410"/>
    <w:rsid w:val="007808E5"/>
    <w:rsid w:val="00786EE3"/>
    <w:rsid w:val="00787EF0"/>
    <w:rsid w:val="00790998"/>
    <w:rsid w:val="007930BD"/>
    <w:rsid w:val="00793419"/>
    <w:rsid w:val="007946B6"/>
    <w:rsid w:val="00794F44"/>
    <w:rsid w:val="00795B89"/>
    <w:rsid w:val="007960C7"/>
    <w:rsid w:val="007A02C2"/>
    <w:rsid w:val="007A0709"/>
    <w:rsid w:val="007A13C7"/>
    <w:rsid w:val="007A191E"/>
    <w:rsid w:val="007A257D"/>
    <w:rsid w:val="007A25D9"/>
    <w:rsid w:val="007A2E31"/>
    <w:rsid w:val="007A3F98"/>
    <w:rsid w:val="007A42D7"/>
    <w:rsid w:val="007A50B6"/>
    <w:rsid w:val="007A5345"/>
    <w:rsid w:val="007B0C53"/>
    <w:rsid w:val="007B14CB"/>
    <w:rsid w:val="007B28D5"/>
    <w:rsid w:val="007B2DB6"/>
    <w:rsid w:val="007B3A71"/>
    <w:rsid w:val="007B4459"/>
    <w:rsid w:val="007B51BA"/>
    <w:rsid w:val="007B6BE5"/>
    <w:rsid w:val="007B70CC"/>
    <w:rsid w:val="007C27A2"/>
    <w:rsid w:val="007C43EE"/>
    <w:rsid w:val="007D18FF"/>
    <w:rsid w:val="007D1AAA"/>
    <w:rsid w:val="007E000F"/>
    <w:rsid w:val="007E2DBE"/>
    <w:rsid w:val="007E77DD"/>
    <w:rsid w:val="007E7E89"/>
    <w:rsid w:val="007F0EAA"/>
    <w:rsid w:val="007F21FE"/>
    <w:rsid w:val="007F25A7"/>
    <w:rsid w:val="007F4BF2"/>
    <w:rsid w:val="007F58A9"/>
    <w:rsid w:val="007F7925"/>
    <w:rsid w:val="00800BB8"/>
    <w:rsid w:val="00801B6F"/>
    <w:rsid w:val="00801B9D"/>
    <w:rsid w:val="0080452C"/>
    <w:rsid w:val="008052B0"/>
    <w:rsid w:val="00805407"/>
    <w:rsid w:val="00806920"/>
    <w:rsid w:val="0081138D"/>
    <w:rsid w:val="008125C4"/>
    <w:rsid w:val="00813B84"/>
    <w:rsid w:val="00813D61"/>
    <w:rsid w:val="008156DB"/>
    <w:rsid w:val="00816B2F"/>
    <w:rsid w:val="00820591"/>
    <w:rsid w:val="00823733"/>
    <w:rsid w:val="00825328"/>
    <w:rsid w:val="00825A25"/>
    <w:rsid w:val="0083064C"/>
    <w:rsid w:val="00831F26"/>
    <w:rsid w:val="0083288D"/>
    <w:rsid w:val="00833465"/>
    <w:rsid w:val="00833A50"/>
    <w:rsid w:val="008368A6"/>
    <w:rsid w:val="008374C0"/>
    <w:rsid w:val="00841197"/>
    <w:rsid w:val="00842A06"/>
    <w:rsid w:val="00843E23"/>
    <w:rsid w:val="008441BF"/>
    <w:rsid w:val="00844912"/>
    <w:rsid w:val="00847D3F"/>
    <w:rsid w:val="0085123C"/>
    <w:rsid w:val="008514D9"/>
    <w:rsid w:val="00851830"/>
    <w:rsid w:val="00853B92"/>
    <w:rsid w:val="00855C2C"/>
    <w:rsid w:val="00856909"/>
    <w:rsid w:val="008621CE"/>
    <w:rsid w:val="0086324F"/>
    <w:rsid w:val="00863F14"/>
    <w:rsid w:val="008654A4"/>
    <w:rsid w:val="008670BF"/>
    <w:rsid w:val="008677FE"/>
    <w:rsid w:val="00867DD0"/>
    <w:rsid w:val="00872C33"/>
    <w:rsid w:val="008732AE"/>
    <w:rsid w:val="00873683"/>
    <w:rsid w:val="008741FD"/>
    <w:rsid w:val="00874ABD"/>
    <w:rsid w:val="00876F97"/>
    <w:rsid w:val="0087775E"/>
    <w:rsid w:val="00881264"/>
    <w:rsid w:val="00883B64"/>
    <w:rsid w:val="00883BA7"/>
    <w:rsid w:val="00883FCD"/>
    <w:rsid w:val="00886E3E"/>
    <w:rsid w:val="008902B2"/>
    <w:rsid w:val="00890866"/>
    <w:rsid w:val="00891E4D"/>
    <w:rsid w:val="008936E3"/>
    <w:rsid w:val="0089540B"/>
    <w:rsid w:val="008A0CD6"/>
    <w:rsid w:val="008A1A0D"/>
    <w:rsid w:val="008A3AC8"/>
    <w:rsid w:val="008A6D70"/>
    <w:rsid w:val="008B0396"/>
    <w:rsid w:val="008B0A2A"/>
    <w:rsid w:val="008B20D0"/>
    <w:rsid w:val="008B23D7"/>
    <w:rsid w:val="008B4091"/>
    <w:rsid w:val="008B6BF2"/>
    <w:rsid w:val="008C0B41"/>
    <w:rsid w:val="008C18DF"/>
    <w:rsid w:val="008C26C7"/>
    <w:rsid w:val="008C30C9"/>
    <w:rsid w:val="008C394E"/>
    <w:rsid w:val="008D03D7"/>
    <w:rsid w:val="008D0CEB"/>
    <w:rsid w:val="008D1440"/>
    <w:rsid w:val="008D21F8"/>
    <w:rsid w:val="008D26C6"/>
    <w:rsid w:val="008D45C0"/>
    <w:rsid w:val="008D6958"/>
    <w:rsid w:val="008E0DC4"/>
    <w:rsid w:val="008E2D4F"/>
    <w:rsid w:val="008E3531"/>
    <w:rsid w:val="008E4DAB"/>
    <w:rsid w:val="008E6EEE"/>
    <w:rsid w:val="008E7937"/>
    <w:rsid w:val="008F45B6"/>
    <w:rsid w:val="008F657E"/>
    <w:rsid w:val="008F734E"/>
    <w:rsid w:val="008F74E7"/>
    <w:rsid w:val="008F782B"/>
    <w:rsid w:val="008F78E6"/>
    <w:rsid w:val="008F7C0A"/>
    <w:rsid w:val="00901C7D"/>
    <w:rsid w:val="00902601"/>
    <w:rsid w:val="00904BE6"/>
    <w:rsid w:val="00904C5D"/>
    <w:rsid w:val="00907C51"/>
    <w:rsid w:val="00907E4F"/>
    <w:rsid w:val="00907FB0"/>
    <w:rsid w:val="00910770"/>
    <w:rsid w:val="00910F4B"/>
    <w:rsid w:val="00911B2B"/>
    <w:rsid w:val="0091214F"/>
    <w:rsid w:val="009121BC"/>
    <w:rsid w:val="00912487"/>
    <w:rsid w:val="00913D8F"/>
    <w:rsid w:val="009169C5"/>
    <w:rsid w:val="00917E24"/>
    <w:rsid w:val="00920C29"/>
    <w:rsid w:val="00921AC1"/>
    <w:rsid w:val="009229CA"/>
    <w:rsid w:val="00924B4F"/>
    <w:rsid w:val="00933AC0"/>
    <w:rsid w:val="00933D83"/>
    <w:rsid w:val="00934153"/>
    <w:rsid w:val="00941008"/>
    <w:rsid w:val="009413D3"/>
    <w:rsid w:val="00942346"/>
    <w:rsid w:val="009442D1"/>
    <w:rsid w:val="0094549B"/>
    <w:rsid w:val="00946D96"/>
    <w:rsid w:val="0095016B"/>
    <w:rsid w:val="0095120F"/>
    <w:rsid w:val="00953EF0"/>
    <w:rsid w:val="009554A8"/>
    <w:rsid w:val="00955A0C"/>
    <w:rsid w:val="00955AAD"/>
    <w:rsid w:val="00955F80"/>
    <w:rsid w:val="00956268"/>
    <w:rsid w:val="009615C6"/>
    <w:rsid w:val="009618A3"/>
    <w:rsid w:val="009622D6"/>
    <w:rsid w:val="009623EF"/>
    <w:rsid w:val="00964CB9"/>
    <w:rsid w:val="00964CF5"/>
    <w:rsid w:val="00965655"/>
    <w:rsid w:val="009661F8"/>
    <w:rsid w:val="0096668B"/>
    <w:rsid w:val="00966B36"/>
    <w:rsid w:val="009701F4"/>
    <w:rsid w:val="009720BC"/>
    <w:rsid w:val="00974093"/>
    <w:rsid w:val="00974205"/>
    <w:rsid w:val="00980507"/>
    <w:rsid w:val="00981739"/>
    <w:rsid w:val="00981FD1"/>
    <w:rsid w:val="009835B3"/>
    <w:rsid w:val="009837B1"/>
    <w:rsid w:val="009848BD"/>
    <w:rsid w:val="00985855"/>
    <w:rsid w:val="009858C7"/>
    <w:rsid w:val="0098691E"/>
    <w:rsid w:val="009871D5"/>
    <w:rsid w:val="009907BA"/>
    <w:rsid w:val="009946BB"/>
    <w:rsid w:val="00994BD9"/>
    <w:rsid w:val="009956FE"/>
    <w:rsid w:val="00996D41"/>
    <w:rsid w:val="009975C7"/>
    <w:rsid w:val="009A005A"/>
    <w:rsid w:val="009A05B9"/>
    <w:rsid w:val="009A0869"/>
    <w:rsid w:val="009A0CB9"/>
    <w:rsid w:val="009A1148"/>
    <w:rsid w:val="009A160A"/>
    <w:rsid w:val="009A22AE"/>
    <w:rsid w:val="009A512C"/>
    <w:rsid w:val="009A5376"/>
    <w:rsid w:val="009B0EB6"/>
    <w:rsid w:val="009B10E4"/>
    <w:rsid w:val="009B25A0"/>
    <w:rsid w:val="009B29F3"/>
    <w:rsid w:val="009B3A29"/>
    <w:rsid w:val="009B7D1D"/>
    <w:rsid w:val="009C2572"/>
    <w:rsid w:val="009C37A6"/>
    <w:rsid w:val="009C4B49"/>
    <w:rsid w:val="009D5CC7"/>
    <w:rsid w:val="009D658E"/>
    <w:rsid w:val="009D71E1"/>
    <w:rsid w:val="009E0BDD"/>
    <w:rsid w:val="009E12C5"/>
    <w:rsid w:val="009E3C79"/>
    <w:rsid w:val="009E45A5"/>
    <w:rsid w:val="009E4B88"/>
    <w:rsid w:val="009E7343"/>
    <w:rsid w:val="009E7F77"/>
    <w:rsid w:val="009F04E1"/>
    <w:rsid w:val="009F0D28"/>
    <w:rsid w:val="009F0D4C"/>
    <w:rsid w:val="009F16E4"/>
    <w:rsid w:val="009F3D37"/>
    <w:rsid w:val="009F3FD4"/>
    <w:rsid w:val="009F496F"/>
    <w:rsid w:val="009F4AA8"/>
    <w:rsid w:val="009F56B3"/>
    <w:rsid w:val="009F708F"/>
    <w:rsid w:val="00A00275"/>
    <w:rsid w:val="00A00319"/>
    <w:rsid w:val="00A019DD"/>
    <w:rsid w:val="00A03C27"/>
    <w:rsid w:val="00A052EB"/>
    <w:rsid w:val="00A06F54"/>
    <w:rsid w:val="00A10CD9"/>
    <w:rsid w:val="00A10EE9"/>
    <w:rsid w:val="00A11073"/>
    <w:rsid w:val="00A11C80"/>
    <w:rsid w:val="00A141A1"/>
    <w:rsid w:val="00A15166"/>
    <w:rsid w:val="00A20B82"/>
    <w:rsid w:val="00A21ACF"/>
    <w:rsid w:val="00A2233B"/>
    <w:rsid w:val="00A24DA2"/>
    <w:rsid w:val="00A26961"/>
    <w:rsid w:val="00A26C68"/>
    <w:rsid w:val="00A26D0B"/>
    <w:rsid w:val="00A27B87"/>
    <w:rsid w:val="00A32FBE"/>
    <w:rsid w:val="00A34583"/>
    <w:rsid w:val="00A34668"/>
    <w:rsid w:val="00A34CBB"/>
    <w:rsid w:val="00A36EF7"/>
    <w:rsid w:val="00A3775A"/>
    <w:rsid w:val="00A377F3"/>
    <w:rsid w:val="00A40BB1"/>
    <w:rsid w:val="00A41AD3"/>
    <w:rsid w:val="00A427D4"/>
    <w:rsid w:val="00A439EF"/>
    <w:rsid w:val="00A46E4B"/>
    <w:rsid w:val="00A47339"/>
    <w:rsid w:val="00A505B6"/>
    <w:rsid w:val="00A51FEF"/>
    <w:rsid w:val="00A55769"/>
    <w:rsid w:val="00A56AF0"/>
    <w:rsid w:val="00A63859"/>
    <w:rsid w:val="00A676B8"/>
    <w:rsid w:val="00A71388"/>
    <w:rsid w:val="00A765F2"/>
    <w:rsid w:val="00A766C4"/>
    <w:rsid w:val="00A76A6D"/>
    <w:rsid w:val="00A80FF2"/>
    <w:rsid w:val="00A820B9"/>
    <w:rsid w:val="00A85B2A"/>
    <w:rsid w:val="00A90802"/>
    <w:rsid w:val="00A9118C"/>
    <w:rsid w:val="00A928B2"/>
    <w:rsid w:val="00AA3055"/>
    <w:rsid w:val="00AA3C48"/>
    <w:rsid w:val="00AA4ABD"/>
    <w:rsid w:val="00AA5043"/>
    <w:rsid w:val="00AA53DB"/>
    <w:rsid w:val="00AA5A2D"/>
    <w:rsid w:val="00AB0D5E"/>
    <w:rsid w:val="00AB31E0"/>
    <w:rsid w:val="00AB33BB"/>
    <w:rsid w:val="00AB44D3"/>
    <w:rsid w:val="00AB4536"/>
    <w:rsid w:val="00AB4AE4"/>
    <w:rsid w:val="00AB519D"/>
    <w:rsid w:val="00AB53B5"/>
    <w:rsid w:val="00AB5DC9"/>
    <w:rsid w:val="00AB7B41"/>
    <w:rsid w:val="00AC0317"/>
    <w:rsid w:val="00AC10BB"/>
    <w:rsid w:val="00AC31E3"/>
    <w:rsid w:val="00AC3CE5"/>
    <w:rsid w:val="00AC3EF1"/>
    <w:rsid w:val="00AC609D"/>
    <w:rsid w:val="00AC7E90"/>
    <w:rsid w:val="00AD0966"/>
    <w:rsid w:val="00AD0990"/>
    <w:rsid w:val="00AD2B2C"/>
    <w:rsid w:val="00AD3430"/>
    <w:rsid w:val="00AD42E3"/>
    <w:rsid w:val="00AD64FC"/>
    <w:rsid w:val="00AD6F44"/>
    <w:rsid w:val="00AD7B26"/>
    <w:rsid w:val="00AE0CB1"/>
    <w:rsid w:val="00AE2357"/>
    <w:rsid w:val="00AE2792"/>
    <w:rsid w:val="00AE2812"/>
    <w:rsid w:val="00AE4D00"/>
    <w:rsid w:val="00AF005C"/>
    <w:rsid w:val="00AF2FC5"/>
    <w:rsid w:val="00AF76B6"/>
    <w:rsid w:val="00B00E8A"/>
    <w:rsid w:val="00B026B5"/>
    <w:rsid w:val="00B0316E"/>
    <w:rsid w:val="00B054E0"/>
    <w:rsid w:val="00B06C46"/>
    <w:rsid w:val="00B07CD6"/>
    <w:rsid w:val="00B10C75"/>
    <w:rsid w:val="00B11E8F"/>
    <w:rsid w:val="00B136C7"/>
    <w:rsid w:val="00B13A6F"/>
    <w:rsid w:val="00B14897"/>
    <w:rsid w:val="00B14CA7"/>
    <w:rsid w:val="00B1505F"/>
    <w:rsid w:val="00B15E8C"/>
    <w:rsid w:val="00B203F2"/>
    <w:rsid w:val="00B207BA"/>
    <w:rsid w:val="00B20AFA"/>
    <w:rsid w:val="00B213AC"/>
    <w:rsid w:val="00B22A01"/>
    <w:rsid w:val="00B23821"/>
    <w:rsid w:val="00B23BB5"/>
    <w:rsid w:val="00B24087"/>
    <w:rsid w:val="00B243C8"/>
    <w:rsid w:val="00B25DFD"/>
    <w:rsid w:val="00B2681F"/>
    <w:rsid w:val="00B3061E"/>
    <w:rsid w:val="00B31057"/>
    <w:rsid w:val="00B3140C"/>
    <w:rsid w:val="00B317AC"/>
    <w:rsid w:val="00B319F4"/>
    <w:rsid w:val="00B330F3"/>
    <w:rsid w:val="00B359CD"/>
    <w:rsid w:val="00B35B25"/>
    <w:rsid w:val="00B368C5"/>
    <w:rsid w:val="00B40B81"/>
    <w:rsid w:val="00B441E4"/>
    <w:rsid w:val="00B448B5"/>
    <w:rsid w:val="00B456CA"/>
    <w:rsid w:val="00B47A00"/>
    <w:rsid w:val="00B5029C"/>
    <w:rsid w:val="00B50780"/>
    <w:rsid w:val="00B50D67"/>
    <w:rsid w:val="00B51882"/>
    <w:rsid w:val="00B53C6E"/>
    <w:rsid w:val="00B53E4F"/>
    <w:rsid w:val="00B540D1"/>
    <w:rsid w:val="00B54A6A"/>
    <w:rsid w:val="00B57BEB"/>
    <w:rsid w:val="00B60A20"/>
    <w:rsid w:val="00B630B6"/>
    <w:rsid w:val="00B6320A"/>
    <w:rsid w:val="00B64326"/>
    <w:rsid w:val="00B649CD"/>
    <w:rsid w:val="00B6552C"/>
    <w:rsid w:val="00B668BF"/>
    <w:rsid w:val="00B7254F"/>
    <w:rsid w:val="00B726EC"/>
    <w:rsid w:val="00B73843"/>
    <w:rsid w:val="00B77501"/>
    <w:rsid w:val="00B80DAF"/>
    <w:rsid w:val="00B80E13"/>
    <w:rsid w:val="00B81DE6"/>
    <w:rsid w:val="00B8286E"/>
    <w:rsid w:val="00B84D0E"/>
    <w:rsid w:val="00B86845"/>
    <w:rsid w:val="00B86EF6"/>
    <w:rsid w:val="00B87206"/>
    <w:rsid w:val="00B87338"/>
    <w:rsid w:val="00B87A10"/>
    <w:rsid w:val="00B904F0"/>
    <w:rsid w:val="00B91492"/>
    <w:rsid w:val="00B94D56"/>
    <w:rsid w:val="00B94F93"/>
    <w:rsid w:val="00B95858"/>
    <w:rsid w:val="00B95929"/>
    <w:rsid w:val="00B97062"/>
    <w:rsid w:val="00B97905"/>
    <w:rsid w:val="00BA0177"/>
    <w:rsid w:val="00BA194A"/>
    <w:rsid w:val="00BA1D55"/>
    <w:rsid w:val="00BA29E9"/>
    <w:rsid w:val="00BA3EAD"/>
    <w:rsid w:val="00BA4021"/>
    <w:rsid w:val="00BA4D3D"/>
    <w:rsid w:val="00BA6ACE"/>
    <w:rsid w:val="00BA7295"/>
    <w:rsid w:val="00BA7520"/>
    <w:rsid w:val="00BA7D1B"/>
    <w:rsid w:val="00BB0CED"/>
    <w:rsid w:val="00BB1E33"/>
    <w:rsid w:val="00BB26EA"/>
    <w:rsid w:val="00BB2D4D"/>
    <w:rsid w:val="00BB5FB9"/>
    <w:rsid w:val="00BC046A"/>
    <w:rsid w:val="00BC08A9"/>
    <w:rsid w:val="00BC1360"/>
    <w:rsid w:val="00BC1930"/>
    <w:rsid w:val="00BC45DC"/>
    <w:rsid w:val="00BC6585"/>
    <w:rsid w:val="00BC7F5D"/>
    <w:rsid w:val="00BD06F0"/>
    <w:rsid w:val="00BD0839"/>
    <w:rsid w:val="00BD0BDA"/>
    <w:rsid w:val="00BD20C2"/>
    <w:rsid w:val="00BD290D"/>
    <w:rsid w:val="00BD2DFC"/>
    <w:rsid w:val="00BD5457"/>
    <w:rsid w:val="00BD5528"/>
    <w:rsid w:val="00BD64FD"/>
    <w:rsid w:val="00BE0089"/>
    <w:rsid w:val="00BE598C"/>
    <w:rsid w:val="00BE5BF4"/>
    <w:rsid w:val="00BE60BE"/>
    <w:rsid w:val="00BE62DC"/>
    <w:rsid w:val="00BE66F9"/>
    <w:rsid w:val="00BE73C7"/>
    <w:rsid w:val="00BF1331"/>
    <w:rsid w:val="00BF15B2"/>
    <w:rsid w:val="00BF1728"/>
    <w:rsid w:val="00BF5424"/>
    <w:rsid w:val="00BF5D57"/>
    <w:rsid w:val="00BF5E10"/>
    <w:rsid w:val="00BF6B70"/>
    <w:rsid w:val="00C00E22"/>
    <w:rsid w:val="00C01422"/>
    <w:rsid w:val="00C03716"/>
    <w:rsid w:val="00C0446C"/>
    <w:rsid w:val="00C05ABA"/>
    <w:rsid w:val="00C05ABD"/>
    <w:rsid w:val="00C06249"/>
    <w:rsid w:val="00C0694D"/>
    <w:rsid w:val="00C07E65"/>
    <w:rsid w:val="00C07E7E"/>
    <w:rsid w:val="00C07E7F"/>
    <w:rsid w:val="00C10875"/>
    <w:rsid w:val="00C111CD"/>
    <w:rsid w:val="00C117E9"/>
    <w:rsid w:val="00C12889"/>
    <w:rsid w:val="00C14922"/>
    <w:rsid w:val="00C14FC7"/>
    <w:rsid w:val="00C1600D"/>
    <w:rsid w:val="00C16724"/>
    <w:rsid w:val="00C2098F"/>
    <w:rsid w:val="00C21C70"/>
    <w:rsid w:val="00C224C5"/>
    <w:rsid w:val="00C22720"/>
    <w:rsid w:val="00C24412"/>
    <w:rsid w:val="00C24C69"/>
    <w:rsid w:val="00C25BE3"/>
    <w:rsid w:val="00C25DC1"/>
    <w:rsid w:val="00C3041F"/>
    <w:rsid w:val="00C3151B"/>
    <w:rsid w:val="00C31C07"/>
    <w:rsid w:val="00C338A9"/>
    <w:rsid w:val="00C33A27"/>
    <w:rsid w:val="00C349BA"/>
    <w:rsid w:val="00C35E51"/>
    <w:rsid w:val="00C36A11"/>
    <w:rsid w:val="00C41386"/>
    <w:rsid w:val="00C42A7D"/>
    <w:rsid w:val="00C42F44"/>
    <w:rsid w:val="00C43148"/>
    <w:rsid w:val="00C442F1"/>
    <w:rsid w:val="00C4445F"/>
    <w:rsid w:val="00C46C72"/>
    <w:rsid w:val="00C5020A"/>
    <w:rsid w:val="00C5451B"/>
    <w:rsid w:val="00C550B6"/>
    <w:rsid w:val="00C60757"/>
    <w:rsid w:val="00C6289F"/>
    <w:rsid w:val="00C6311F"/>
    <w:rsid w:val="00C636DA"/>
    <w:rsid w:val="00C6542D"/>
    <w:rsid w:val="00C65D71"/>
    <w:rsid w:val="00C662D1"/>
    <w:rsid w:val="00C7299C"/>
    <w:rsid w:val="00C745A2"/>
    <w:rsid w:val="00C751CE"/>
    <w:rsid w:val="00C758B9"/>
    <w:rsid w:val="00C760C9"/>
    <w:rsid w:val="00C801FB"/>
    <w:rsid w:val="00C82830"/>
    <w:rsid w:val="00C82BEC"/>
    <w:rsid w:val="00C8310D"/>
    <w:rsid w:val="00C838D8"/>
    <w:rsid w:val="00C8550B"/>
    <w:rsid w:val="00C856A2"/>
    <w:rsid w:val="00C85B1C"/>
    <w:rsid w:val="00C879F0"/>
    <w:rsid w:val="00C90461"/>
    <w:rsid w:val="00C916B8"/>
    <w:rsid w:val="00C92565"/>
    <w:rsid w:val="00C93993"/>
    <w:rsid w:val="00C948D9"/>
    <w:rsid w:val="00C94BCA"/>
    <w:rsid w:val="00C95296"/>
    <w:rsid w:val="00C956BE"/>
    <w:rsid w:val="00C9602D"/>
    <w:rsid w:val="00C96579"/>
    <w:rsid w:val="00C96700"/>
    <w:rsid w:val="00C97CDD"/>
    <w:rsid w:val="00CA00E5"/>
    <w:rsid w:val="00CA092F"/>
    <w:rsid w:val="00CA4619"/>
    <w:rsid w:val="00CA58ED"/>
    <w:rsid w:val="00CA5AB7"/>
    <w:rsid w:val="00CA6B4A"/>
    <w:rsid w:val="00CA7C0D"/>
    <w:rsid w:val="00CB0007"/>
    <w:rsid w:val="00CB0DFE"/>
    <w:rsid w:val="00CB12AE"/>
    <w:rsid w:val="00CB323D"/>
    <w:rsid w:val="00CB37CC"/>
    <w:rsid w:val="00CB4E37"/>
    <w:rsid w:val="00CB7538"/>
    <w:rsid w:val="00CC0EA2"/>
    <w:rsid w:val="00CC0F3E"/>
    <w:rsid w:val="00CC14F9"/>
    <w:rsid w:val="00CC17E9"/>
    <w:rsid w:val="00CC2440"/>
    <w:rsid w:val="00CC57B0"/>
    <w:rsid w:val="00CC5967"/>
    <w:rsid w:val="00CC6ACE"/>
    <w:rsid w:val="00CD06B8"/>
    <w:rsid w:val="00CD1654"/>
    <w:rsid w:val="00CD16B5"/>
    <w:rsid w:val="00CD2727"/>
    <w:rsid w:val="00CD3C6C"/>
    <w:rsid w:val="00CD45E5"/>
    <w:rsid w:val="00CD5364"/>
    <w:rsid w:val="00CD6969"/>
    <w:rsid w:val="00CD7004"/>
    <w:rsid w:val="00CD7378"/>
    <w:rsid w:val="00CE003C"/>
    <w:rsid w:val="00CE0621"/>
    <w:rsid w:val="00CE0E93"/>
    <w:rsid w:val="00CE1902"/>
    <w:rsid w:val="00CE1F5A"/>
    <w:rsid w:val="00CE1F61"/>
    <w:rsid w:val="00CE2F6D"/>
    <w:rsid w:val="00CE3C5A"/>
    <w:rsid w:val="00CE4B87"/>
    <w:rsid w:val="00CE65A8"/>
    <w:rsid w:val="00CE65B8"/>
    <w:rsid w:val="00CE7BA7"/>
    <w:rsid w:val="00CF041A"/>
    <w:rsid w:val="00CF086E"/>
    <w:rsid w:val="00CF0ECA"/>
    <w:rsid w:val="00CF122B"/>
    <w:rsid w:val="00CF19CB"/>
    <w:rsid w:val="00CF4604"/>
    <w:rsid w:val="00CF4DBB"/>
    <w:rsid w:val="00CF6226"/>
    <w:rsid w:val="00D005D1"/>
    <w:rsid w:val="00D01910"/>
    <w:rsid w:val="00D01F23"/>
    <w:rsid w:val="00D03E85"/>
    <w:rsid w:val="00D06B73"/>
    <w:rsid w:val="00D074BA"/>
    <w:rsid w:val="00D07EB1"/>
    <w:rsid w:val="00D1069B"/>
    <w:rsid w:val="00D11147"/>
    <w:rsid w:val="00D13CC2"/>
    <w:rsid w:val="00D14082"/>
    <w:rsid w:val="00D1598C"/>
    <w:rsid w:val="00D17514"/>
    <w:rsid w:val="00D244A6"/>
    <w:rsid w:val="00D25DF6"/>
    <w:rsid w:val="00D27CDE"/>
    <w:rsid w:val="00D27E9D"/>
    <w:rsid w:val="00D30831"/>
    <w:rsid w:val="00D31111"/>
    <w:rsid w:val="00D32241"/>
    <w:rsid w:val="00D32E4A"/>
    <w:rsid w:val="00D33FCF"/>
    <w:rsid w:val="00D34F76"/>
    <w:rsid w:val="00D353CF"/>
    <w:rsid w:val="00D36379"/>
    <w:rsid w:val="00D437C7"/>
    <w:rsid w:val="00D43FF3"/>
    <w:rsid w:val="00D4419A"/>
    <w:rsid w:val="00D45C8A"/>
    <w:rsid w:val="00D462D2"/>
    <w:rsid w:val="00D46617"/>
    <w:rsid w:val="00D4695B"/>
    <w:rsid w:val="00D46AE8"/>
    <w:rsid w:val="00D473DB"/>
    <w:rsid w:val="00D47E99"/>
    <w:rsid w:val="00D5043F"/>
    <w:rsid w:val="00D50C3D"/>
    <w:rsid w:val="00D515A2"/>
    <w:rsid w:val="00D51B40"/>
    <w:rsid w:val="00D52796"/>
    <w:rsid w:val="00D52F34"/>
    <w:rsid w:val="00D53182"/>
    <w:rsid w:val="00D5363D"/>
    <w:rsid w:val="00D53E67"/>
    <w:rsid w:val="00D544A7"/>
    <w:rsid w:val="00D55C89"/>
    <w:rsid w:val="00D560CE"/>
    <w:rsid w:val="00D5740F"/>
    <w:rsid w:val="00D636C8"/>
    <w:rsid w:val="00D640D4"/>
    <w:rsid w:val="00D661D4"/>
    <w:rsid w:val="00D66DA4"/>
    <w:rsid w:val="00D66FC1"/>
    <w:rsid w:val="00D718E5"/>
    <w:rsid w:val="00D721E1"/>
    <w:rsid w:val="00D728D4"/>
    <w:rsid w:val="00D73BF7"/>
    <w:rsid w:val="00D748FC"/>
    <w:rsid w:val="00D74915"/>
    <w:rsid w:val="00D76979"/>
    <w:rsid w:val="00D76BA2"/>
    <w:rsid w:val="00D80584"/>
    <w:rsid w:val="00D8281A"/>
    <w:rsid w:val="00D82C11"/>
    <w:rsid w:val="00D8369A"/>
    <w:rsid w:val="00D8500F"/>
    <w:rsid w:val="00D8625F"/>
    <w:rsid w:val="00D87C36"/>
    <w:rsid w:val="00D87F49"/>
    <w:rsid w:val="00D9118C"/>
    <w:rsid w:val="00D9202C"/>
    <w:rsid w:val="00D922FB"/>
    <w:rsid w:val="00D92518"/>
    <w:rsid w:val="00D92CE4"/>
    <w:rsid w:val="00D92EAC"/>
    <w:rsid w:val="00D935CA"/>
    <w:rsid w:val="00D9361D"/>
    <w:rsid w:val="00D93F43"/>
    <w:rsid w:val="00D97B26"/>
    <w:rsid w:val="00D97D38"/>
    <w:rsid w:val="00D97D46"/>
    <w:rsid w:val="00D97FEB"/>
    <w:rsid w:val="00DA10FC"/>
    <w:rsid w:val="00DA1DE7"/>
    <w:rsid w:val="00DA3DC9"/>
    <w:rsid w:val="00DA4D9D"/>
    <w:rsid w:val="00DA5B5F"/>
    <w:rsid w:val="00DA639A"/>
    <w:rsid w:val="00DA66FE"/>
    <w:rsid w:val="00DA73B2"/>
    <w:rsid w:val="00DA794E"/>
    <w:rsid w:val="00DB080F"/>
    <w:rsid w:val="00DB11B1"/>
    <w:rsid w:val="00DB13DE"/>
    <w:rsid w:val="00DB3BFE"/>
    <w:rsid w:val="00DB5DA2"/>
    <w:rsid w:val="00DB60C5"/>
    <w:rsid w:val="00DC01C7"/>
    <w:rsid w:val="00DC0AC6"/>
    <w:rsid w:val="00DC1604"/>
    <w:rsid w:val="00DC1BD3"/>
    <w:rsid w:val="00DC22CA"/>
    <w:rsid w:val="00DC75FB"/>
    <w:rsid w:val="00DD1087"/>
    <w:rsid w:val="00DD2860"/>
    <w:rsid w:val="00DD29AC"/>
    <w:rsid w:val="00DD4BBD"/>
    <w:rsid w:val="00DD5E9E"/>
    <w:rsid w:val="00DD63BF"/>
    <w:rsid w:val="00DE0280"/>
    <w:rsid w:val="00DE0D2B"/>
    <w:rsid w:val="00DE1188"/>
    <w:rsid w:val="00DE17CB"/>
    <w:rsid w:val="00DE373E"/>
    <w:rsid w:val="00DE5E16"/>
    <w:rsid w:val="00DE684C"/>
    <w:rsid w:val="00DE720F"/>
    <w:rsid w:val="00DF0E24"/>
    <w:rsid w:val="00DF168F"/>
    <w:rsid w:val="00DF2DE7"/>
    <w:rsid w:val="00DF2F51"/>
    <w:rsid w:val="00DF3588"/>
    <w:rsid w:val="00DF4F84"/>
    <w:rsid w:val="00DF58D2"/>
    <w:rsid w:val="00DF630E"/>
    <w:rsid w:val="00DF7CAF"/>
    <w:rsid w:val="00E011BC"/>
    <w:rsid w:val="00E012B9"/>
    <w:rsid w:val="00E024A0"/>
    <w:rsid w:val="00E02A00"/>
    <w:rsid w:val="00E05E9D"/>
    <w:rsid w:val="00E06C76"/>
    <w:rsid w:val="00E11E40"/>
    <w:rsid w:val="00E12DDA"/>
    <w:rsid w:val="00E1360B"/>
    <w:rsid w:val="00E1397E"/>
    <w:rsid w:val="00E150FC"/>
    <w:rsid w:val="00E17749"/>
    <w:rsid w:val="00E20D3C"/>
    <w:rsid w:val="00E227AE"/>
    <w:rsid w:val="00E2474F"/>
    <w:rsid w:val="00E25AC8"/>
    <w:rsid w:val="00E26113"/>
    <w:rsid w:val="00E263EA"/>
    <w:rsid w:val="00E265B5"/>
    <w:rsid w:val="00E2700C"/>
    <w:rsid w:val="00E31D18"/>
    <w:rsid w:val="00E31EFC"/>
    <w:rsid w:val="00E335EC"/>
    <w:rsid w:val="00E3556B"/>
    <w:rsid w:val="00E405A9"/>
    <w:rsid w:val="00E418BE"/>
    <w:rsid w:val="00E4262D"/>
    <w:rsid w:val="00E44BD6"/>
    <w:rsid w:val="00E4561B"/>
    <w:rsid w:val="00E45E41"/>
    <w:rsid w:val="00E46CBA"/>
    <w:rsid w:val="00E471A0"/>
    <w:rsid w:val="00E5176E"/>
    <w:rsid w:val="00E51E90"/>
    <w:rsid w:val="00E526EB"/>
    <w:rsid w:val="00E52916"/>
    <w:rsid w:val="00E53DCE"/>
    <w:rsid w:val="00E53F80"/>
    <w:rsid w:val="00E5420E"/>
    <w:rsid w:val="00E5471E"/>
    <w:rsid w:val="00E55108"/>
    <w:rsid w:val="00E5687D"/>
    <w:rsid w:val="00E6294A"/>
    <w:rsid w:val="00E63559"/>
    <w:rsid w:val="00E63BB0"/>
    <w:rsid w:val="00E66D74"/>
    <w:rsid w:val="00E67083"/>
    <w:rsid w:val="00E7462A"/>
    <w:rsid w:val="00E76DCB"/>
    <w:rsid w:val="00E770ED"/>
    <w:rsid w:val="00E82134"/>
    <w:rsid w:val="00E8225D"/>
    <w:rsid w:val="00E83956"/>
    <w:rsid w:val="00E848BF"/>
    <w:rsid w:val="00E85167"/>
    <w:rsid w:val="00E86E6C"/>
    <w:rsid w:val="00E9088F"/>
    <w:rsid w:val="00E9154D"/>
    <w:rsid w:val="00E92F9A"/>
    <w:rsid w:val="00E92FDC"/>
    <w:rsid w:val="00E9602A"/>
    <w:rsid w:val="00E966B5"/>
    <w:rsid w:val="00EA0070"/>
    <w:rsid w:val="00EA01E7"/>
    <w:rsid w:val="00EA06A6"/>
    <w:rsid w:val="00EA0F49"/>
    <w:rsid w:val="00EA60C2"/>
    <w:rsid w:val="00EA6362"/>
    <w:rsid w:val="00EA70FF"/>
    <w:rsid w:val="00EA735A"/>
    <w:rsid w:val="00EB0486"/>
    <w:rsid w:val="00EB1037"/>
    <w:rsid w:val="00EB14F1"/>
    <w:rsid w:val="00EB2EA8"/>
    <w:rsid w:val="00EB3AA3"/>
    <w:rsid w:val="00EB409B"/>
    <w:rsid w:val="00EB433D"/>
    <w:rsid w:val="00EB47E3"/>
    <w:rsid w:val="00EB61A3"/>
    <w:rsid w:val="00EB6F84"/>
    <w:rsid w:val="00EB7131"/>
    <w:rsid w:val="00EB739F"/>
    <w:rsid w:val="00EC6B70"/>
    <w:rsid w:val="00EC7BAD"/>
    <w:rsid w:val="00ED030A"/>
    <w:rsid w:val="00ED1B46"/>
    <w:rsid w:val="00ED29EF"/>
    <w:rsid w:val="00ED31CB"/>
    <w:rsid w:val="00ED3EF4"/>
    <w:rsid w:val="00ED608C"/>
    <w:rsid w:val="00ED626D"/>
    <w:rsid w:val="00ED639D"/>
    <w:rsid w:val="00ED673E"/>
    <w:rsid w:val="00ED6EE2"/>
    <w:rsid w:val="00ED712D"/>
    <w:rsid w:val="00EE101B"/>
    <w:rsid w:val="00EE103E"/>
    <w:rsid w:val="00EE1A6B"/>
    <w:rsid w:val="00EE20D9"/>
    <w:rsid w:val="00EE2228"/>
    <w:rsid w:val="00EE24D2"/>
    <w:rsid w:val="00EE36CE"/>
    <w:rsid w:val="00EE3EC2"/>
    <w:rsid w:val="00EE40CF"/>
    <w:rsid w:val="00EE563D"/>
    <w:rsid w:val="00EE5CEC"/>
    <w:rsid w:val="00EE6F6B"/>
    <w:rsid w:val="00EE7CA9"/>
    <w:rsid w:val="00EF0777"/>
    <w:rsid w:val="00EF07D5"/>
    <w:rsid w:val="00EF136C"/>
    <w:rsid w:val="00EF1EE1"/>
    <w:rsid w:val="00EF2108"/>
    <w:rsid w:val="00EF5071"/>
    <w:rsid w:val="00EF5E5A"/>
    <w:rsid w:val="00EF5F09"/>
    <w:rsid w:val="00EF6D26"/>
    <w:rsid w:val="00EF755B"/>
    <w:rsid w:val="00F00C03"/>
    <w:rsid w:val="00F00D56"/>
    <w:rsid w:val="00F011A0"/>
    <w:rsid w:val="00F02F19"/>
    <w:rsid w:val="00F0335A"/>
    <w:rsid w:val="00F04EF5"/>
    <w:rsid w:val="00F060E0"/>
    <w:rsid w:val="00F07BD5"/>
    <w:rsid w:val="00F103BB"/>
    <w:rsid w:val="00F10980"/>
    <w:rsid w:val="00F10B4D"/>
    <w:rsid w:val="00F112CD"/>
    <w:rsid w:val="00F12B1C"/>
    <w:rsid w:val="00F13CB4"/>
    <w:rsid w:val="00F142C7"/>
    <w:rsid w:val="00F179E2"/>
    <w:rsid w:val="00F215DD"/>
    <w:rsid w:val="00F237F9"/>
    <w:rsid w:val="00F24109"/>
    <w:rsid w:val="00F24D59"/>
    <w:rsid w:val="00F25185"/>
    <w:rsid w:val="00F26DF2"/>
    <w:rsid w:val="00F31067"/>
    <w:rsid w:val="00F3160E"/>
    <w:rsid w:val="00F32E3E"/>
    <w:rsid w:val="00F34229"/>
    <w:rsid w:val="00F36005"/>
    <w:rsid w:val="00F370C5"/>
    <w:rsid w:val="00F378D8"/>
    <w:rsid w:val="00F40407"/>
    <w:rsid w:val="00F4103D"/>
    <w:rsid w:val="00F424F6"/>
    <w:rsid w:val="00F4300C"/>
    <w:rsid w:val="00F46BCD"/>
    <w:rsid w:val="00F471AC"/>
    <w:rsid w:val="00F5078C"/>
    <w:rsid w:val="00F51760"/>
    <w:rsid w:val="00F51CCF"/>
    <w:rsid w:val="00F527A8"/>
    <w:rsid w:val="00F52ED5"/>
    <w:rsid w:val="00F541D2"/>
    <w:rsid w:val="00F553B9"/>
    <w:rsid w:val="00F56E23"/>
    <w:rsid w:val="00F5731F"/>
    <w:rsid w:val="00F57E60"/>
    <w:rsid w:val="00F621E1"/>
    <w:rsid w:val="00F62602"/>
    <w:rsid w:val="00F627AB"/>
    <w:rsid w:val="00F64211"/>
    <w:rsid w:val="00F65BA9"/>
    <w:rsid w:val="00F66091"/>
    <w:rsid w:val="00F66BF6"/>
    <w:rsid w:val="00F70839"/>
    <w:rsid w:val="00F7169B"/>
    <w:rsid w:val="00F740D3"/>
    <w:rsid w:val="00F75415"/>
    <w:rsid w:val="00F75474"/>
    <w:rsid w:val="00F75C7B"/>
    <w:rsid w:val="00F77A25"/>
    <w:rsid w:val="00F80550"/>
    <w:rsid w:val="00F805B0"/>
    <w:rsid w:val="00F8099C"/>
    <w:rsid w:val="00F80BA7"/>
    <w:rsid w:val="00F83821"/>
    <w:rsid w:val="00F83864"/>
    <w:rsid w:val="00F85452"/>
    <w:rsid w:val="00F8712B"/>
    <w:rsid w:val="00F90058"/>
    <w:rsid w:val="00F97FA9"/>
    <w:rsid w:val="00FA0426"/>
    <w:rsid w:val="00FA27CD"/>
    <w:rsid w:val="00FA3AC7"/>
    <w:rsid w:val="00FA41DE"/>
    <w:rsid w:val="00FA44E4"/>
    <w:rsid w:val="00FA5425"/>
    <w:rsid w:val="00FA5EF4"/>
    <w:rsid w:val="00FA64A8"/>
    <w:rsid w:val="00FA6EDF"/>
    <w:rsid w:val="00FA767A"/>
    <w:rsid w:val="00FA771B"/>
    <w:rsid w:val="00FA79A3"/>
    <w:rsid w:val="00FA7E6E"/>
    <w:rsid w:val="00FB2DAE"/>
    <w:rsid w:val="00FC0C02"/>
    <w:rsid w:val="00FC24D7"/>
    <w:rsid w:val="00FC280B"/>
    <w:rsid w:val="00FC3CB2"/>
    <w:rsid w:val="00FC3E92"/>
    <w:rsid w:val="00FC575E"/>
    <w:rsid w:val="00FC795D"/>
    <w:rsid w:val="00FD0C58"/>
    <w:rsid w:val="00FD172A"/>
    <w:rsid w:val="00FD35C3"/>
    <w:rsid w:val="00FE1451"/>
    <w:rsid w:val="00FE3495"/>
    <w:rsid w:val="00FE43B8"/>
    <w:rsid w:val="00FE520D"/>
    <w:rsid w:val="00FE5AE2"/>
    <w:rsid w:val="00FF0FB1"/>
    <w:rsid w:val="00FF1001"/>
    <w:rsid w:val="00FF5230"/>
    <w:rsid w:val="00FF5D21"/>
    <w:rsid w:val="00FF76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9BD3"/>
  <w15:chartTrackingRefBased/>
  <w15:docId w15:val="{3676CFC2-2D5F-4E3E-9299-8CE4157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1E"/>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1E"/>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171E"/>
    <w:pPr>
      <w:tabs>
        <w:tab w:val="center" w:pos="4536"/>
        <w:tab w:val="right" w:pos="9072"/>
      </w:tabs>
    </w:pPr>
  </w:style>
  <w:style w:type="character" w:customStyle="1" w:styleId="FooterChar">
    <w:name w:val="Footer Char"/>
    <w:basedOn w:val="DefaultParagraphFont"/>
    <w:link w:val="Footer"/>
    <w:uiPriority w:val="99"/>
    <w:rsid w:val="0022171E"/>
    <w:rPr>
      <w:rFonts w:eastAsiaTheme="minorEastAsia"/>
      <w:sz w:val="24"/>
      <w:szCs w:val="24"/>
      <w:lang w:val="de-DE" w:eastAsia="de-DE"/>
    </w:rPr>
  </w:style>
  <w:style w:type="character" w:styleId="PageNumber">
    <w:name w:val="page number"/>
    <w:basedOn w:val="DefaultParagraphFont"/>
    <w:uiPriority w:val="99"/>
    <w:semiHidden/>
    <w:unhideWhenUsed/>
    <w:rsid w:val="0022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Victor,Maria Flora</dc:creator>
  <cp:keywords/>
  <dc:description/>
  <cp:lastModifiedBy>Victor,Maria Flora</cp:lastModifiedBy>
  <cp:revision>1</cp:revision>
  <dcterms:created xsi:type="dcterms:W3CDTF">2023-06-28T06:45:00Z</dcterms:created>
  <dcterms:modified xsi:type="dcterms:W3CDTF">2023-06-28T06:46:00Z</dcterms:modified>
</cp:coreProperties>
</file>