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Supplementary Notes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Supplementary Note 1: Potentially incorrect staging of </w:t>
      </w:r>
      <w:r w:rsidDel="00000000" w:rsidR="00000000" w:rsidRPr="00000000">
        <w:rPr>
          <w:i w:val="1"/>
          <w:u w:val="single"/>
          <w:rtl w:val="0"/>
        </w:rPr>
        <w:t xml:space="preserve">Scn11a </w:t>
      </w:r>
      <w:r w:rsidDel="00000000" w:rsidR="00000000" w:rsidRPr="00000000">
        <w:rPr>
          <w:u w:val="single"/>
          <w:rtl w:val="0"/>
        </w:rPr>
        <w:t xml:space="preserve">GOF mutants</w:t>
      </w:r>
    </w:p>
    <w:p w:rsidR="00000000" w:rsidDel="00000000" w:rsidP="00000000" w:rsidRDefault="00000000" w:rsidRPr="00000000" w14:paraId="00000004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i w:val="1"/>
          <w:rtl w:val="0"/>
        </w:rPr>
        <w:t xml:space="preserve">Scn11a </w:t>
      </w:r>
      <w:r w:rsidDel="00000000" w:rsidR="00000000" w:rsidRPr="00000000">
        <w:rPr>
          <w:rtl w:val="0"/>
        </w:rPr>
        <w:t xml:space="preserve">GOF mutant exhibited the most extreme similarity scores, in terms of both similarity between replicates and dissimilarity with other genotypes (</w:t>
      </w:r>
      <w:r w:rsidDel="00000000" w:rsidR="00000000" w:rsidRPr="00000000">
        <w:rPr>
          <w:b w:val="1"/>
          <w:rtl w:val="0"/>
        </w:rPr>
        <w:t xml:space="preserve">Fig. 4a</w:t>
      </w:r>
      <w:r w:rsidDel="00000000" w:rsidR="00000000" w:rsidRPr="00000000">
        <w:rPr>
          <w:rtl w:val="0"/>
        </w:rPr>
        <w:t xml:space="preserve">; </w:t>
      </w:r>
      <w:r w:rsidDel="00000000" w:rsidR="00000000" w:rsidRPr="00000000">
        <w:rPr>
          <w:b w:val="1"/>
          <w:rtl w:val="0"/>
        </w:rPr>
        <w:t xml:space="preserve">Extended Data Fig. 10a</w:t>
      </w:r>
      <w:r w:rsidDel="00000000" w:rsidR="00000000" w:rsidRPr="00000000">
        <w:rPr>
          <w:rtl w:val="0"/>
        </w:rPr>
        <w:t xml:space="preserve">). The </w:t>
      </w:r>
      <w:r w:rsidDel="00000000" w:rsidR="00000000" w:rsidRPr="00000000">
        <w:rPr>
          <w:i w:val="1"/>
          <w:rtl w:val="0"/>
        </w:rPr>
        <w:t xml:space="preserve">Scn11a</w:t>
      </w:r>
      <w:r w:rsidDel="00000000" w:rsidR="00000000" w:rsidRPr="00000000">
        <w:rPr>
          <w:rtl w:val="0"/>
        </w:rPr>
        <w:t xml:space="preserve"> GOF mutant carries a missense mutation in the </w:t>
      </w:r>
      <w:r w:rsidDel="00000000" w:rsidR="00000000" w:rsidRPr="00000000">
        <w:rPr>
          <w:i w:val="1"/>
          <w:rtl w:val="0"/>
        </w:rPr>
        <w:t xml:space="preserve">Scn11a</w:t>
      </w:r>
      <w:r w:rsidDel="00000000" w:rsidR="00000000" w:rsidRPr="00000000">
        <w:rPr>
          <w:rtl w:val="0"/>
        </w:rPr>
        <w:t xml:space="preserve"> locus which is reported to result in reduced pain sensitivity both in mice and men without obvious signs of neurodegeneration, suggesting altered electrical activity of peripheral pain-sensing neurons and impaired synaptic transmission to postsynaptic neurons</w:t>
      </w:r>
      <w:hyperlink r:id="rId7">
        <w:r w:rsidDel="00000000" w:rsidR="00000000" w:rsidRPr="00000000">
          <w:rPr>
            <w:vertAlign w:val="superscript"/>
            <w:rtl w:val="0"/>
          </w:rPr>
          <w:t xml:space="preserve">21</w:t>
        </w:r>
      </w:hyperlink>
      <w:r w:rsidDel="00000000" w:rsidR="00000000" w:rsidRPr="00000000">
        <w:rPr>
          <w:rtl w:val="0"/>
        </w:rPr>
        <w:t xml:space="preserve">. However, at least grossly, the mutant does not seem to be associated with mesenchymal phenotypes. Noting that the </w:t>
      </w:r>
      <w:r w:rsidDel="00000000" w:rsidR="00000000" w:rsidRPr="00000000">
        <w:rPr>
          <w:i w:val="1"/>
          <w:rtl w:val="0"/>
        </w:rPr>
        <w:t xml:space="preserve">Scn11a</w:t>
      </w:r>
      <w:r w:rsidDel="00000000" w:rsidR="00000000" w:rsidRPr="00000000">
        <w:rPr>
          <w:rtl w:val="0"/>
        </w:rPr>
        <w:t xml:space="preserve"> GOF mutant embryos clustered with E12.5 embryos instead of E13.5 embryos in our pseudobulk analysis (</w:t>
      </w:r>
      <w:r w:rsidDel="00000000" w:rsidR="00000000" w:rsidRPr="00000000">
        <w:rPr>
          <w:b w:val="1"/>
          <w:rtl w:val="0"/>
        </w:rPr>
        <w:t xml:space="preserve">Fig. 1c</w:t>
      </w:r>
      <w:r w:rsidDel="00000000" w:rsidR="00000000" w:rsidRPr="00000000">
        <w:rPr>
          <w:rtl w:val="0"/>
        </w:rPr>
        <w:t xml:space="preserve">), we speculated that its extreme similarity scores might be attributable either to developmental delay of the </w:t>
      </w:r>
      <w:r w:rsidDel="00000000" w:rsidR="00000000" w:rsidRPr="00000000">
        <w:rPr>
          <w:i w:val="1"/>
          <w:rtl w:val="0"/>
        </w:rPr>
        <w:t xml:space="preserve">Scn11a</w:t>
      </w:r>
      <w:r w:rsidDel="00000000" w:rsidR="00000000" w:rsidRPr="00000000">
        <w:rPr>
          <w:rtl w:val="0"/>
        </w:rPr>
        <w:t xml:space="preserve"> GOF mutant at the scale of the whole embryo or incorrect staging. To investigate this further, we co-embedded </w:t>
      </w:r>
      <w:r w:rsidDel="00000000" w:rsidR="00000000" w:rsidRPr="00000000">
        <w:rPr>
          <w:i w:val="1"/>
          <w:rtl w:val="0"/>
        </w:rPr>
        <w:t xml:space="preserve">Scn11a</w:t>
      </w:r>
      <w:r w:rsidDel="00000000" w:rsidR="00000000" w:rsidRPr="00000000">
        <w:rPr>
          <w:rtl w:val="0"/>
        </w:rPr>
        <w:t xml:space="preserve"> GOF mutant cells with pooled wildtype cells and MOCA cells from the neural tube trajectory. While wildtype cells were distributed near E13.5 cells from MOCA, the </w:t>
      </w:r>
      <w:r w:rsidDel="00000000" w:rsidR="00000000" w:rsidRPr="00000000">
        <w:rPr>
          <w:i w:val="1"/>
          <w:rtl w:val="0"/>
        </w:rPr>
        <w:t xml:space="preserve">Scn11a</w:t>
      </w:r>
      <w:r w:rsidDel="00000000" w:rsidR="00000000" w:rsidRPr="00000000">
        <w:rPr>
          <w:rtl w:val="0"/>
        </w:rPr>
        <w:t xml:space="preserve"> GOF cells were embedded closer to cells from earlier developmental timepoints (</w:t>
      </w:r>
      <w:r w:rsidDel="00000000" w:rsidR="00000000" w:rsidRPr="00000000">
        <w:rPr>
          <w:b w:val="1"/>
          <w:rtl w:val="0"/>
        </w:rPr>
        <w:t xml:space="preserve">Extended Data</w:t>
      </w:r>
      <w:r w:rsidDel="00000000" w:rsidR="00000000" w:rsidRPr="00000000">
        <w:rPr>
          <w:b w:val="1"/>
          <w:color w:val="212121"/>
          <w:rtl w:val="0"/>
        </w:rPr>
        <w:t xml:space="preserve"> Fig. 10d</w:t>
      </w:r>
      <w:r w:rsidDel="00000000" w:rsidR="00000000" w:rsidRPr="00000000">
        <w:rPr>
          <w:color w:val="212121"/>
          <w:rtl w:val="0"/>
        </w:rPr>
        <w:t xml:space="preserve">)</w:t>
      </w:r>
      <w:r w:rsidDel="00000000" w:rsidR="00000000" w:rsidRPr="00000000">
        <w:rPr>
          <w:rtl w:val="0"/>
        </w:rPr>
        <w:t xml:space="preserve">. As a more systematic approach, we calculated a “time score” for each cell from the MMCA dataset by taking the k-NNs of each MMCA cell in the MOCA dataset and calculating the average of the developmental time of the MOCA cells. The relative time score distributions of </w:t>
      </w:r>
      <w:r w:rsidDel="00000000" w:rsidR="00000000" w:rsidRPr="00000000">
        <w:rPr>
          <w:i w:val="1"/>
          <w:rtl w:val="0"/>
        </w:rPr>
        <w:t xml:space="preserve">Scn11a</w:t>
      </w:r>
      <w:r w:rsidDel="00000000" w:rsidR="00000000" w:rsidRPr="00000000">
        <w:rPr>
          <w:rtl w:val="0"/>
        </w:rPr>
        <w:t xml:space="preserve"> GOF cells and wildtype cells suggest that </w:t>
      </w:r>
      <w:r w:rsidDel="00000000" w:rsidR="00000000" w:rsidRPr="00000000">
        <w:rPr>
          <w:i w:val="1"/>
          <w:rtl w:val="0"/>
        </w:rPr>
        <w:t xml:space="preserve">Scn11a </w:t>
      </w:r>
      <w:r w:rsidDel="00000000" w:rsidR="00000000" w:rsidRPr="00000000">
        <w:rPr>
          <w:rtl w:val="0"/>
        </w:rPr>
        <w:t xml:space="preserve">GOF cells are significantly delayed in all major trajectories examined (single sided student’s t-test, raw p-value &lt; 0.01; </w:t>
      </w:r>
      <w:r w:rsidDel="00000000" w:rsidR="00000000" w:rsidRPr="00000000">
        <w:rPr>
          <w:b w:val="1"/>
          <w:rtl w:val="0"/>
        </w:rPr>
        <w:t xml:space="preserve">Extended Data</w:t>
      </w:r>
      <w:r w:rsidDel="00000000" w:rsidR="00000000" w:rsidRPr="00000000">
        <w:rPr>
          <w:b w:val="1"/>
          <w:color w:val="212121"/>
          <w:rtl w:val="0"/>
        </w:rPr>
        <w:t xml:space="preserve"> Fig. 10e</w:t>
      </w:r>
      <w:r w:rsidDel="00000000" w:rsidR="00000000" w:rsidRPr="00000000">
        <w:rPr>
          <w:rtl w:val="0"/>
        </w:rPr>
        <w:t xml:space="preserve">). To further follow up on the possibility of earlier time points being inadvertently harvested for this mutant, we examined 2 mixed litters of wildtype and heterozygous mutants at the stage E13.5 (</w:t>
      </w:r>
      <w:r w:rsidDel="00000000" w:rsidR="00000000" w:rsidRPr="00000000">
        <w:rPr>
          <w:b w:val="1"/>
          <w:rtl w:val="0"/>
        </w:rPr>
        <w:t xml:space="preserve">Extended Data</w:t>
      </w:r>
      <w:r w:rsidDel="00000000" w:rsidR="00000000" w:rsidRPr="00000000">
        <w:rPr>
          <w:b w:val="1"/>
          <w:color w:val="212121"/>
          <w:rtl w:val="0"/>
        </w:rPr>
        <w:t xml:space="preserve"> Fig. 10g</w:t>
      </w:r>
      <w:r w:rsidDel="00000000" w:rsidR="00000000" w:rsidRPr="00000000">
        <w:rPr>
          <w:rtl w:val="0"/>
        </w:rPr>
        <w:t xml:space="preserve">). As the heterozygous mutants did not exhibit signs of developmental delay such as smaller size, difference in eye formation or limb development, the theory of general developmental delay seems unlikely, as a more parsimonious explanation is incorrect staging of these litters.</w:t>
      </w:r>
    </w:p>
    <w:p w:rsidR="00000000" w:rsidDel="00000000" w:rsidP="00000000" w:rsidRDefault="00000000" w:rsidRPr="00000000" w14:paraId="00000006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Supplementary Tables</w:t>
      </w:r>
    </w:p>
    <w:p w:rsidR="00000000" w:rsidDel="00000000" w:rsidP="00000000" w:rsidRDefault="00000000" w:rsidRPr="00000000" w14:paraId="00000008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Supplementary Table 1. Brief descriptions of individual mutant types</w:t>
      </w:r>
    </w:p>
    <w:p w:rsidR="00000000" w:rsidDel="00000000" w:rsidP="00000000" w:rsidRDefault="00000000" w:rsidRPr="00000000" w14:paraId="00000009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Supplementary Table 2. Marker genes used for mouse developmental trajectory annotation.</w:t>
      </w:r>
    </w:p>
    <w:p w:rsidR="00000000" w:rsidDel="00000000" w:rsidP="00000000" w:rsidRDefault="00000000" w:rsidRPr="00000000" w14:paraId="0000000A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Supplementary Table 3. Cell composition changes for individual mutants across developmental trajectories.</w:t>
      </w:r>
    </w:p>
    <w:p w:rsidR="00000000" w:rsidDel="00000000" w:rsidP="00000000" w:rsidRDefault="00000000" w:rsidRPr="00000000" w14:paraId="0000000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Supplementary Table 4. Marker genes used for annotating the subtypes of selected cell populations.</w:t>
      </w:r>
    </w:p>
    <w:p w:rsidR="00000000" w:rsidDel="00000000" w:rsidP="00000000" w:rsidRDefault="00000000" w:rsidRPr="00000000" w14:paraId="0000000C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Supplementary Table 5. lochNESS related genes identified with regression model in Gli2 KO and pooled wildtype in the roof plate sub-trajectory</w:t>
      </w:r>
    </w:p>
    <w:p w:rsidR="00000000" w:rsidDel="00000000" w:rsidP="00000000" w:rsidRDefault="00000000" w:rsidRPr="00000000" w14:paraId="0000000D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Supplementary Table 6. Quantification of Ttr stainings</w:t>
      </w:r>
    </w:p>
    <w:p w:rsidR="00000000" w:rsidDel="00000000" w:rsidP="00000000" w:rsidRDefault="00000000" w:rsidRPr="00000000" w14:paraId="0000000E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Supplementary Table 7. lochNESS related genes identified with regression model in Tbx3 and pooled wildtype in selected epithelial sub-trajectories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aperpile.com/c/UCFxsq/zD3v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uKNCkWgLL24myAbm1JXwo0yTgA==">CgMxLjA4AHIhMXN5d0Z3NEdVXzV1LUNlcDhKck9wSkJjS1lkRTliNnh3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