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53D07" w14:textId="68DD2B7C" w:rsidR="00A573FE" w:rsidRPr="00032E43" w:rsidRDefault="00A573FE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32E43">
        <w:rPr>
          <w:rFonts w:ascii="Times New Roman" w:hAnsi="Times New Roman" w:cs="Times New Roman" w:hint="eastAsia"/>
          <w:b/>
          <w:bCs/>
          <w:sz w:val="20"/>
          <w:szCs w:val="20"/>
        </w:rPr>
        <w:t>S</w:t>
      </w:r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upplemental Figure and Table </w:t>
      </w:r>
      <w:r w:rsidR="007811E6" w:rsidRPr="00032E43">
        <w:rPr>
          <w:rFonts w:ascii="Times New Roman" w:hAnsi="Times New Roman" w:cs="Times New Roman"/>
          <w:b/>
          <w:bCs/>
          <w:sz w:val="20"/>
          <w:szCs w:val="20"/>
        </w:rPr>
        <w:t>Legends</w:t>
      </w:r>
      <w:r w:rsidRPr="00032E4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2DB1DD92" w14:textId="77777777" w:rsidR="00A573FE" w:rsidRPr="00032E43" w:rsidRDefault="00A573FE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471411E" w14:textId="72832F13" w:rsidR="00D26C8F" w:rsidRPr="00032E43" w:rsidRDefault="00D26C8F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Supplemental Figure 1: The gating strategy of flow </w:t>
      </w:r>
      <w:proofErr w:type="spellStart"/>
      <w:r w:rsidRPr="00032E43">
        <w:rPr>
          <w:rFonts w:ascii="Times New Roman" w:hAnsi="Times New Roman" w:cs="Times New Roman"/>
          <w:b/>
          <w:bCs/>
          <w:sz w:val="20"/>
          <w:szCs w:val="20"/>
        </w:rPr>
        <w:t>cytometry</w:t>
      </w:r>
      <w:proofErr w:type="spellEnd"/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 in the study.</w:t>
      </w:r>
    </w:p>
    <w:p w14:paraId="17DC107D" w14:textId="77777777" w:rsidR="00D26C8F" w:rsidRPr="00032E43" w:rsidRDefault="00D26C8F" w:rsidP="00D26C8F">
      <w:pPr>
        <w:spacing w:line="360" w:lineRule="auto"/>
        <w:ind w:firstLine="840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 xml:space="preserve">(A) After extracting </w:t>
      </w:r>
      <w:proofErr w:type="spellStart"/>
      <w:r w:rsidRPr="00032E43">
        <w:rPr>
          <w:rFonts w:ascii="Times New Roman" w:hAnsi="Times New Roman" w:cs="Times New Roman"/>
          <w:sz w:val="20"/>
          <w:szCs w:val="20"/>
        </w:rPr>
        <w:t>singlets</w:t>
      </w:r>
      <w:proofErr w:type="spellEnd"/>
      <w:r w:rsidRPr="00032E43">
        <w:rPr>
          <w:rFonts w:ascii="Times New Roman" w:hAnsi="Times New Roman" w:cs="Times New Roman"/>
          <w:sz w:val="20"/>
          <w:szCs w:val="20"/>
        </w:rPr>
        <w:t xml:space="preserve"> and l</w:t>
      </w:r>
      <w:bookmarkStart w:id="0" w:name="_GoBack"/>
      <w:bookmarkEnd w:id="0"/>
      <w:r w:rsidRPr="00032E43">
        <w:rPr>
          <w:rFonts w:ascii="Times New Roman" w:hAnsi="Times New Roman" w:cs="Times New Roman"/>
          <w:sz w:val="20"/>
          <w:szCs w:val="20"/>
        </w:rPr>
        <w:t>ymphocytes by forward and side scatter plots, dead cells and CD45-negative cells were excluded. NK cells were defined as CD3-/CD56dim+bright subsets, and NKT cells were defined as CD3+/CD56+ subsets. CD16/CD35/CD88/CD69/CD83/CD57/NKG2C/HLA-DR-positive cell were analyzed. (B) PBMCs from NMOSD patients and Healthy Controls were incubated with AQP4-immunocomplexes. AQP4-FITC-positive cells were gated from Live/CD45+ cells after forward and side scatter plots.</w:t>
      </w:r>
    </w:p>
    <w:p w14:paraId="70715729" w14:textId="77777777" w:rsidR="00D26C8F" w:rsidRPr="00032E43" w:rsidRDefault="00D26C8F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729B23C" w14:textId="77777777" w:rsidR="00D26C8F" w:rsidRPr="00032E43" w:rsidRDefault="00D26C8F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Supplemental Figure 2: The Principal Component Analysis (PCA) from ELISA- and Flow </w:t>
      </w:r>
      <w:proofErr w:type="spellStart"/>
      <w:r w:rsidRPr="00032E43">
        <w:rPr>
          <w:rFonts w:ascii="Times New Roman" w:hAnsi="Times New Roman" w:cs="Times New Roman"/>
          <w:b/>
          <w:bCs/>
          <w:sz w:val="20"/>
          <w:szCs w:val="20"/>
        </w:rPr>
        <w:t>cytometry</w:t>
      </w:r>
      <w:proofErr w:type="spellEnd"/>
      <w:r w:rsidRPr="00032E43">
        <w:rPr>
          <w:rFonts w:ascii="Times New Roman" w:hAnsi="Times New Roman" w:cs="Times New Roman"/>
          <w:b/>
          <w:bCs/>
          <w:sz w:val="20"/>
          <w:szCs w:val="20"/>
        </w:rPr>
        <w:t>-derived parameters.</w:t>
      </w:r>
    </w:p>
    <w:p w14:paraId="25A788D5" w14:textId="77777777" w:rsidR="00D26C8F" w:rsidRPr="00032E43" w:rsidRDefault="00D26C8F" w:rsidP="00D26C8F">
      <w:pPr>
        <w:spacing w:line="360" w:lineRule="auto"/>
        <w:ind w:firstLine="840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>PCA was performed using all the parameters in the study (A and B), or the parameters from AQP4-immunocomplexes/complement stimulations (C and D). Red dots are from NMOSD patients (n=18), and black dots are from Healthy Controls (n=10) in the diagnosis plot (A and C). Similarly, red dots are for Naïve-NMOSD (n=8), blue dots for Rituximab-treated-NMOSD (n=10), and black dots for Healthy Controls (n=10) in the treatment intervention plot (B and D). The parameters from AQP4-immunocomplexes/complement stimulations allowed a more apparent contrast between the two groups (C).</w:t>
      </w:r>
    </w:p>
    <w:p w14:paraId="27390F79" w14:textId="77777777" w:rsidR="00D26C8F" w:rsidRPr="00032E43" w:rsidRDefault="00D26C8F" w:rsidP="00D26C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5313625B" w14:textId="77777777" w:rsidR="00D26C8F" w:rsidRPr="00032E43" w:rsidRDefault="00D26C8F" w:rsidP="00D26C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b/>
          <w:bCs/>
          <w:sz w:val="20"/>
          <w:szCs w:val="20"/>
        </w:rPr>
        <w:t>Supplemental Table 1: Profiles of each group in the cohort</w:t>
      </w:r>
      <w:r w:rsidRPr="00032E43">
        <w:rPr>
          <w:rFonts w:ascii="Times New Roman" w:hAnsi="Times New Roman" w:cs="Times New Roman"/>
          <w:sz w:val="20"/>
          <w:szCs w:val="20"/>
        </w:rPr>
        <w:t>.</w:t>
      </w:r>
    </w:p>
    <w:p w14:paraId="29B12F40" w14:textId="3EFF9D64" w:rsidR="00D26C8F" w:rsidRPr="00032E43" w:rsidRDefault="00A573FE" w:rsidP="00A573FE">
      <w:pPr>
        <w:spacing w:line="360" w:lineRule="auto"/>
        <w:ind w:firstLine="840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 xml:space="preserve">Age, sex, and AQP4-IgG </w:t>
      </w:r>
      <w:proofErr w:type="spellStart"/>
      <w:r w:rsidRPr="00032E43">
        <w:rPr>
          <w:rFonts w:ascii="Times New Roman" w:hAnsi="Times New Roman" w:cs="Times New Roman"/>
          <w:sz w:val="20"/>
          <w:szCs w:val="20"/>
        </w:rPr>
        <w:t>serostatus</w:t>
      </w:r>
      <w:proofErr w:type="spellEnd"/>
      <w:r w:rsidRPr="00032E43">
        <w:rPr>
          <w:rFonts w:ascii="Times New Roman" w:hAnsi="Times New Roman" w:cs="Times New Roman"/>
          <w:sz w:val="20"/>
          <w:szCs w:val="20"/>
        </w:rPr>
        <w:t xml:space="preserve"> of </w:t>
      </w:r>
      <w:r w:rsidR="002F268F" w:rsidRPr="00032E43">
        <w:rPr>
          <w:rFonts w:ascii="Times New Roman" w:hAnsi="Times New Roman" w:cs="Times New Roman"/>
          <w:sz w:val="20"/>
          <w:szCs w:val="20"/>
        </w:rPr>
        <w:t>this cohort's NMOSD patient and control groups</w:t>
      </w:r>
      <w:r w:rsidRPr="00032E43">
        <w:rPr>
          <w:rFonts w:ascii="Times New Roman" w:hAnsi="Times New Roman" w:cs="Times New Roman"/>
          <w:sz w:val="20"/>
          <w:szCs w:val="20"/>
        </w:rPr>
        <w:t>.</w:t>
      </w:r>
    </w:p>
    <w:p w14:paraId="209A345F" w14:textId="77777777" w:rsidR="00A573FE" w:rsidRPr="00032E43" w:rsidRDefault="00A573FE" w:rsidP="00D26C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17B647D3" w14:textId="19549262" w:rsidR="00A573FE" w:rsidRPr="00032E43" w:rsidRDefault="00A573FE" w:rsidP="00A573FE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2: </w:t>
      </w:r>
      <w:r w:rsidR="002F268F" w:rsidRPr="00032E43">
        <w:rPr>
          <w:rFonts w:ascii="Times New Roman" w:hAnsi="Times New Roman" w:cs="Times New Roman"/>
          <w:b/>
          <w:bCs/>
          <w:sz w:val="20"/>
          <w:szCs w:val="20"/>
        </w:rPr>
        <w:t>F</w:t>
      </w:r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low </w:t>
      </w:r>
      <w:proofErr w:type="spellStart"/>
      <w:r w:rsidRPr="00032E43">
        <w:rPr>
          <w:rFonts w:ascii="Times New Roman" w:hAnsi="Times New Roman" w:cs="Times New Roman"/>
          <w:b/>
          <w:bCs/>
          <w:sz w:val="20"/>
          <w:szCs w:val="20"/>
        </w:rPr>
        <w:t>cytometry</w:t>
      </w:r>
      <w:proofErr w:type="spellEnd"/>
      <w:r w:rsidR="002F268F"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 panels in the study</w:t>
      </w:r>
      <w:r w:rsidRPr="00032E4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794DC67D" w14:textId="5C8084C1" w:rsidR="00A573FE" w:rsidRPr="00032E43" w:rsidRDefault="00A573FE" w:rsidP="00A573FE">
      <w:pPr>
        <w:spacing w:line="360" w:lineRule="auto"/>
        <w:ind w:firstLine="840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>Details of the type, clone, manufacturer</w:t>
      </w:r>
      <w:r w:rsidR="002F268F" w:rsidRPr="00032E43">
        <w:rPr>
          <w:rFonts w:ascii="Times New Roman" w:hAnsi="Times New Roman" w:cs="Times New Roman"/>
          <w:sz w:val="20"/>
          <w:szCs w:val="20"/>
        </w:rPr>
        <w:t>,</w:t>
      </w:r>
      <w:r w:rsidRPr="00032E43">
        <w:rPr>
          <w:rFonts w:ascii="Times New Roman" w:hAnsi="Times New Roman" w:cs="Times New Roman"/>
          <w:sz w:val="20"/>
          <w:szCs w:val="20"/>
        </w:rPr>
        <w:t xml:space="preserve"> and production ID of the fluorescent antibodies for flow </w:t>
      </w:r>
      <w:proofErr w:type="spellStart"/>
      <w:r w:rsidRPr="00032E43">
        <w:rPr>
          <w:rFonts w:ascii="Times New Roman" w:hAnsi="Times New Roman" w:cs="Times New Roman"/>
          <w:sz w:val="20"/>
          <w:szCs w:val="20"/>
        </w:rPr>
        <w:t>cytometry</w:t>
      </w:r>
      <w:proofErr w:type="spellEnd"/>
      <w:r w:rsidRPr="00032E43">
        <w:rPr>
          <w:rFonts w:ascii="Times New Roman" w:hAnsi="Times New Roman" w:cs="Times New Roman"/>
          <w:sz w:val="20"/>
          <w:szCs w:val="20"/>
        </w:rPr>
        <w:t xml:space="preserve"> used in this study.</w:t>
      </w:r>
    </w:p>
    <w:p w14:paraId="56EA6412" w14:textId="77777777" w:rsidR="00A573FE" w:rsidRPr="00032E43" w:rsidRDefault="00A573FE" w:rsidP="00D26C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0D6E7D33" w14:textId="4764E15D" w:rsidR="00D26C8F" w:rsidRPr="00032E43" w:rsidRDefault="00D26C8F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</w:t>
      </w:r>
      <w:r w:rsidR="00A573FE" w:rsidRPr="00032E43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032E43">
        <w:rPr>
          <w:rFonts w:ascii="Times New Roman" w:hAnsi="Times New Roman" w:cs="Times New Roman"/>
          <w:b/>
          <w:bCs/>
          <w:sz w:val="20"/>
          <w:szCs w:val="20"/>
        </w:rPr>
        <w:t>: Cytokine levels after AQP4-immunocomplexes/complement stimulation analyzed by multiple-ELISA kits.</w:t>
      </w:r>
    </w:p>
    <w:p w14:paraId="62C5C3EC" w14:textId="382C793C" w:rsidR="00D26C8F" w:rsidRPr="00032E43" w:rsidRDefault="00D26C8F" w:rsidP="00D26C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ab/>
      </w:r>
      <w:r w:rsidR="00A573FE" w:rsidRPr="00032E43">
        <w:rPr>
          <w:rFonts w:ascii="Times New Roman" w:hAnsi="Times New Roman" w:cs="Times New Roman"/>
          <w:sz w:val="20"/>
          <w:szCs w:val="20"/>
        </w:rPr>
        <w:t>Detailed cytokine levels in the culture medium under each condition were analyzed using the Multiple ELISA kit.</w:t>
      </w:r>
    </w:p>
    <w:p w14:paraId="1A8ED6C8" w14:textId="21ED9EF9" w:rsidR="00A573FE" w:rsidRPr="00032E43" w:rsidRDefault="00A573FE" w:rsidP="00D26C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>IC: AQP4-immunocomplexes; WC: whole complement; WCIC: AQP4-immunocomplexes/whole complement treated; RTX: Rituximab-treated NMOSD patients. NMOSD-Naive (n=8), NMOSD-rituximab treated (n=10), and Healthy Controls (n=10).</w:t>
      </w:r>
    </w:p>
    <w:p w14:paraId="314C665A" w14:textId="77777777" w:rsidR="002F268F" w:rsidRPr="00032E43" w:rsidRDefault="002F268F" w:rsidP="00D26C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62049C7B" w14:textId="5D70EDE6" w:rsidR="002F268F" w:rsidRPr="00032E43" w:rsidRDefault="002F268F" w:rsidP="002F26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4: Cell surface marker expressions after AQP4-immunocomplexes/complement stimulation analyzed by flow </w:t>
      </w:r>
      <w:proofErr w:type="spellStart"/>
      <w:r w:rsidRPr="00032E43">
        <w:rPr>
          <w:rFonts w:ascii="Times New Roman" w:hAnsi="Times New Roman" w:cs="Times New Roman"/>
          <w:b/>
          <w:bCs/>
          <w:sz w:val="20"/>
          <w:szCs w:val="20"/>
        </w:rPr>
        <w:t>cytometry</w:t>
      </w:r>
      <w:proofErr w:type="spellEnd"/>
      <w:r w:rsidRPr="00032E4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40FF565" w14:textId="3609CEB9" w:rsidR="00D26C8F" w:rsidRPr="00032E43" w:rsidRDefault="002F268F" w:rsidP="002F268F">
      <w:pPr>
        <w:spacing w:line="360" w:lineRule="auto"/>
        <w:ind w:firstLine="840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 xml:space="preserve">Subset detail values for each antigen-positive NK/NKT cell calculated by flow </w:t>
      </w:r>
      <w:proofErr w:type="spellStart"/>
      <w:r w:rsidRPr="00032E43">
        <w:rPr>
          <w:rFonts w:ascii="Times New Roman" w:hAnsi="Times New Roman" w:cs="Times New Roman"/>
          <w:sz w:val="20"/>
          <w:szCs w:val="20"/>
        </w:rPr>
        <w:t>cytometry</w:t>
      </w:r>
      <w:proofErr w:type="spellEnd"/>
      <w:r w:rsidRPr="00032E43">
        <w:rPr>
          <w:rFonts w:ascii="Times New Roman" w:hAnsi="Times New Roman" w:cs="Times New Roman"/>
          <w:sz w:val="20"/>
          <w:szCs w:val="20"/>
        </w:rPr>
        <w:t>.</w:t>
      </w:r>
    </w:p>
    <w:p w14:paraId="19D9EF47" w14:textId="6EC5EB4F" w:rsidR="002F268F" w:rsidRPr="00032E43" w:rsidRDefault="002F268F" w:rsidP="002F268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>IC: AQP4-immunocomplexes; WC: whole complement; WCIC: AQP4-immunocomplexes/whole complement treated; RTX: Rituximab-treated NMOSD patients. NMOSD-Naive (n=8), NMOSD-rituximab treated (n=10), and Healthy Controls (n=10).</w:t>
      </w:r>
    </w:p>
    <w:p w14:paraId="36E07668" w14:textId="77777777" w:rsidR="002F268F" w:rsidRPr="00032E43" w:rsidRDefault="002F268F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351AB55" w14:textId="0BA81A84" w:rsidR="002F268F" w:rsidRPr="00032E43" w:rsidRDefault="00D26C8F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</w:t>
      </w:r>
      <w:r w:rsidR="002F268F" w:rsidRPr="00032E43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032E43">
        <w:rPr>
          <w:rFonts w:ascii="Times New Roman" w:hAnsi="Times New Roman" w:cs="Times New Roman"/>
          <w:b/>
          <w:bCs/>
          <w:sz w:val="20"/>
          <w:szCs w:val="20"/>
        </w:rPr>
        <w:t>: Detailed PC1/PC2 data obtained by PCA based on all parameters.</w:t>
      </w:r>
    </w:p>
    <w:p w14:paraId="7F6E9047" w14:textId="70E11461" w:rsidR="00D26C8F" w:rsidRPr="00032E43" w:rsidRDefault="00D26C8F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32E43">
        <w:rPr>
          <w:rFonts w:ascii="Times New Roman" w:hAnsi="Times New Roman" w:cs="Times New Roman"/>
          <w:b/>
          <w:bCs/>
          <w:sz w:val="20"/>
          <w:szCs w:val="20"/>
        </w:rPr>
        <w:t xml:space="preserve">Supplemental Table </w:t>
      </w:r>
      <w:r w:rsidR="002F268F" w:rsidRPr="00032E43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032E43">
        <w:rPr>
          <w:rFonts w:ascii="Times New Roman" w:hAnsi="Times New Roman" w:cs="Times New Roman"/>
          <w:b/>
          <w:bCs/>
          <w:sz w:val="20"/>
          <w:szCs w:val="20"/>
        </w:rPr>
        <w:t>: Detailed PC1/PC2 data obtained by PCA based on the parameters after AQP-</w:t>
      </w:r>
      <w:proofErr w:type="spellStart"/>
      <w:r w:rsidRPr="00032E43">
        <w:rPr>
          <w:rFonts w:ascii="Times New Roman" w:hAnsi="Times New Roman" w:cs="Times New Roman"/>
          <w:b/>
          <w:bCs/>
          <w:sz w:val="20"/>
          <w:szCs w:val="20"/>
        </w:rPr>
        <w:t>immunocomplexes</w:t>
      </w:r>
      <w:proofErr w:type="spellEnd"/>
      <w:r w:rsidRPr="00032E43">
        <w:rPr>
          <w:rFonts w:ascii="Times New Roman" w:hAnsi="Times New Roman" w:cs="Times New Roman"/>
          <w:b/>
          <w:bCs/>
          <w:sz w:val="20"/>
          <w:szCs w:val="20"/>
        </w:rPr>
        <w:t>/complement stimulation.</w:t>
      </w:r>
    </w:p>
    <w:p w14:paraId="4CD16846" w14:textId="7C19FD1B" w:rsidR="007811E6" w:rsidRPr="00032E43" w:rsidRDefault="007811E6" w:rsidP="007811E6">
      <w:pPr>
        <w:spacing w:line="360" w:lineRule="auto"/>
        <w:ind w:firstLine="840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 xml:space="preserve">Detailed PC1 and PC2 values in PCA, based on parameters obtained in this study using flow </w:t>
      </w:r>
      <w:proofErr w:type="spellStart"/>
      <w:r w:rsidRPr="00032E43">
        <w:rPr>
          <w:rFonts w:ascii="Times New Roman" w:hAnsi="Times New Roman" w:cs="Times New Roman"/>
          <w:sz w:val="20"/>
          <w:szCs w:val="20"/>
        </w:rPr>
        <w:t>cytometry</w:t>
      </w:r>
      <w:proofErr w:type="spellEnd"/>
      <w:r w:rsidRPr="00032E43">
        <w:rPr>
          <w:rFonts w:ascii="Times New Roman" w:hAnsi="Times New Roman" w:cs="Times New Roman"/>
          <w:sz w:val="20"/>
          <w:szCs w:val="20"/>
        </w:rPr>
        <w:t xml:space="preserve"> and ELISA, including all stimulation conditions (Sup. Table 5) and after AQP4-immunocomplex/complement stimulation (Sup. Table 6). </w:t>
      </w:r>
      <w:proofErr w:type="spellStart"/>
      <w:r w:rsidRPr="00032E43">
        <w:rPr>
          <w:rFonts w:ascii="Times New Roman" w:hAnsi="Times New Roman" w:cs="Times New Roman"/>
          <w:sz w:val="20"/>
          <w:szCs w:val="20"/>
        </w:rPr>
        <w:t>Proinflammatory</w:t>
      </w:r>
      <w:proofErr w:type="spellEnd"/>
      <w:r w:rsidRPr="00032E43">
        <w:rPr>
          <w:rFonts w:ascii="Times New Roman" w:hAnsi="Times New Roman" w:cs="Times New Roman"/>
          <w:sz w:val="20"/>
          <w:szCs w:val="20"/>
        </w:rPr>
        <w:t xml:space="preserve"> cytokines, Th17 cytokines, and activated NK/NKT cells are high in PC1, suggesting that these factors are essential in differentiating NMOSD patients from healthy controls.</w:t>
      </w:r>
    </w:p>
    <w:p w14:paraId="6AA18B4E" w14:textId="5A399A24" w:rsidR="007811E6" w:rsidRPr="00032E43" w:rsidRDefault="007811E6" w:rsidP="007811E6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32E43">
        <w:rPr>
          <w:rFonts w:ascii="Times New Roman" w:hAnsi="Times New Roman" w:cs="Times New Roman"/>
          <w:sz w:val="20"/>
          <w:szCs w:val="20"/>
        </w:rPr>
        <w:t>IC: AQP4-immunocomplexes; WC: whole complement; WC</w:t>
      </w:r>
      <w:r w:rsidR="009308B4" w:rsidRPr="00032E43">
        <w:rPr>
          <w:rFonts w:ascii="Times New Roman" w:hAnsi="Times New Roman" w:cs="Times New Roman"/>
          <w:sz w:val="20"/>
          <w:szCs w:val="20"/>
        </w:rPr>
        <w:t>+</w:t>
      </w:r>
      <w:r w:rsidRPr="00032E43">
        <w:rPr>
          <w:rFonts w:ascii="Times New Roman" w:hAnsi="Times New Roman" w:cs="Times New Roman"/>
          <w:sz w:val="20"/>
          <w:szCs w:val="20"/>
        </w:rPr>
        <w:t>IC: AQP4-immunocomplexes/whole complement treated; RTX: Rituximab-treated NMOSD patients. NMOSD-Naive (n=8), NMOSD-rituximab treated (n=10), and Healthy Controls (n=10).</w:t>
      </w:r>
    </w:p>
    <w:p w14:paraId="7179D9B3" w14:textId="77777777" w:rsidR="007811E6" w:rsidRPr="00032E43" w:rsidRDefault="007811E6" w:rsidP="00D26C8F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A3F168A" w14:textId="77777777" w:rsidR="00140982" w:rsidRPr="00032E43" w:rsidRDefault="00140982"/>
    <w:sectPr w:rsidR="00140982" w:rsidRPr="00032E43" w:rsidSect="00032E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MS Gothic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altName w:val="MS Gothic"/>
    <w:charset w:val="80"/>
    <w:family w:val="modern"/>
    <w:pitch w:val="variable"/>
    <w:sig w:usb0="00000000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C8F"/>
    <w:rsid w:val="00032E43"/>
    <w:rsid w:val="00140982"/>
    <w:rsid w:val="002F268F"/>
    <w:rsid w:val="007811E6"/>
    <w:rsid w:val="009308B4"/>
    <w:rsid w:val="00A573FE"/>
    <w:rsid w:val="00D2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E56AC9"/>
  <w15:chartTrackingRefBased/>
  <w15:docId w15:val="{358AF585-3961-4219-8C80-05241863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C8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440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修平 西山</dc:creator>
  <cp:keywords/>
  <dc:description/>
  <cp:lastModifiedBy>Dhanalakshmi Vairavan</cp:lastModifiedBy>
  <cp:revision>3</cp:revision>
  <dcterms:created xsi:type="dcterms:W3CDTF">2023-12-27T14:15:00Z</dcterms:created>
  <dcterms:modified xsi:type="dcterms:W3CDTF">2024-02-03T16:10:00Z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061ea37e-c4a7-4efe-aca5-a25f9bf19bc3</vt:lpwstr>
  </property>
</Properties>
</file>