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643ED" w14:textId="189F5139" w:rsidR="002643EC" w:rsidRPr="006460F8" w:rsidRDefault="008753E7">
      <w:pPr>
        <w:rPr>
          <w:rFonts w:cs="Arial"/>
          <w:color w:val="131413"/>
          <w:lang w:val="en-GB"/>
        </w:rPr>
      </w:pPr>
      <w:r w:rsidRPr="006460F8">
        <w:rPr>
          <w:rFonts w:cs="Arial"/>
          <w:b/>
          <w:bCs/>
          <w:lang w:val="en-GB"/>
        </w:rPr>
        <w:t>Supplementary Material S5</w:t>
      </w:r>
      <w:r w:rsidR="00690102" w:rsidRPr="006460F8">
        <w:rPr>
          <w:rFonts w:cs="Arial"/>
          <w:b/>
          <w:bCs/>
          <w:lang w:val="en-GB"/>
        </w:rPr>
        <w:t>.</w:t>
      </w:r>
      <w:r w:rsidR="001E1AB5" w:rsidRPr="006460F8">
        <w:rPr>
          <w:rFonts w:cs="Arial"/>
          <w:lang w:val="en-GB"/>
        </w:rPr>
        <w:t xml:space="preserve"> Grading the overall certainty of evidence according to methodological quality, outcome-specific certainty of evidence, biological plausibility and consistency of results, and </w:t>
      </w:r>
      <w:r w:rsidR="001E1AB5" w:rsidRPr="006460F8">
        <w:rPr>
          <w:rFonts w:cs="Arial"/>
          <w:color w:val="131413"/>
          <w:lang w:val="en-GB"/>
        </w:rPr>
        <w:t>definition of the overall certainty of evidence in a modified form acco</w:t>
      </w:r>
      <w:r w:rsidR="00690102" w:rsidRPr="006460F8">
        <w:rPr>
          <w:rFonts w:cs="Arial"/>
          <w:color w:val="131413"/>
          <w:lang w:val="en-GB"/>
        </w:rPr>
        <w:t>rding to the GRADE approach</w:t>
      </w:r>
      <w:r w:rsidR="0007337D" w:rsidRPr="006460F8">
        <w:rPr>
          <w:rFonts w:cs="Arial"/>
          <w:color w:val="131413"/>
          <w:lang w:val="en-GB"/>
        </w:rPr>
        <w:t xml:space="preserve"> [1, 2]</w:t>
      </w:r>
      <w:r w:rsidR="000A5C68" w:rsidRPr="006460F8">
        <w:rPr>
          <w:rFonts w:cs="Arial"/>
          <w:color w:val="131413"/>
          <w:lang w:val="en-GB"/>
        </w:rPr>
        <w:t>.</w:t>
      </w:r>
    </w:p>
    <w:p w14:paraId="7528DD3F" w14:textId="77777777" w:rsidR="001E1AB5" w:rsidRPr="006460F8" w:rsidRDefault="001E1AB5">
      <w:pPr>
        <w:rPr>
          <w:rFonts w:cstheme="minorHAnsi"/>
          <w:color w:val="131413"/>
          <w:lang w:val="en-GB"/>
        </w:rPr>
      </w:pP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601"/>
        <w:gridCol w:w="3048"/>
      </w:tblGrid>
      <w:tr w:rsidR="001E1AB5" w:rsidRPr="006460F8" w14:paraId="1CF3ED40" w14:textId="77777777" w:rsidTr="00226766">
        <w:tc>
          <w:tcPr>
            <w:tcW w:w="1413" w:type="dxa"/>
          </w:tcPr>
          <w:p w14:paraId="3BBCA75C" w14:textId="77777777" w:rsidR="001E1AB5" w:rsidRPr="006460F8" w:rsidRDefault="001E1AB5" w:rsidP="0022676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Cs/>
                <w:sz w:val="20"/>
                <w:szCs w:val="20"/>
                <w:lang w:val="en-GB"/>
              </w:rPr>
              <w:t>Overall certainty of evidence</w:t>
            </w:r>
          </w:p>
        </w:tc>
        <w:tc>
          <w:tcPr>
            <w:tcW w:w="4601" w:type="dxa"/>
          </w:tcPr>
          <w:p w14:paraId="4F6D366F" w14:textId="77777777" w:rsidR="001E1AB5" w:rsidRPr="006460F8" w:rsidRDefault="001E1AB5" w:rsidP="00226766">
            <w:pPr>
              <w:pStyle w:val="ListParagraph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Cs/>
                <w:sz w:val="20"/>
                <w:szCs w:val="20"/>
                <w:lang w:val="en-GB"/>
              </w:rPr>
              <w:t>Underlying criteria</w:t>
            </w:r>
          </w:p>
        </w:tc>
        <w:tc>
          <w:tcPr>
            <w:tcW w:w="3048" w:type="dxa"/>
          </w:tcPr>
          <w:p w14:paraId="2BCE1B24" w14:textId="77777777" w:rsidR="001E1AB5" w:rsidRPr="006460F8" w:rsidRDefault="001E1AB5" w:rsidP="00226766">
            <w:pPr>
              <w:pStyle w:val="ListParagraph"/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Cs/>
                <w:sz w:val="20"/>
                <w:szCs w:val="20"/>
                <w:lang w:val="en-GB"/>
              </w:rPr>
              <w:t>Definition/Explanation</w:t>
            </w:r>
          </w:p>
        </w:tc>
      </w:tr>
      <w:tr w:rsidR="001E1AB5" w:rsidRPr="006460F8" w14:paraId="600DBD91" w14:textId="77777777" w:rsidTr="00B15A4A">
        <w:tc>
          <w:tcPr>
            <w:tcW w:w="1413" w:type="dxa"/>
          </w:tcPr>
          <w:p w14:paraId="54E17A6E" w14:textId="77777777" w:rsidR="001E1AB5" w:rsidRPr="006460F8" w:rsidRDefault="001E1AB5" w:rsidP="00B15A4A">
            <w:pPr>
              <w:jc w:val="both"/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  <w:t>Convincing</w:t>
            </w:r>
          </w:p>
        </w:tc>
        <w:tc>
          <w:tcPr>
            <w:tcW w:w="4601" w:type="dxa"/>
          </w:tcPr>
          <w:p w14:paraId="6922A10E" w14:textId="74436D6E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At least one SR with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MA of </w:t>
            </w:r>
            <w:r w:rsidR="00120CCB" w:rsidRPr="006460F8">
              <w:rPr>
                <w:rFonts w:ascii="Arial" w:hAnsi="Arial" w:cs="Arial"/>
                <w:sz w:val="20"/>
                <w:szCs w:val="20"/>
                <w:lang w:val="en-GB"/>
              </w:rPr>
              <w:t>prospective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studies available </w:t>
            </w:r>
          </w:p>
          <w:p w14:paraId="708980C8" w14:textId="59CA1B3B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If more than one SR</w:t>
            </w:r>
            <w:r w:rsidR="00ED21F5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with or without MA</w:t>
            </w:r>
            <w:r w:rsidR="0097595D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are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available: all </w:t>
            </w:r>
            <w:r w:rsidR="00B15A4A" w:rsidRPr="006460F8">
              <w:rPr>
                <w:rFonts w:ascii="Arial" w:hAnsi="Arial" w:cs="Arial"/>
                <w:sz w:val="20"/>
                <w:szCs w:val="20"/>
                <w:lang w:val="en-GB"/>
              </w:rPr>
              <w:t>overall</w:t>
            </w:r>
            <w:r w:rsidR="00D07098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results 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must be consistent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1</w:t>
            </w:r>
          </w:p>
          <w:p w14:paraId="661E6BAB" w14:textId="77777777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In case of a positive or negative association, biological plausibility is given</w:t>
            </w:r>
          </w:p>
          <w:p w14:paraId="3815786E" w14:textId="78BE8345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All included SRs with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MA must reach at least a “moderate” outcome-specific certainty of evidence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2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;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in addition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all included SRs must reach at least a methodological quality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3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of “moderate” </w:t>
            </w:r>
          </w:p>
        </w:tc>
        <w:tc>
          <w:tcPr>
            <w:tcW w:w="3048" w:type="dxa"/>
          </w:tcPr>
          <w:p w14:paraId="2AB9F0B9" w14:textId="184F3B45" w:rsidR="001E1AB5" w:rsidRPr="006460F8" w:rsidRDefault="001E1AB5" w:rsidP="00B15A4A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There is high level of confidence that the true effect lies close to that o</w:t>
            </w:r>
            <w:r w:rsidR="00227AE7"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f the estimate(s) of the effect</w:t>
            </w:r>
          </w:p>
          <w:p w14:paraId="3A54BE1A" w14:textId="77777777" w:rsidR="001E1AB5" w:rsidRPr="006460F8" w:rsidRDefault="001E1AB5" w:rsidP="00B15A4A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</w:tr>
      <w:tr w:rsidR="001E1AB5" w:rsidRPr="006460F8" w14:paraId="066EBC5B" w14:textId="77777777" w:rsidTr="00B15A4A">
        <w:tc>
          <w:tcPr>
            <w:tcW w:w="1413" w:type="dxa"/>
          </w:tcPr>
          <w:p w14:paraId="0A2E4084" w14:textId="77777777" w:rsidR="001E1AB5" w:rsidRPr="006460F8" w:rsidRDefault="001E1AB5" w:rsidP="00B15A4A">
            <w:pPr>
              <w:jc w:val="both"/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  <w:t>Probable</w:t>
            </w:r>
          </w:p>
        </w:tc>
        <w:tc>
          <w:tcPr>
            <w:tcW w:w="4601" w:type="dxa"/>
          </w:tcPr>
          <w:p w14:paraId="2B6DBD74" w14:textId="0FB163CB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At least one SR with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MA of </w:t>
            </w:r>
            <w:r w:rsidR="00120CCB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prospective 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studies available </w:t>
            </w:r>
          </w:p>
          <w:p w14:paraId="2C09D924" w14:textId="234E2B94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If more than one SR</w:t>
            </w:r>
            <w:r w:rsidR="00ED21F5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with or without MA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are available, the majority of </w:t>
            </w:r>
            <w:r w:rsidR="00B15A4A" w:rsidRPr="006460F8">
              <w:rPr>
                <w:rFonts w:ascii="Arial" w:hAnsi="Arial" w:cs="Arial"/>
                <w:sz w:val="20"/>
                <w:szCs w:val="20"/>
                <w:lang w:val="en-GB"/>
              </w:rPr>
              <w:t>overall</w:t>
            </w:r>
            <w:r w:rsidR="00D07098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results 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must be consistent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1</w:t>
            </w:r>
          </w:p>
          <w:p w14:paraId="10DC174B" w14:textId="77777777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In case of a positive or negative association, biological plausibility is given </w:t>
            </w:r>
          </w:p>
          <w:p w14:paraId="66764A39" w14:textId="43B41BA2" w:rsidR="001E1AB5" w:rsidRPr="006460F8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The majority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4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of included SRs with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MA must have reached at least a “moderate”</w:t>
            </w:r>
            <w:r w:rsidR="00C0635E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outcome-specific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certainty of evidence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2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; </w:t>
            </w:r>
            <w:r w:rsidR="00227AE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in addition 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all included SRs must reach at least   a methodological quality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3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of “moderate” </w:t>
            </w:r>
          </w:p>
        </w:tc>
        <w:tc>
          <w:tcPr>
            <w:tcW w:w="3048" w:type="dxa"/>
          </w:tcPr>
          <w:p w14:paraId="630A4C77" w14:textId="77777777" w:rsidR="001E1AB5" w:rsidRPr="006460F8" w:rsidRDefault="001E1AB5" w:rsidP="00B15A4A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There is moderate confidence in the effect estimate(s):</w:t>
            </w:r>
          </w:p>
          <w:p w14:paraId="1D245051" w14:textId="769E483A" w:rsidR="001E1AB5" w:rsidRPr="006460F8" w:rsidRDefault="001E1AB5" w:rsidP="00B15A4A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The true effect is likely to be close to the estimate of the effect, but there is a possibility tha</w:t>
            </w:r>
            <w:r w:rsidR="00227AE7"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t it is substantially different</w:t>
            </w:r>
          </w:p>
          <w:p w14:paraId="1529FA29" w14:textId="77777777" w:rsidR="001E1AB5" w:rsidRPr="006460F8" w:rsidRDefault="001E1AB5" w:rsidP="00B15A4A">
            <w:pPr>
              <w:pStyle w:val="ListParagraph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E1AB5" w:rsidRPr="006460F8" w14:paraId="4DC9E86F" w14:textId="77777777" w:rsidTr="00B15A4A">
        <w:tc>
          <w:tcPr>
            <w:tcW w:w="1413" w:type="dxa"/>
          </w:tcPr>
          <w:p w14:paraId="613CB125" w14:textId="77777777" w:rsidR="001E1AB5" w:rsidRPr="006460F8" w:rsidRDefault="001E1AB5" w:rsidP="00B15A4A">
            <w:pPr>
              <w:jc w:val="both"/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  <w:t>Possible</w:t>
            </w:r>
          </w:p>
        </w:tc>
        <w:tc>
          <w:tcPr>
            <w:tcW w:w="4601" w:type="dxa"/>
          </w:tcPr>
          <w:p w14:paraId="7064BA38" w14:textId="4E58B2C4" w:rsidR="001E1AB5" w:rsidRPr="006460F8" w:rsidRDefault="001E1AB5" w:rsidP="00B15A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At least one SR</w:t>
            </w:r>
            <w:r w:rsidR="009D6077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with or without MA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="00120CCB" w:rsidRPr="006460F8">
              <w:rPr>
                <w:rFonts w:ascii="Arial" w:hAnsi="Arial" w:cs="Arial"/>
                <w:sz w:val="20"/>
                <w:szCs w:val="20"/>
                <w:lang w:val="en-GB"/>
              </w:rPr>
              <w:t>prospective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studies available</w:t>
            </w:r>
          </w:p>
          <w:p w14:paraId="6348F81E" w14:textId="3BCEECA2" w:rsidR="001E1AB5" w:rsidRPr="006460F8" w:rsidRDefault="001E1AB5" w:rsidP="00B15A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If more than one SR with</w:t>
            </w:r>
            <w:r w:rsidR="00E94CDB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MA are available, the majority of </w:t>
            </w:r>
            <w:r w:rsidR="00B15A4A" w:rsidRPr="006460F8">
              <w:rPr>
                <w:rFonts w:ascii="Arial" w:hAnsi="Arial" w:cs="Arial"/>
                <w:sz w:val="20"/>
                <w:szCs w:val="20"/>
                <w:lang w:val="en-GB"/>
              </w:rPr>
              <w:t>overall</w:t>
            </w:r>
            <w:r w:rsidR="00D07098" w:rsidRPr="006460F8">
              <w:rPr>
                <w:rFonts w:ascii="Arial" w:hAnsi="Arial" w:cs="Arial"/>
                <w:sz w:val="20"/>
                <w:szCs w:val="20"/>
                <w:lang w:val="en-GB"/>
              </w:rPr>
              <w:t xml:space="preserve"> results </w:t>
            </w:r>
            <w:r w:rsidRPr="006460F8">
              <w:rPr>
                <w:rFonts w:ascii="Arial" w:hAnsi="Arial" w:cs="Arial"/>
                <w:sz w:val="20"/>
                <w:szCs w:val="20"/>
                <w:lang w:val="en-GB"/>
              </w:rPr>
              <w:t>must be consistent</w:t>
            </w:r>
            <w:r w:rsidR="009D6077" w:rsidRPr="006460F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6460F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1</w:t>
            </w:r>
          </w:p>
          <w:p w14:paraId="016387D2" w14:textId="77777777" w:rsidR="001E1AB5" w:rsidRPr="006460F8" w:rsidRDefault="001E1AB5" w:rsidP="00B15A4A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 case of a positive or negative association, biological plausibility is given</w:t>
            </w:r>
          </w:p>
          <w:p w14:paraId="625E2C7F" w14:textId="1F620B77" w:rsidR="001E1AB5" w:rsidRPr="006460F8" w:rsidRDefault="001E1AB5" w:rsidP="00B15A4A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The majority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4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of included SRs with</w:t>
            </w:r>
            <w:r w:rsidR="009D6077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MA must reach at least a “low” </w:t>
            </w:r>
            <w:r w:rsidR="00C0635E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outcome-specific 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certainty of evidence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2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; </w:t>
            </w:r>
            <w:r w:rsidR="009D6077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in addition 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the majority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4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of</w:t>
            </w:r>
            <w:r w:rsidR="00ED21F5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all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included SR</w:t>
            </w:r>
            <w:r w:rsidR="00ED21F5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must reach at least a methodological quality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3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of “moderate”</w:t>
            </w:r>
          </w:p>
        </w:tc>
        <w:tc>
          <w:tcPr>
            <w:tcW w:w="3048" w:type="dxa"/>
          </w:tcPr>
          <w:p w14:paraId="51DE0098" w14:textId="77777777" w:rsidR="001E1AB5" w:rsidRPr="006460F8" w:rsidRDefault="001E1AB5" w:rsidP="00B15A4A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 xml:space="preserve">Confidence in the effect estimate(s) is limited: </w:t>
            </w:r>
          </w:p>
          <w:p w14:paraId="4CC9A135" w14:textId="5EBE8ED6" w:rsidR="001E1AB5" w:rsidRPr="006460F8" w:rsidRDefault="001E1AB5" w:rsidP="00B15A4A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 xml:space="preserve">The true effect may be substantially different </w:t>
            </w:r>
            <w:r w:rsidR="00227AE7"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from the estimate of the effect</w:t>
            </w:r>
          </w:p>
          <w:p w14:paraId="6E3A4DDC" w14:textId="77777777" w:rsidR="001E1AB5" w:rsidRPr="006460F8" w:rsidRDefault="001E1AB5" w:rsidP="00B15A4A">
            <w:pPr>
              <w:pStyle w:val="ListParagraph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E1AB5" w:rsidRPr="006460F8" w14:paraId="34E43A1B" w14:textId="77777777" w:rsidTr="00B15A4A">
        <w:tc>
          <w:tcPr>
            <w:tcW w:w="1413" w:type="dxa"/>
          </w:tcPr>
          <w:p w14:paraId="55E6B95F" w14:textId="77777777" w:rsidR="001E1AB5" w:rsidRPr="006460F8" w:rsidRDefault="001E1AB5" w:rsidP="00B15A4A">
            <w:pPr>
              <w:jc w:val="both"/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bCs/>
                <w:sz w:val="20"/>
                <w:szCs w:val="20"/>
                <w:lang w:val="en-GB"/>
              </w:rPr>
              <w:t>Insufficient</w:t>
            </w:r>
          </w:p>
        </w:tc>
        <w:tc>
          <w:tcPr>
            <w:tcW w:w="4601" w:type="dxa"/>
          </w:tcPr>
          <w:p w14:paraId="0F62638E" w14:textId="10709377" w:rsidR="001E1AB5" w:rsidRPr="006460F8" w:rsidRDefault="001E1AB5" w:rsidP="00B15A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No SR</w:t>
            </w:r>
            <w:r w:rsidR="00C17563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is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available</w:t>
            </w:r>
          </w:p>
          <w:p w14:paraId="4C920398" w14:textId="77777777" w:rsidR="001E1AB5" w:rsidRPr="006460F8" w:rsidRDefault="001E1AB5" w:rsidP="00B15A4A">
            <w:pPr>
              <w:ind w:left="720"/>
              <w:jc w:val="both"/>
              <w:rPr>
                <w:rFonts w:ascii="Arial" w:hAnsi="Arial" w:cs="Arial"/>
                <w:b w:val="0"/>
                <w:i/>
                <w:iCs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i/>
                <w:iCs/>
                <w:sz w:val="20"/>
                <w:szCs w:val="20"/>
                <w:lang w:val="en-GB"/>
              </w:rPr>
              <w:t>OR</w:t>
            </w:r>
          </w:p>
          <w:p w14:paraId="18A0C33A" w14:textId="66693AB0" w:rsidR="001E1AB5" w:rsidRPr="006460F8" w:rsidRDefault="001E1AB5" w:rsidP="00B15A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The majority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4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of included SRs with</w:t>
            </w:r>
            <w:r w:rsidR="009D6077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or without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MA reach a “very low” </w:t>
            </w:r>
            <w:r w:rsidR="00C0635E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outcome-specific 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certainty of evidence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2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; </w:t>
            </w:r>
            <w:r w:rsidR="009D6077"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in addition 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the majority of all included SRs reach a methodological quality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val="en-GB"/>
              </w:rPr>
              <w:t>3</w:t>
            </w:r>
            <w:r w:rsidRPr="006460F8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of “low” </w:t>
            </w:r>
          </w:p>
        </w:tc>
        <w:tc>
          <w:tcPr>
            <w:tcW w:w="3048" w:type="dxa"/>
          </w:tcPr>
          <w:p w14:paraId="6A6E35D9" w14:textId="77777777" w:rsidR="001E1AB5" w:rsidRPr="006460F8" w:rsidRDefault="001E1AB5" w:rsidP="00B15A4A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There is very little confidence in the effect estimate (s):</w:t>
            </w:r>
          </w:p>
          <w:p w14:paraId="2114C55D" w14:textId="293D2924" w:rsidR="001E1AB5" w:rsidRPr="006460F8" w:rsidRDefault="001E1AB5" w:rsidP="00B15A4A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The true effect is likely to be substantially differe</w:t>
            </w:r>
            <w:r w:rsidR="00227AE7" w:rsidRPr="006460F8">
              <w:rPr>
                <w:rFonts w:ascii="Arial" w:hAnsi="Arial" w:cs="Arial"/>
                <w:b w:val="0"/>
                <w:color w:val="000000"/>
                <w:sz w:val="20"/>
                <w:szCs w:val="20"/>
                <w:lang w:val="en-GB"/>
              </w:rPr>
              <w:t>nt from the estimate of effect</w:t>
            </w:r>
          </w:p>
        </w:tc>
      </w:tr>
    </w:tbl>
    <w:p w14:paraId="3295F5ED" w14:textId="5981BA54" w:rsidR="00F17554" w:rsidRPr="006460F8" w:rsidRDefault="00F17554" w:rsidP="00F17554">
      <w:pPr>
        <w:jc w:val="both"/>
        <w:rPr>
          <w:rFonts w:cs="Arial"/>
          <w:b/>
          <w:color w:val="000000" w:themeColor="text1"/>
          <w:kern w:val="24"/>
          <w:sz w:val="20"/>
          <w:szCs w:val="20"/>
          <w:lang w:val="en-GB"/>
        </w:rPr>
      </w:pPr>
      <w:r w:rsidRPr="006460F8">
        <w:rPr>
          <w:rFonts w:cs="Arial"/>
          <w:color w:val="000000" w:themeColor="text1"/>
          <w:kern w:val="24"/>
          <w:position w:val="7"/>
          <w:sz w:val="20"/>
          <w:szCs w:val="20"/>
          <w:vertAlign w:val="superscript"/>
          <w:lang w:val="en-GB"/>
        </w:rPr>
        <w:t xml:space="preserve">1 </w:t>
      </w:r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Consistent = </w:t>
      </w:r>
      <w:r w:rsidR="00B15A4A"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overall</w:t>
      </w:r>
      <w:r w:rsidR="00120CCB"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 results</w:t>
      </w:r>
      <w:r w:rsidR="005836A1"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 </w:t>
      </w:r>
      <w:r w:rsidR="00D15012"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of the SR</w:t>
      </w:r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 have to be consistently either risk reducing or risk elevating or consistently showing no risk association</w:t>
      </w:r>
    </w:p>
    <w:p w14:paraId="3E084FF4" w14:textId="77777777" w:rsidR="00F17554" w:rsidRPr="006460F8" w:rsidRDefault="00F17554" w:rsidP="00F17554">
      <w:pPr>
        <w:jc w:val="both"/>
        <w:rPr>
          <w:rFonts w:cs="Arial"/>
          <w:b/>
          <w:color w:val="000000" w:themeColor="text1"/>
          <w:kern w:val="24"/>
          <w:sz w:val="20"/>
          <w:szCs w:val="20"/>
          <w:lang w:val="en-GB"/>
        </w:rPr>
      </w:pPr>
      <w:r w:rsidRPr="006460F8">
        <w:rPr>
          <w:rFonts w:cs="Arial"/>
          <w:color w:val="000000" w:themeColor="text1"/>
          <w:kern w:val="24"/>
          <w:sz w:val="20"/>
          <w:szCs w:val="20"/>
          <w:vertAlign w:val="superscript"/>
          <w:lang w:val="en-GB"/>
        </w:rPr>
        <w:t xml:space="preserve">2 </w:t>
      </w:r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Outcome-specific certainty of evidence refers to the </w:t>
      </w:r>
      <w:proofErr w:type="spellStart"/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NutriGrade</w:t>
      </w:r>
      <w:proofErr w:type="spellEnd"/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 rating</w:t>
      </w:r>
    </w:p>
    <w:p w14:paraId="5FF008B9" w14:textId="3AC680B3" w:rsidR="00F17554" w:rsidRPr="006460F8" w:rsidRDefault="00F17554" w:rsidP="00F17554">
      <w:pPr>
        <w:jc w:val="both"/>
        <w:rPr>
          <w:rFonts w:cs="Arial"/>
          <w:b/>
          <w:color w:val="000000" w:themeColor="text1"/>
          <w:kern w:val="24"/>
          <w:sz w:val="20"/>
          <w:szCs w:val="20"/>
          <w:lang w:val="en-GB"/>
        </w:rPr>
      </w:pPr>
      <w:r w:rsidRPr="006460F8">
        <w:rPr>
          <w:rFonts w:cs="Arial"/>
          <w:color w:val="000000" w:themeColor="text1"/>
          <w:kern w:val="24"/>
          <w:sz w:val="20"/>
          <w:szCs w:val="20"/>
          <w:vertAlign w:val="superscript"/>
          <w:lang w:val="en-GB"/>
        </w:rPr>
        <w:t xml:space="preserve">3 </w:t>
      </w:r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Methodological quality refers the AMSTAR 2 rating</w:t>
      </w:r>
      <w:r w:rsidR="006D106E" w:rsidRPr="006460F8">
        <w:rPr>
          <w:rFonts w:cs="Arial"/>
          <w:b/>
          <w:color w:val="000000" w:themeColor="text1"/>
          <w:kern w:val="24"/>
          <w:sz w:val="20"/>
          <w:szCs w:val="20"/>
          <w:lang w:val="en-GB"/>
        </w:rPr>
        <w:t xml:space="preserve">; </w:t>
      </w:r>
      <w:r w:rsidR="006D106E"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SRs graded as “critically low” by AMSTAR 2 are not considered.</w:t>
      </w:r>
    </w:p>
    <w:p w14:paraId="168B8D2E" w14:textId="77777777" w:rsidR="00F17554" w:rsidRPr="006460F8" w:rsidRDefault="00F17554" w:rsidP="00F17554">
      <w:pPr>
        <w:jc w:val="both"/>
        <w:rPr>
          <w:rFonts w:cs="Arial"/>
          <w:b/>
          <w:color w:val="000000" w:themeColor="text1"/>
          <w:kern w:val="24"/>
          <w:sz w:val="20"/>
          <w:szCs w:val="20"/>
          <w:lang w:val="en-GB"/>
        </w:rPr>
      </w:pPr>
      <w:r w:rsidRPr="006460F8">
        <w:rPr>
          <w:rFonts w:cs="Arial"/>
          <w:color w:val="000000" w:themeColor="text1"/>
          <w:kern w:val="24"/>
          <w:sz w:val="20"/>
          <w:szCs w:val="20"/>
          <w:vertAlign w:val="superscript"/>
          <w:lang w:val="en-GB"/>
        </w:rPr>
        <w:t xml:space="preserve">4 </w:t>
      </w:r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Majority: &gt; 50 % of the included SRs</w:t>
      </w:r>
    </w:p>
    <w:p w14:paraId="4BB41ED6" w14:textId="1C38F3BE" w:rsidR="001E1AB5" w:rsidRPr="006460F8" w:rsidRDefault="00355187" w:rsidP="00B15A4A">
      <w:pPr>
        <w:jc w:val="both"/>
        <w:rPr>
          <w:rFonts w:cs="Arial"/>
          <w:color w:val="000000" w:themeColor="text1"/>
          <w:kern w:val="24"/>
          <w:sz w:val="20"/>
          <w:szCs w:val="20"/>
          <w:lang w:val="en-GB"/>
        </w:rPr>
      </w:pPr>
      <w:r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 xml:space="preserve">Abbreviations: </w:t>
      </w:r>
      <w:r w:rsidR="00F17554" w:rsidRPr="006460F8">
        <w:rPr>
          <w:rFonts w:cs="Arial"/>
          <w:color w:val="000000" w:themeColor="text1"/>
          <w:kern w:val="24"/>
          <w:sz w:val="20"/>
          <w:szCs w:val="20"/>
          <w:lang w:val="en-GB"/>
        </w:rPr>
        <w:t>MA: meta-analysis; SR: systematic review</w:t>
      </w:r>
    </w:p>
    <w:p w14:paraId="300B1CF4" w14:textId="3C19B908" w:rsidR="0007337D" w:rsidRPr="006460F8" w:rsidRDefault="0007337D" w:rsidP="00B15A4A">
      <w:pPr>
        <w:jc w:val="both"/>
        <w:rPr>
          <w:rFonts w:cs="Arial"/>
          <w:color w:val="000000" w:themeColor="text1"/>
          <w:kern w:val="24"/>
          <w:sz w:val="20"/>
          <w:szCs w:val="20"/>
          <w:lang w:val="en-GB"/>
        </w:rPr>
      </w:pPr>
    </w:p>
    <w:p w14:paraId="30DE333A" w14:textId="77777777" w:rsidR="0007337D" w:rsidRPr="006460F8" w:rsidRDefault="0007337D" w:rsidP="00B15A4A">
      <w:pPr>
        <w:jc w:val="both"/>
        <w:rPr>
          <w:rFonts w:cs="Arial"/>
          <w:b/>
          <w:sz w:val="24"/>
          <w:szCs w:val="20"/>
          <w:lang w:val="en-GB"/>
        </w:rPr>
      </w:pPr>
    </w:p>
    <w:p w14:paraId="18C789E9" w14:textId="77777777" w:rsidR="0007337D" w:rsidRPr="006460F8" w:rsidRDefault="0007337D" w:rsidP="00B15A4A">
      <w:pPr>
        <w:jc w:val="both"/>
        <w:rPr>
          <w:rFonts w:cs="Arial"/>
          <w:b/>
          <w:sz w:val="24"/>
          <w:szCs w:val="20"/>
          <w:lang w:val="en-GB"/>
        </w:rPr>
      </w:pPr>
    </w:p>
    <w:p w14:paraId="41DC4245" w14:textId="575FFF07" w:rsidR="0007337D" w:rsidRPr="006460F8" w:rsidRDefault="0007337D" w:rsidP="00B15A4A">
      <w:pPr>
        <w:jc w:val="both"/>
        <w:rPr>
          <w:rFonts w:cs="Arial"/>
          <w:b/>
          <w:sz w:val="24"/>
          <w:szCs w:val="20"/>
          <w:lang w:val="en-GB"/>
        </w:rPr>
      </w:pPr>
      <w:r w:rsidRPr="006460F8">
        <w:rPr>
          <w:rFonts w:cs="Arial"/>
          <w:b/>
          <w:sz w:val="24"/>
          <w:szCs w:val="20"/>
          <w:lang w:val="en-GB"/>
        </w:rPr>
        <w:t>References</w:t>
      </w:r>
    </w:p>
    <w:p w14:paraId="2E26040F" w14:textId="037671A5" w:rsidR="0007337D" w:rsidRPr="006460F8" w:rsidRDefault="0007337D" w:rsidP="00B15A4A">
      <w:pPr>
        <w:jc w:val="both"/>
        <w:rPr>
          <w:rFonts w:cs="Arial"/>
          <w:b/>
          <w:sz w:val="24"/>
          <w:szCs w:val="20"/>
          <w:lang w:val="en-GB"/>
        </w:rPr>
      </w:pPr>
    </w:p>
    <w:p w14:paraId="7FF97DD7" w14:textId="65794482" w:rsidR="0007337D" w:rsidRPr="006460F8" w:rsidRDefault="0007337D" w:rsidP="000A5C68">
      <w:pPr>
        <w:ind w:left="284" w:hanging="284"/>
        <w:jc w:val="both"/>
        <w:rPr>
          <w:rFonts w:cs="Arial"/>
          <w:sz w:val="20"/>
          <w:szCs w:val="22"/>
          <w:lang w:val="en-GB"/>
        </w:rPr>
      </w:pPr>
      <w:r w:rsidRPr="006460F8">
        <w:rPr>
          <w:rFonts w:cs="Arial"/>
          <w:sz w:val="20"/>
          <w:szCs w:val="22"/>
          <w:lang w:val="en-GB"/>
        </w:rPr>
        <w:t>1</w:t>
      </w:r>
      <w:r w:rsidR="000A5C68" w:rsidRPr="006460F8">
        <w:rPr>
          <w:rFonts w:cs="Arial"/>
          <w:sz w:val="20"/>
          <w:szCs w:val="22"/>
          <w:lang w:val="en-GB"/>
        </w:rPr>
        <w:tab/>
      </w:r>
      <w:r w:rsidRPr="006460F8">
        <w:rPr>
          <w:rFonts w:cs="Arial"/>
          <w:sz w:val="20"/>
          <w:szCs w:val="22"/>
          <w:lang w:val="en-GB"/>
        </w:rPr>
        <w:t>Alonso-</w:t>
      </w:r>
      <w:proofErr w:type="spellStart"/>
      <w:r w:rsidRPr="006460F8">
        <w:rPr>
          <w:rFonts w:cs="Arial"/>
          <w:sz w:val="20"/>
          <w:szCs w:val="22"/>
          <w:lang w:val="en-GB"/>
        </w:rPr>
        <w:t>Coello</w:t>
      </w:r>
      <w:proofErr w:type="spellEnd"/>
      <w:r w:rsidRPr="006460F8">
        <w:rPr>
          <w:rFonts w:cs="Arial"/>
          <w:sz w:val="20"/>
          <w:szCs w:val="22"/>
          <w:lang w:val="en-GB"/>
        </w:rPr>
        <w:t xml:space="preserve"> P, </w:t>
      </w:r>
      <w:proofErr w:type="spellStart"/>
      <w:r w:rsidRPr="006460F8">
        <w:rPr>
          <w:rFonts w:cs="Arial"/>
          <w:sz w:val="20"/>
          <w:szCs w:val="22"/>
          <w:lang w:val="en-GB"/>
        </w:rPr>
        <w:t>Schünemann</w:t>
      </w:r>
      <w:proofErr w:type="spellEnd"/>
      <w:r w:rsidRPr="006460F8">
        <w:rPr>
          <w:rFonts w:cs="Arial"/>
          <w:sz w:val="20"/>
          <w:szCs w:val="22"/>
          <w:lang w:val="en-GB"/>
        </w:rPr>
        <w:t xml:space="preserve"> HJ, </w:t>
      </w:r>
      <w:proofErr w:type="spellStart"/>
      <w:r w:rsidRPr="006460F8">
        <w:rPr>
          <w:rFonts w:cs="Arial"/>
          <w:sz w:val="20"/>
          <w:szCs w:val="22"/>
          <w:lang w:val="en-GB"/>
        </w:rPr>
        <w:t>Moberg</w:t>
      </w:r>
      <w:proofErr w:type="spellEnd"/>
      <w:r w:rsidRPr="006460F8">
        <w:rPr>
          <w:rFonts w:cs="Arial"/>
          <w:sz w:val="20"/>
          <w:szCs w:val="22"/>
          <w:lang w:val="en-GB"/>
        </w:rPr>
        <w:t xml:space="preserve"> J et al. (2016) GRADE Evidence to Decision (</w:t>
      </w:r>
      <w:proofErr w:type="spellStart"/>
      <w:r w:rsidRPr="006460F8">
        <w:rPr>
          <w:rFonts w:cs="Arial"/>
          <w:sz w:val="20"/>
          <w:szCs w:val="22"/>
          <w:lang w:val="en-GB"/>
        </w:rPr>
        <w:t>EtD</w:t>
      </w:r>
      <w:proofErr w:type="spellEnd"/>
      <w:r w:rsidRPr="006460F8">
        <w:rPr>
          <w:rFonts w:cs="Arial"/>
          <w:sz w:val="20"/>
          <w:szCs w:val="22"/>
          <w:lang w:val="en-GB"/>
        </w:rPr>
        <w:t xml:space="preserve">) frameworks: a systematic and transparent approach to making well informed healthcare choices. 1: Introduction. BMJ 353:i2016. </w:t>
      </w:r>
      <w:proofErr w:type="spellStart"/>
      <w:r w:rsidRPr="006460F8">
        <w:rPr>
          <w:rFonts w:cs="Arial"/>
          <w:sz w:val="20"/>
          <w:szCs w:val="22"/>
          <w:lang w:val="en-GB"/>
        </w:rPr>
        <w:t>doi</w:t>
      </w:r>
      <w:proofErr w:type="spellEnd"/>
      <w:r w:rsidRPr="006460F8">
        <w:rPr>
          <w:rFonts w:cs="Arial"/>
          <w:sz w:val="20"/>
          <w:szCs w:val="22"/>
          <w:lang w:val="en-GB"/>
        </w:rPr>
        <w:t>: 10.1136/bmj.i2016</w:t>
      </w:r>
    </w:p>
    <w:p w14:paraId="1EA934F8" w14:textId="77777777" w:rsidR="0007337D" w:rsidRPr="006460F8" w:rsidRDefault="0007337D" w:rsidP="00B15A4A">
      <w:pPr>
        <w:jc w:val="both"/>
        <w:rPr>
          <w:rFonts w:asciiTheme="minorHAnsi" w:hAnsiTheme="minorHAnsi" w:cstheme="minorHAnsi"/>
          <w:szCs w:val="22"/>
          <w:lang w:val="en-GB"/>
        </w:rPr>
      </w:pPr>
    </w:p>
    <w:p w14:paraId="71F27146" w14:textId="3364E1E8" w:rsidR="0007337D" w:rsidRPr="0007337D" w:rsidRDefault="000A5C68" w:rsidP="000A5C68">
      <w:pPr>
        <w:ind w:left="284" w:hanging="284"/>
        <w:jc w:val="both"/>
        <w:rPr>
          <w:rFonts w:cs="Arial"/>
          <w:b/>
          <w:sz w:val="20"/>
          <w:szCs w:val="20"/>
          <w:lang w:val="en-GB"/>
        </w:rPr>
      </w:pPr>
      <w:r w:rsidRPr="006460F8">
        <w:rPr>
          <w:rFonts w:cs="Arial"/>
          <w:sz w:val="20"/>
          <w:szCs w:val="22"/>
          <w:lang w:val="en-GB"/>
        </w:rPr>
        <w:t>2</w:t>
      </w:r>
      <w:r w:rsidRPr="006460F8">
        <w:rPr>
          <w:rFonts w:cs="Arial"/>
          <w:sz w:val="20"/>
          <w:szCs w:val="22"/>
          <w:lang w:val="en-GB"/>
        </w:rPr>
        <w:tab/>
      </w:r>
      <w:r w:rsidR="0007337D" w:rsidRPr="006460F8">
        <w:rPr>
          <w:rFonts w:cs="Arial"/>
          <w:sz w:val="20"/>
          <w:szCs w:val="22"/>
          <w:lang w:val="en-GB"/>
        </w:rPr>
        <w:t xml:space="preserve">Kroke A, Schmidt A, Amini AM, Kalotai N, Lehmann A, Bauer JM, Bischoff-Ferrari HA, Boeing H,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Egert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S,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Ellinger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S,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Kühn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T, Louis S,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Lorkowski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S,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Nimptsch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K, Remer T, Schulze MB, Siener R,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Stangl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GI,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Volkert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D,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Zittermann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A,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Buykens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AE,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Watzl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B,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Schwingshackl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L: Dietary protein intake and health-related outcomes: a methodological approach for the evidence-based guideline of the German Nutrition Society.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Eur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J </w:t>
      </w:r>
      <w:proofErr w:type="spellStart"/>
      <w:r w:rsidR="0007337D" w:rsidRPr="006460F8">
        <w:rPr>
          <w:rFonts w:cs="Arial"/>
          <w:sz w:val="20"/>
          <w:szCs w:val="22"/>
          <w:lang w:val="en-GB"/>
        </w:rPr>
        <w:t>Nutr</w:t>
      </w:r>
      <w:proofErr w:type="spellEnd"/>
      <w:r w:rsidR="0007337D" w:rsidRPr="006460F8">
        <w:rPr>
          <w:rFonts w:cs="Arial"/>
          <w:sz w:val="20"/>
          <w:szCs w:val="22"/>
          <w:lang w:val="en-GB"/>
        </w:rPr>
        <w:t xml:space="preserve"> 2022 doi:10.1007/s00394-021-02789-5</w:t>
      </w:r>
      <w:bookmarkStart w:id="0" w:name="_GoBack"/>
      <w:bookmarkEnd w:id="0"/>
    </w:p>
    <w:sectPr w:rsidR="0007337D" w:rsidRPr="0007337D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E5E97"/>
    <w:multiLevelType w:val="hybridMultilevel"/>
    <w:tmpl w:val="20E657A8"/>
    <w:lvl w:ilvl="0" w:tplc="1F5EE43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8D354F"/>
    <w:multiLevelType w:val="hybridMultilevel"/>
    <w:tmpl w:val="C36A7378"/>
    <w:lvl w:ilvl="0" w:tplc="2EEC90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DE005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71203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E6EF7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B0C1B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D7EBA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AA4F2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BE5F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410FB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7CC971D2"/>
    <w:multiLevelType w:val="hybridMultilevel"/>
    <w:tmpl w:val="CFF0DC60"/>
    <w:lvl w:ilvl="0" w:tplc="0AE432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EC6A11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494030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88CC4F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CC0B3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ECCB1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50A0B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140E6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E680E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B5"/>
    <w:rsid w:val="0007337D"/>
    <w:rsid w:val="000A34CF"/>
    <w:rsid w:val="000A5C68"/>
    <w:rsid w:val="00120CCB"/>
    <w:rsid w:val="0018753E"/>
    <w:rsid w:val="001E1AB5"/>
    <w:rsid w:val="00226766"/>
    <w:rsid w:val="00227AE7"/>
    <w:rsid w:val="0024253F"/>
    <w:rsid w:val="002643EC"/>
    <w:rsid w:val="002A7279"/>
    <w:rsid w:val="00355187"/>
    <w:rsid w:val="003A3B44"/>
    <w:rsid w:val="00486209"/>
    <w:rsid w:val="005836A1"/>
    <w:rsid w:val="005E5AA4"/>
    <w:rsid w:val="005F4A52"/>
    <w:rsid w:val="0061659E"/>
    <w:rsid w:val="006210D1"/>
    <w:rsid w:val="006460F8"/>
    <w:rsid w:val="00690102"/>
    <w:rsid w:val="006D106E"/>
    <w:rsid w:val="008753E7"/>
    <w:rsid w:val="008A0FD6"/>
    <w:rsid w:val="008D400B"/>
    <w:rsid w:val="009155B1"/>
    <w:rsid w:val="0097595D"/>
    <w:rsid w:val="009A5D8B"/>
    <w:rsid w:val="009D6077"/>
    <w:rsid w:val="00A323B1"/>
    <w:rsid w:val="00A57188"/>
    <w:rsid w:val="00AE3A53"/>
    <w:rsid w:val="00AF4F98"/>
    <w:rsid w:val="00B15A4A"/>
    <w:rsid w:val="00BA38D6"/>
    <w:rsid w:val="00C0635E"/>
    <w:rsid w:val="00C17563"/>
    <w:rsid w:val="00C364C3"/>
    <w:rsid w:val="00CD7BD0"/>
    <w:rsid w:val="00CE5C5F"/>
    <w:rsid w:val="00CF2D5D"/>
    <w:rsid w:val="00D07098"/>
    <w:rsid w:val="00D15012"/>
    <w:rsid w:val="00D2410E"/>
    <w:rsid w:val="00DC7FF3"/>
    <w:rsid w:val="00DF7140"/>
    <w:rsid w:val="00E64482"/>
    <w:rsid w:val="00E94CDB"/>
    <w:rsid w:val="00E97D88"/>
    <w:rsid w:val="00ED21F5"/>
    <w:rsid w:val="00F1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27EE7"/>
  <w15:chartTrackingRefBased/>
  <w15:docId w15:val="{AC38D831-0E9D-4B00-9D81-4EDEAB91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AB5"/>
    <w:rPr>
      <w:rFonts w:asciiTheme="minorHAnsi" w:hAnsiTheme="minorHAnsi"/>
      <w:b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1AB5"/>
    <w:pPr>
      <w:spacing w:after="160" w:line="259" w:lineRule="auto"/>
      <w:ind w:left="720"/>
      <w:contextualSpacing/>
    </w:pPr>
    <w:rPr>
      <w:rFonts w:asciiTheme="minorHAnsi" w:hAnsiTheme="minorHAnsi"/>
      <w:b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0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06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0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C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C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C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E433E-C24A-43AB-832E-D6F7A426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3178</Characters>
  <Application>Microsoft Office Word</Application>
  <DocSecurity>0</DocSecurity>
  <Lines>122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Annemarie</dc:creator>
  <cp:keywords/>
  <dc:description/>
  <cp:lastModifiedBy>Suganya R.</cp:lastModifiedBy>
  <cp:revision>4</cp:revision>
  <dcterms:created xsi:type="dcterms:W3CDTF">2023-11-03T07:48:00Z</dcterms:created>
  <dcterms:modified xsi:type="dcterms:W3CDTF">2024-02-12T13:09:00Z</dcterms:modified>
</cp:coreProperties>
</file>