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9B" w:rsidRDefault="00C9489B" w:rsidP="00C9489B">
      <w:pPr>
        <w:pStyle w:val="Heading1"/>
        <w:rPr>
          <w:rFonts w:eastAsia="SimSun"/>
          <w:color w:val="000000" w:themeColor="text1"/>
        </w:rPr>
      </w:pPr>
      <w:r>
        <w:rPr>
          <w:rFonts w:eastAsia="SimSun"/>
          <w:color w:val="000000" w:themeColor="text1"/>
        </w:rPr>
        <w:t>Supplementary Material</w:t>
      </w:r>
    </w:p>
    <w:p w:rsidR="00C9489B" w:rsidRDefault="00C9489B" w:rsidP="00C9489B">
      <w:pPr>
        <w:rPr>
          <w:color w:val="000000" w:themeColor="text1"/>
        </w:rPr>
      </w:pPr>
      <w:bookmarkStart w:id="0" w:name="_GoBack"/>
      <w:r>
        <w:rPr>
          <w:noProof/>
          <w:color w:val="000000" w:themeColor="text1"/>
        </w:rPr>
        <w:drawing>
          <wp:inline distT="0" distB="0" distL="0" distR="0">
            <wp:extent cx="5947410" cy="3715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9489B" w:rsidRDefault="00C9489B" w:rsidP="00C9489B">
      <w:pPr>
        <w:spacing w:line="480" w:lineRule="auto"/>
        <w:rPr>
          <w:color w:val="000000" w:themeColor="text1"/>
          <w:sz w:val="24"/>
        </w:rPr>
      </w:pPr>
      <w:proofErr w:type="gramStart"/>
      <w:r>
        <w:rPr>
          <w:b/>
          <w:color w:val="000000" w:themeColor="text1"/>
          <w:sz w:val="24"/>
        </w:rPr>
        <w:t>Supplementary Figure S1.</w:t>
      </w:r>
      <w:proofErr w:type="gramEnd"/>
      <w:r>
        <w:rPr>
          <w:color w:val="000000" w:themeColor="text1"/>
          <w:sz w:val="24"/>
        </w:rPr>
        <w:t xml:space="preserve"> </w:t>
      </w:r>
      <w:proofErr w:type="gramStart"/>
      <w:r>
        <w:rPr>
          <w:color w:val="000000" w:themeColor="text1"/>
          <w:sz w:val="24"/>
        </w:rPr>
        <w:t>Spatial description of selected explanatory variables</w:t>
      </w:r>
      <w:r>
        <w:rPr>
          <w:color w:val="000000" w:themeColor="text1"/>
          <w:sz w:val="24"/>
          <w:szCs w:val="24"/>
        </w:rPr>
        <w:t>.</w:t>
      </w:r>
      <w:proofErr w:type="gramEnd"/>
    </w:p>
    <w:p w:rsidR="00C9489B" w:rsidRDefault="00C9489B" w:rsidP="00C9489B">
      <w:pPr>
        <w:spacing w:line="480" w:lineRule="auto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r>
        <w:rPr>
          <w:noProof/>
          <w:color w:val="000000" w:themeColor="text1"/>
          <w:sz w:val="24"/>
        </w:rPr>
        <w:drawing>
          <wp:inline distT="0" distB="0" distL="0" distR="0">
            <wp:extent cx="5947410" cy="3962400"/>
            <wp:effectExtent l="0" t="0" r="0" b="0"/>
            <wp:docPr id="2" name="Picture 2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  <w:szCs w:val="24"/>
        </w:rPr>
      </w:pPr>
      <w:proofErr w:type="gramStart"/>
      <w:r>
        <w:rPr>
          <w:b/>
          <w:color w:val="000000" w:themeColor="text1"/>
          <w:sz w:val="24"/>
        </w:rPr>
        <w:t>Supplementary Figure S2.</w:t>
      </w:r>
      <w:proofErr w:type="gramEnd"/>
      <w:r>
        <w:rPr>
          <w:color w:val="000000" w:themeColor="text1"/>
          <w:sz w:val="24"/>
        </w:rPr>
        <w:t xml:space="preserve"> </w:t>
      </w:r>
      <w:proofErr w:type="gramStart"/>
      <w:r>
        <w:rPr>
          <w:color w:val="000000" w:themeColor="text1"/>
          <w:sz w:val="24"/>
        </w:rPr>
        <w:t>Correlation matrix of selected predictors</w:t>
      </w:r>
      <w:r>
        <w:rPr>
          <w:color w:val="000000" w:themeColor="text1"/>
          <w:sz w:val="24"/>
          <w:szCs w:val="24"/>
        </w:rPr>
        <w:t>.</w:t>
      </w:r>
      <w:proofErr w:type="gramEnd"/>
    </w:p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</w:rPr>
      </w:pPr>
    </w:p>
    <w:p w:rsidR="00C9489B" w:rsidRDefault="00C9489B" w:rsidP="00C9489B">
      <w:pPr>
        <w:pStyle w:val="body"/>
        <w:rPr>
          <w:color w:val="000000" w:themeColor="text1"/>
        </w:rPr>
      </w:pPr>
      <w:r>
        <w:rPr>
          <w:color w:val="000000" w:themeColor="text1"/>
        </w:rPr>
        <w:t xml:space="preserve">Figure 8 shows the association between the age-standardized incidence (cases per 100,000 inhabitants) and the percentage of the population with an OIC migrant background across all PLRs with different social status levels. </w:t>
      </w:r>
      <w:r>
        <w:rPr>
          <w:color w:val="000000" w:themeColor="text1"/>
          <w:lang w:val="de-DE"/>
        </w:rPr>
        <w:t xml:space="preserve">The social status level of each PLR was evaluated using the Berlin Monitoring Soziale Stadtentwicklung program (Senatsverwaltung für Stadtentwicklung und Wohnen Berlin, 2021). </w:t>
      </w:r>
      <w:r>
        <w:rPr>
          <w:color w:val="000000" w:themeColor="text1"/>
        </w:rPr>
        <w:t xml:space="preserve">After the effects of the other strong predictor—age—were adjusted, an obvious correlation remained between COVID-19 incidence and the OIC migrant minority groups. We also found that the PLRs with the lowest social status were more likely to have a higher proportion of OIC </w:t>
      </w:r>
    </w:p>
    <w:p w:rsidR="00C9489B" w:rsidRDefault="00C9489B" w:rsidP="00C9489B">
      <w:pPr>
        <w:pStyle w:val="body"/>
        <w:ind w:firstLine="0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947410" cy="3715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Figure S3</w:t>
      </w:r>
      <w:r>
        <w:rPr>
          <w:b/>
          <w:bCs/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</w:rPr>
        <w:t xml:space="preserve"> Age-standardized incidence (cases per </w:t>
      </w:r>
      <w:r>
        <w:rPr>
          <w:color w:val="000000" w:themeColor="text1"/>
          <w:sz w:val="24"/>
          <w:szCs w:val="24"/>
        </w:rPr>
        <w:t>100,000</w:t>
      </w:r>
      <w:r>
        <w:rPr>
          <w:color w:val="000000" w:themeColor="text1"/>
          <w:sz w:val="24"/>
        </w:rPr>
        <w:t xml:space="preserve"> inhabitants) for </w:t>
      </w:r>
      <w:r>
        <w:rPr>
          <w:color w:val="000000" w:themeColor="text1"/>
          <w:sz w:val="24"/>
          <w:szCs w:val="24"/>
        </w:rPr>
        <w:t xml:space="preserve">the </w:t>
      </w:r>
      <w:r>
        <w:rPr>
          <w:color w:val="000000" w:themeColor="text1"/>
          <w:sz w:val="24"/>
        </w:rPr>
        <w:t xml:space="preserve">all- periods </w:t>
      </w:r>
      <w:r>
        <w:rPr>
          <w:color w:val="000000" w:themeColor="text1"/>
          <w:sz w:val="24"/>
          <w:szCs w:val="24"/>
        </w:rPr>
        <w:t>versus the percentage</w:t>
      </w:r>
      <w:r>
        <w:rPr>
          <w:color w:val="000000" w:themeColor="text1"/>
          <w:sz w:val="24"/>
        </w:rPr>
        <w:t xml:space="preserve"> of </w:t>
      </w:r>
      <w:r>
        <w:rPr>
          <w:color w:val="000000" w:themeColor="text1"/>
          <w:sz w:val="24"/>
          <w:szCs w:val="24"/>
        </w:rPr>
        <w:t xml:space="preserve">the </w:t>
      </w:r>
      <w:r>
        <w:rPr>
          <w:color w:val="000000" w:themeColor="text1"/>
          <w:sz w:val="24"/>
        </w:rPr>
        <w:t>population with OIC</w:t>
      </w:r>
      <w:r>
        <w:rPr>
          <w:color w:val="000000" w:themeColor="text1"/>
          <w:sz w:val="24"/>
          <w:szCs w:val="24"/>
        </w:rPr>
        <w:t xml:space="preserve"> migrant backgrounds (RR</w:t>
      </w:r>
      <w:proofErr w:type="gramStart"/>
      <w:r>
        <w:rPr>
          <w:color w:val="000000" w:themeColor="text1"/>
          <w:sz w:val="24"/>
          <w:szCs w:val="24"/>
        </w:rPr>
        <w:t>:1.009</w:t>
      </w:r>
      <w:proofErr w:type="gramEnd"/>
      <w:r>
        <w:rPr>
          <w:color w:val="000000" w:themeColor="text1"/>
          <w:sz w:val="24"/>
          <w:szCs w:val="24"/>
        </w:rPr>
        <w:t xml:space="preserve">, 95% CI [1.002,1.012]). </w:t>
      </w:r>
      <w:r>
        <w:rPr>
          <w:color w:val="000000" w:themeColor="text1"/>
          <w:sz w:val="24"/>
          <w:szCs w:val="24"/>
          <w:lang w:val="de-DE"/>
        </w:rPr>
        <w:t>PLRs are</w:t>
      </w:r>
      <w:r>
        <w:rPr>
          <w:color w:val="000000" w:themeColor="text1"/>
          <w:sz w:val="24"/>
          <w:lang w:val="de-DE"/>
        </w:rPr>
        <w:t xml:space="preserve"> categorized by social status level</w:t>
      </w:r>
      <w:r>
        <w:rPr>
          <w:color w:val="000000" w:themeColor="text1"/>
          <w:sz w:val="24"/>
          <w:szCs w:val="24"/>
          <w:lang w:val="de-DE"/>
        </w:rPr>
        <w:t>,</w:t>
      </w:r>
      <w:r>
        <w:rPr>
          <w:color w:val="000000" w:themeColor="text1"/>
          <w:sz w:val="24"/>
          <w:lang w:val="de-DE"/>
        </w:rPr>
        <w:t xml:space="preserve"> according to the Monitoring Soziale Stadtentwicklung 2021</w:t>
      </w:r>
      <w:sdt>
        <w:sdtPr>
          <w:rPr>
            <w:color w:val="000000" w:themeColor="text1"/>
            <w:sz w:val="24"/>
          </w:rPr>
          <w:tag w:val="MENDELEY_CITATION_v3_eyJjaXRhdGlvbklEIjoiTUVOREVMRVlfQ0lUQVRJT05"/>
          <w:id w:val="-1294747489"/>
          <w:placeholder>
            <w:docPart w:val="AD8CED06EE2848E381510A87F156E0D9"/>
          </w:placeholder>
        </w:sdtPr>
        <w:sdtContent>
          <w:r>
            <w:rPr>
              <w:color w:val="000000" w:themeColor="text1"/>
              <w:sz w:val="24"/>
              <w:lang w:val="de-DE"/>
            </w:rPr>
            <w:t>(Senatsverwaltung für Stadtentwicklung und Wohnen Berlin, 2021)</w:t>
          </w:r>
        </w:sdtContent>
      </w:sdt>
      <w:r>
        <w:rPr>
          <w:color w:val="000000" w:themeColor="text1"/>
          <w:sz w:val="24"/>
          <w:lang w:val="de-DE"/>
        </w:rPr>
        <w:t xml:space="preserve">. </w:t>
      </w:r>
      <w:r>
        <w:rPr>
          <w:color w:val="000000" w:themeColor="text1"/>
          <w:sz w:val="24"/>
        </w:rPr>
        <w:t>The social status levels range</w:t>
      </w:r>
      <w:r>
        <w:rPr>
          <w:color w:val="000000" w:themeColor="text1"/>
          <w:sz w:val="24"/>
          <w:szCs w:val="24"/>
        </w:rPr>
        <w:t>d</w:t>
      </w:r>
      <w:r>
        <w:rPr>
          <w:color w:val="000000" w:themeColor="text1"/>
          <w:sz w:val="24"/>
        </w:rPr>
        <w:t xml:space="preserve"> from middle to very low, with </w:t>
      </w:r>
      <w:r>
        <w:rPr>
          <w:color w:val="000000" w:themeColor="text1"/>
          <w:sz w:val="24"/>
          <w:szCs w:val="24"/>
        </w:rPr>
        <w:t xml:space="preserve">the </w:t>
      </w:r>
      <w:r>
        <w:rPr>
          <w:color w:val="000000" w:themeColor="text1"/>
          <w:sz w:val="24"/>
        </w:rPr>
        <w:t xml:space="preserve">high social status absent </w:t>
      </w:r>
      <w:r>
        <w:rPr>
          <w:color w:val="000000" w:themeColor="text1"/>
          <w:sz w:val="24"/>
          <w:szCs w:val="24"/>
        </w:rPr>
        <w:t>from the PLRs</w:t>
      </w:r>
      <w:r>
        <w:rPr>
          <w:color w:val="000000" w:themeColor="text1"/>
          <w:sz w:val="24"/>
        </w:rPr>
        <w:t xml:space="preserve"> in </w:t>
      </w:r>
      <w:proofErr w:type="spellStart"/>
      <w:r>
        <w:rPr>
          <w:color w:val="000000" w:themeColor="text1"/>
          <w:sz w:val="24"/>
        </w:rPr>
        <w:t>Neukölln</w:t>
      </w:r>
      <w:proofErr w:type="spellEnd"/>
      <w:r>
        <w:rPr>
          <w:color w:val="000000" w:themeColor="text1"/>
          <w:sz w:val="24"/>
          <w:szCs w:val="24"/>
        </w:rPr>
        <w:t>.</w:t>
      </w:r>
    </w:p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</w:rPr>
      </w:pPr>
    </w:p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</w:rPr>
      </w:pPr>
    </w:p>
    <w:p w:rsidR="00C9489B" w:rsidRDefault="00C9489B" w:rsidP="00C9489B">
      <w:pPr>
        <w:spacing w:line="480" w:lineRule="auto"/>
        <w:ind w:right="0" w:firstLine="0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</w:rPr>
        <w:t>Table S1</w:t>
      </w:r>
      <w:r>
        <w:rPr>
          <w:b/>
          <w:bCs/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proofErr w:type="gramStart"/>
      <w:r>
        <w:rPr>
          <w:color w:val="000000" w:themeColor="text1"/>
          <w:sz w:val="24"/>
          <w:szCs w:val="24"/>
        </w:rPr>
        <w:t>Posterior</w:t>
      </w:r>
      <w:r>
        <w:rPr>
          <w:color w:val="000000" w:themeColor="text1"/>
          <w:sz w:val="24"/>
        </w:rPr>
        <w:t xml:space="preserve"> estimates </w:t>
      </w:r>
      <w:r>
        <w:rPr>
          <w:color w:val="000000" w:themeColor="text1"/>
          <w:sz w:val="24"/>
          <w:szCs w:val="24"/>
        </w:rPr>
        <w:t>for the RR (</w:t>
      </w:r>
      <w:r>
        <w:rPr>
          <w:color w:val="000000" w:themeColor="text1"/>
          <w:sz w:val="24"/>
        </w:rPr>
        <w:t>95% CI</w:t>
      </w:r>
      <w:r>
        <w:rPr>
          <w:color w:val="000000" w:themeColor="text1"/>
          <w:sz w:val="24"/>
          <w:szCs w:val="24"/>
        </w:rPr>
        <w:t>) of the model including all pandemic periods</w:t>
      </w:r>
      <w:r>
        <w:rPr>
          <w:color w:val="000000" w:themeColor="text1"/>
          <w:sz w:val="24"/>
        </w:rPr>
        <w:t xml:space="preserve"> from </w:t>
      </w:r>
      <w:r>
        <w:rPr>
          <w:color w:val="000000" w:themeColor="text1"/>
          <w:sz w:val="24"/>
          <w:szCs w:val="24"/>
        </w:rPr>
        <w:t xml:space="preserve">the </w:t>
      </w:r>
      <w:r>
        <w:rPr>
          <w:color w:val="000000" w:themeColor="text1"/>
          <w:sz w:val="24"/>
        </w:rPr>
        <w:t>final global model</w:t>
      </w:r>
      <w:r>
        <w:rPr>
          <w:color w:val="000000" w:themeColor="text1"/>
          <w:sz w:val="24"/>
          <w:szCs w:val="24"/>
        </w:rPr>
        <w:t>.</w:t>
      </w:r>
      <w:proofErr w:type="gramEnd"/>
      <w:r>
        <w:rPr>
          <w:color w:val="000000" w:themeColor="text1"/>
          <w:sz w:val="24"/>
          <w:szCs w:val="24"/>
        </w:rPr>
        <w:t xml:space="preserve"> Only the</w:t>
      </w:r>
      <w:r>
        <w:rPr>
          <w:color w:val="000000" w:themeColor="text1"/>
          <w:sz w:val="24"/>
        </w:rPr>
        <w:t xml:space="preserve"> significant predictors </w:t>
      </w:r>
      <w:r>
        <w:rPr>
          <w:color w:val="000000" w:themeColor="text1"/>
          <w:sz w:val="24"/>
          <w:szCs w:val="24"/>
        </w:rPr>
        <w:t>are shown.</w:t>
      </w:r>
    </w:p>
    <w:tbl>
      <w:tblPr>
        <w:tblW w:w="9495" w:type="dxa"/>
        <w:tblLayout w:type="fixed"/>
        <w:tblLook w:val="0400" w:firstRow="0" w:lastRow="0" w:firstColumn="0" w:lastColumn="0" w:noHBand="0" w:noVBand="1"/>
      </w:tblPr>
      <w:tblGrid>
        <w:gridCol w:w="1558"/>
        <w:gridCol w:w="1133"/>
        <w:gridCol w:w="1134"/>
        <w:gridCol w:w="1134"/>
        <w:gridCol w:w="992"/>
        <w:gridCol w:w="1134"/>
        <w:gridCol w:w="1134"/>
        <w:gridCol w:w="1276"/>
      </w:tblGrid>
      <w:tr w:rsidR="00C9489B" w:rsidTr="00C9489B">
        <w:trPr>
          <w:trHeight w:val="320"/>
          <w:tblHeader/>
        </w:trPr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Variables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All-period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Wave1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Summer1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Wave2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Wave3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Summer2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9489B" w:rsidRDefault="00C9489B">
            <w:pPr>
              <w:ind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Wave4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(Intercept)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10.32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5.387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5.612    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8.245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7.558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5.181   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8.477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[10.305, 10.330]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[-5.059, -4.835]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[5.471, 5.740]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[8.209, 8.278]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[7.512, 7.604]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[5.042, 5.320]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[8.452, 8.503]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PCT_65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0.938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0.746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0.920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0.732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[0.916, 0.961]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[0.526, 0.965]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[0.864, 0.976]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[0.597, 0.867]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PCT_15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1.029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1.059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[1.013, 1.045]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[1.020, 1.098]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PCT_POP_MB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1.029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1.270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1.086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1.127   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[1.006 , 1.053]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[1.046, 1.270]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[1.020, 1.140]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[1.098, 1.156]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PCT_Beneficiaries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1.105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[1.052, 1.159]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mean_dist_greenspace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0.864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[0.747, 0.980]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mean_dist_transport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1.025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0.779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[1.011, 1.039]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[0.627, 0.932]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noise_mean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0.970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0.968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[0.956, 0.984]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[0.941, 0.995]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mean_hotdays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1.042       </w:t>
            </w:r>
          </w:p>
        </w:tc>
      </w:tr>
      <w:tr w:rsidR="00C9489B" w:rsidTr="00C9489B">
        <w:trPr>
          <w:trHeight w:val="320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[1.016, 1.069]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share_ph</w:t>
            </w:r>
            <w:proofErr w:type="spellEnd"/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1.033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[1.018 , 1.047]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9489B" w:rsidTr="00C9489B">
        <w:trPr>
          <w:trHeight w:val="299"/>
        </w:trPr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Effective number of parameters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10.64   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2.97   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4.92       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4.55 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4.24     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2.93      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5.98       </w:t>
            </w:r>
          </w:p>
        </w:tc>
      </w:tr>
      <w:tr w:rsidR="00C9489B" w:rsidTr="00C9489B">
        <w:trPr>
          <w:trHeight w:val="299"/>
        </w:trPr>
        <w:tc>
          <w:tcPr>
            <w:tcW w:w="156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DIC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796.31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537.90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582.82    </w:t>
            </w:r>
          </w:p>
        </w:tc>
        <w:tc>
          <w:tcPr>
            <w:tcW w:w="992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696.89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658.88    </w:t>
            </w:r>
          </w:p>
        </w:tc>
        <w:tc>
          <w:tcPr>
            <w:tcW w:w="1134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536.81    </w:t>
            </w:r>
          </w:p>
        </w:tc>
        <w:tc>
          <w:tcPr>
            <w:tcW w:w="1276" w:type="dxa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691.17    </w:t>
            </w:r>
          </w:p>
        </w:tc>
      </w:tr>
      <w:tr w:rsidR="00C9489B" w:rsidTr="00C9489B">
        <w:trPr>
          <w:trHeight w:val="414"/>
        </w:trPr>
        <w:tc>
          <w:tcPr>
            <w:tcW w:w="9498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62" w:type="dxa"/>
              <w:left w:w="124" w:type="dxa"/>
              <w:bottom w:w="62" w:type="dxa"/>
              <w:right w:w="124" w:type="dxa"/>
            </w:tcMar>
          </w:tcPr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All continuous predictors are mean-centered and scaled by 1 standard deviation.  [ ] represents 95% credible interval. Only significant variables (95% credible interval of coefficient estimate does not overlap with zero) were remained in the model</w:t>
            </w:r>
          </w:p>
          <w:p w:rsidR="00C9489B" w:rsidRDefault="00C9489B">
            <w:pPr>
              <w:ind w:right="0" w:firstLine="0"/>
              <w:jc w:val="left"/>
              <w:rPr>
                <w:color w:val="000000" w:themeColor="text1"/>
                <w:sz w:val="16"/>
                <w:szCs w:val="16"/>
              </w:rPr>
            </w:pPr>
          </w:p>
          <w:p w:rsidR="00C9489B" w:rsidRDefault="00C9489B">
            <w:pPr>
              <w:spacing w:line="48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C9489B" w:rsidRDefault="00C9489B" w:rsidP="00C9489B">
      <w:pPr>
        <w:spacing w:line="480" w:lineRule="auto"/>
        <w:ind w:firstLine="0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Table S2</w:t>
      </w:r>
      <w:r>
        <w:rPr>
          <w:b/>
          <w:bCs/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</w:rPr>
        <w:t xml:space="preserve"> Prediction accuracies (RMSE values) of the regression </w:t>
      </w:r>
      <w:r>
        <w:rPr>
          <w:color w:val="000000" w:themeColor="text1"/>
          <w:sz w:val="24"/>
          <w:szCs w:val="24"/>
        </w:rPr>
        <w:t xml:space="preserve">models’ estimates </w:t>
      </w:r>
    </w:p>
    <w:tbl>
      <w:tblPr>
        <w:tblW w:w="9345" w:type="dxa"/>
        <w:tblBorders>
          <w:top w:val="single" w:sz="8" w:space="0" w:color="000000"/>
          <w:bottom w:val="single" w:sz="8" w:space="0" w:color="000000"/>
          <w:insideH w:val="single" w:sz="6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58"/>
        <w:gridCol w:w="1557"/>
        <w:gridCol w:w="1557"/>
        <w:gridCol w:w="1137"/>
        <w:gridCol w:w="284"/>
        <w:gridCol w:w="1558"/>
        <w:gridCol w:w="1694"/>
      </w:tblGrid>
      <w:tr w:rsidR="00C9489B" w:rsidTr="00C9489B">
        <w:trPr>
          <w:trHeight w:val="392"/>
        </w:trPr>
        <w:tc>
          <w:tcPr>
            <w:tcW w:w="1558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RMSE </w:t>
            </w: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Fixed</w:t>
            </w: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Random</w:t>
            </w:r>
          </w:p>
        </w:tc>
        <w:tc>
          <w:tcPr>
            <w:tcW w:w="1138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BYM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    MLE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jc w:val="left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RF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All-periods model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1,457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1,479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1,376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1,484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1,738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Wave 1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114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Summer 1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127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121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133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141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Wave 2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449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438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443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460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Wave 3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255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251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248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260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269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Summer 2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120</w:t>
            </w:r>
          </w:p>
        </w:tc>
      </w:tr>
      <w:tr w:rsidR="00C9489B" w:rsidTr="00C9489B">
        <w:trPr>
          <w:trHeight w:val="413"/>
        </w:trPr>
        <w:tc>
          <w:tcPr>
            <w:tcW w:w="1558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Wave 4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433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413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395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438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9489B" w:rsidRDefault="00C9489B">
            <w:pPr>
              <w:ind w:right="0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427</w:t>
            </w:r>
          </w:p>
        </w:tc>
      </w:tr>
    </w:tbl>
    <w:p w:rsidR="00C9489B" w:rsidRDefault="00C9489B" w:rsidP="00C9489B">
      <w:pPr>
        <w:spacing w:line="480" w:lineRule="auto"/>
        <w:ind w:firstLine="0"/>
        <w:rPr>
          <w:color w:val="000000" w:themeColor="text1"/>
        </w:rPr>
      </w:pPr>
      <w:r>
        <w:rPr>
          <w:color w:val="000000" w:themeColor="text1"/>
        </w:rPr>
        <w:t>MLE: a maximum-likelihood generalized linear model; RF: a random forest machine-learning model</w:t>
      </w:r>
    </w:p>
    <w:p w:rsidR="00C9489B" w:rsidRDefault="00C9489B" w:rsidP="00C9489B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br w:type="page"/>
      </w:r>
    </w:p>
    <w:p w:rsidR="008B51B5" w:rsidRDefault="008B51B5"/>
    <w:sectPr w:rsidR="008B5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3363"/>
    <w:multiLevelType w:val="multilevel"/>
    <w:tmpl w:val="88A0C7E6"/>
    <w:lvl w:ilvl="0">
      <w:start w:val="1"/>
      <w:numFmt w:val="decimal"/>
      <w:pStyle w:val="Heading1"/>
      <w:lvlText w:val="%1."/>
      <w:lvlJc w:val="left"/>
      <w:pPr>
        <w:ind w:left="170" w:hanging="17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82"/>
    <w:rsid w:val="008B51B5"/>
    <w:rsid w:val="00C9489B"/>
    <w:rsid w:val="00D2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89B"/>
    <w:pPr>
      <w:spacing w:after="0" w:line="240" w:lineRule="auto"/>
      <w:ind w:right="-28" w:firstLine="238"/>
      <w:jc w:val="both"/>
    </w:pPr>
    <w:rPr>
      <w:rFonts w:ascii="Times New Roman" w:eastAsia="SimSu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89B"/>
    <w:pPr>
      <w:keepNext/>
      <w:numPr>
        <w:numId w:val="1"/>
      </w:numPr>
      <w:spacing w:before="240" w:after="240" w:line="480" w:lineRule="auto"/>
      <w:ind w:right="0"/>
      <w:jc w:val="left"/>
      <w:outlineLvl w:val="0"/>
    </w:pPr>
    <w:rPr>
      <w:rFonts w:eastAsia="Times New Roman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89B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body">
    <w:name w:val="body"/>
    <w:basedOn w:val="NoSpacing"/>
    <w:qFormat/>
    <w:rsid w:val="00C9489B"/>
    <w:pPr>
      <w:spacing w:line="480" w:lineRule="auto"/>
      <w:ind w:firstLine="720"/>
    </w:pPr>
    <w:rPr>
      <w:sz w:val="24"/>
      <w:szCs w:val="24"/>
    </w:rPr>
  </w:style>
  <w:style w:type="paragraph" w:styleId="NoSpacing">
    <w:name w:val="No Spacing"/>
    <w:uiPriority w:val="1"/>
    <w:qFormat/>
    <w:rsid w:val="00C9489B"/>
    <w:pPr>
      <w:spacing w:after="0" w:line="240" w:lineRule="auto"/>
      <w:ind w:right="-28" w:firstLine="238"/>
      <w:jc w:val="both"/>
    </w:pPr>
    <w:rPr>
      <w:rFonts w:ascii="Times New Roman" w:eastAsia="SimSu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89B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89B"/>
    <w:pPr>
      <w:spacing w:after="0" w:line="240" w:lineRule="auto"/>
      <w:ind w:right="-28" w:firstLine="238"/>
      <w:jc w:val="both"/>
    </w:pPr>
    <w:rPr>
      <w:rFonts w:ascii="Times New Roman" w:eastAsia="SimSu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89B"/>
    <w:pPr>
      <w:keepNext/>
      <w:numPr>
        <w:numId w:val="1"/>
      </w:numPr>
      <w:spacing w:before="240" w:after="240" w:line="480" w:lineRule="auto"/>
      <w:ind w:right="0"/>
      <w:jc w:val="left"/>
      <w:outlineLvl w:val="0"/>
    </w:pPr>
    <w:rPr>
      <w:rFonts w:eastAsia="Times New Roman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89B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body">
    <w:name w:val="body"/>
    <w:basedOn w:val="NoSpacing"/>
    <w:qFormat/>
    <w:rsid w:val="00C9489B"/>
    <w:pPr>
      <w:spacing w:line="480" w:lineRule="auto"/>
      <w:ind w:firstLine="720"/>
    </w:pPr>
    <w:rPr>
      <w:sz w:val="24"/>
      <w:szCs w:val="24"/>
    </w:rPr>
  </w:style>
  <w:style w:type="paragraph" w:styleId="NoSpacing">
    <w:name w:val="No Spacing"/>
    <w:uiPriority w:val="1"/>
    <w:qFormat/>
    <w:rsid w:val="00C9489B"/>
    <w:pPr>
      <w:spacing w:after="0" w:line="240" w:lineRule="auto"/>
      <w:ind w:right="-28" w:firstLine="238"/>
      <w:jc w:val="both"/>
    </w:pPr>
    <w:rPr>
      <w:rFonts w:ascii="Times New Roman" w:eastAsia="SimSu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89B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8CED06EE2848E381510A87F156E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6BDF2-1F48-4D83-B25A-2B0F75433F88}"/>
      </w:docPartPr>
      <w:docPartBody>
        <w:p w:rsidR="00000000" w:rsidRDefault="00F065CD" w:rsidP="00F065CD">
          <w:pPr>
            <w:pStyle w:val="AD8CED06EE2848E381510A87F156E0D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CD"/>
    <w:rsid w:val="00962190"/>
    <w:rsid w:val="00F0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65CD"/>
  </w:style>
  <w:style w:type="paragraph" w:customStyle="1" w:styleId="AD8CED06EE2848E381510A87F156E0D9">
    <w:name w:val="AD8CED06EE2848E381510A87F156E0D9"/>
    <w:rsid w:val="00F065C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65CD"/>
  </w:style>
  <w:style w:type="paragraph" w:customStyle="1" w:styleId="AD8CED06EE2848E381510A87F156E0D9">
    <w:name w:val="AD8CED06EE2848E381510A87F156E0D9"/>
    <w:rsid w:val="00F065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 Edit 6.0</dc:creator>
  <cp:keywords/>
  <dc:description/>
  <cp:lastModifiedBy>Power Edit 6.0</cp:lastModifiedBy>
  <cp:revision>3</cp:revision>
  <dcterms:created xsi:type="dcterms:W3CDTF">2024-02-22T18:23:00Z</dcterms:created>
  <dcterms:modified xsi:type="dcterms:W3CDTF">2024-02-22T18:23:00Z</dcterms:modified>
</cp:coreProperties>
</file>