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577CDB" w:rsidRPr="00684E55" w:rsidRDefault="00577CDB" w:rsidP="00577CDB">
      <w:pPr>
        <w:spacing w:line="480" w:lineRule="auto"/>
        <w:jc w:val="both"/>
        <w:rPr>
          <w:rFonts w:ascii="Helvetica" w:hAnsi="Helvetica"/>
          <w:b/>
          <w:sz w:val="21"/>
          <w:szCs w:val="21"/>
          <w:lang w:val="en-US"/>
        </w:rPr>
      </w:pPr>
      <w:r>
        <w:rPr>
          <w:rFonts w:ascii="Helvetica" w:hAnsi="Helvetica"/>
          <w:b/>
          <w:noProof/>
          <w:sz w:val="21"/>
          <w:szCs w:val="21"/>
          <w:lang w:val="en-US"/>
        </w:rPr>
        <w:drawing>
          <wp:inline distT="0" distB="0" distL="0" distR="0">
            <wp:extent cx="5930900" cy="8385634"/>
            <wp:effectExtent l="0" t="0" r="0" b="0"/>
            <wp:docPr id="99830102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8301023" name="Grafik 998301023"/>
                    <pic:cNvPicPr/>
                  </pic:nvPicPr>
                  <pic:blipFill rotWithShape="1">
                    <a:blip r:embed="rId4" cstate="print">
                      <a:extLst>
                        <a:ext uri="{28A0092B-C50C-407E-A947-70E740481C1C}">
                          <a14:useLocalDpi xmlns:a14="http://schemas.microsoft.com/office/drawing/2010/main" val="0"/>
                        </a:ext>
                      </a:extLst>
                    </a:blip>
                    <a:srcRect r="20635" b="8040"/>
                    <a:stretch/>
                  </pic:blipFill>
                  <pic:spPr bwMode="auto">
                    <a:xfrm>
                      <a:off x="0" y="0"/>
                      <a:ext cx="5947590" cy="8409232"/>
                    </a:xfrm>
                    <a:prstGeom prst="rect">
                      <a:avLst/>
                    </a:prstGeom>
                    <a:ln>
                      <a:noFill/>
                    </a:ln>
                    <a:extLst>
                      <a:ext uri="{53640926-AAD7-44D8-BBD7-CCE9431645EC}">
                        <a14:shadowObscured xmlns:a14="http://schemas.microsoft.com/office/drawing/2010/main"/>
                      </a:ext>
                    </a:extLst>
                  </pic:spPr>
                </pic:pic>
              </a:graphicData>
            </a:graphic>
          </wp:inline>
        </w:drawing>
      </w:r>
      <w:r w:rsidRPr="00684E55">
        <w:rPr>
          <w:rFonts w:ascii="Helvetica" w:hAnsi="Helvetica"/>
          <w:b/>
          <w:sz w:val="21"/>
          <w:szCs w:val="21"/>
          <w:lang w:val="en-US"/>
        </w:rPr>
        <w:t xml:space="preserve">Supplementary Figure 1. Leica LMD7 collection plate adapter design for the </w:t>
      </w:r>
      <w:proofErr w:type="spellStart"/>
      <w:r w:rsidRPr="00684E55">
        <w:rPr>
          <w:rFonts w:ascii="Helvetica" w:hAnsi="Helvetica"/>
          <w:b/>
          <w:sz w:val="21"/>
          <w:szCs w:val="21"/>
          <w:lang w:val="en-US"/>
        </w:rPr>
        <w:t>cellenONE</w:t>
      </w:r>
      <w:proofErr w:type="spellEnd"/>
      <w:r>
        <w:rPr>
          <w:rFonts w:ascii="Helvetica" w:hAnsi="Helvetica"/>
          <w:b/>
          <w:sz w:val="21"/>
          <w:szCs w:val="21"/>
          <w:lang w:val="en-US"/>
        </w:rPr>
        <w:t xml:space="preserve"> </w:t>
      </w:r>
      <w:proofErr w:type="spellStart"/>
      <w:r w:rsidRPr="00684E55">
        <w:rPr>
          <w:rFonts w:ascii="Helvetica" w:hAnsi="Helvetica"/>
          <w:b/>
          <w:sz w:val="21"/>
          <w:szCs w:val="21"/>
          <w:lang w:val="en-US"/>
        </w:rPr>
        <w:t>proteoCHIPs</w:t>
      </w:r>
      <w:proofErr w:type="spellEnd"/>
      <w:r w:rsidRPr="00684E55">
        <w:rPr>
          <w:rFonts w:ascii="Helvetica" w:hAnsi="Helvetica"/>
          <w:b/>
          <w:sz w:val="21"/>
          <w:szCs w:val="21"/>
          <w:lang w:val="en-US"/>
        </w:rPr>
        <w:t xml:space="preserve"> LF 48 and EVO 96.</w:t>
      </w:r>
    </w:p>
    <w:p w:rsidR="00577CDB" w:rsidRDefault="00577CDB" w:rsidP="00577CDB">
      <w:pPr>
        <w:jc w:val="both"/>
        <w:rPr>
          <w:rFonts w:ascii="Helvetica" w:hAnsi="Helvetica"/>
          <w:b/>
          <w:sz w:val="21"/>
          <w:szCs w:val="21"/>
          <w:lang w:val="en-US"/>
        </w:rPr>
      </w:pPr>
      <w:r>
        <w:rPr>
          <w:rFonts w:ascii="Helvetica" w:hAnsi="Helvetica"/>
          <w:b/>
          <w:noProof/>
          <w:sz w:val="21"/>
          <w:szCs w:val="21"/>
          <w:lang w:val="en-US"/>
        </w:rPr>
        <w:lastRenderedPageBreak/>
        <w:drawing>
          <wp:inline distT="0" distB="0" distL="0" distR="0">
            <wp:extent cx="5760720" cy="8261985"/>
            <wp:effectExtent l="0" t="0" r="5080" b="5715"/>
            <wp:docPr id="8563628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36283" name="Grafik 85636283"/>
                    <pic:cNvPicPr/>
                  </pic:nvPicPr>
                  <pic:blipFill>
                    <a:blip r:embed="rId5" cstate="print">
                      <a:extLst>
                        <a:ext uri="{28A0092B-C50C-407E-A947-70E740481C1C}">
                          <a14:useLocalDpi xmlns:a14="http://schemas.microsoft.com/office/drawing/2010/main" val="0"/>
                        </a:ext>
                      </a:extLst>
                    </a:blip>
                    <a:stretch>
                      <a:fillRect/>
                    </a:stretch>
                  </pic:blipFill>
                  <pic:spPr>
                    <a:xfrm>
                      <a:off x="0" y="0"/>
                      <a:ext cx="5760720" cy="8261985"/>
                    </a:xfrm>
                    <a:prstGeom prst="rect">
                      <a:avLst/>
                    </a:prstGeom>
                  </pic:spPr>
                </pic:pic>
              </a:graphicData>
            </a:graphic>
          </wp:inline>
        </w:drawing>
      </w:r>
    </w:p>
    <w:p w:rsidR="00577CDB" w:rsidRDefault="00577CDB" w:rsidP="00577CDB">
      <w:pPr>
        <w:jc w:val="both"/>
        <w:rPr>
          <w:rFonts w:ascii="Helvetica" w:hAnsi="Helvetica"/>
          <w:b/>
          <w:sz w:val="21"/>
          <w:szCs w:val="21"/>
          <w:lang w:val="en-US"/>
        </w:rPr>
      </w:pPr>
    </w:p>
    <w:p w:rsidR="00577CDB" w:rsidRDefault="00577CDB" w:rsidP="00577CDB">
      <w:pPr>
        <w:jc w:val="both"/>
        <w:rPr>
          <w:rFonts w:ascii="Helvetica" w:hAnsi="Helvetica"/>
          <w:bCs/>
          <w:sz w:val="21"/>
          <w:szCs w:val="21"/>
          <w:lang w:val="en-US"/>
        </w:rPr>
      </w:pPr>
      <w:r w:rsidRPr="00684E55">
        <w:rPr>
          <w:rFonts w:ascii="Helvetica" w:hAnsi="Helvetica"/>
          <w:b/>
          <w:sz w:val="21"/>
          <w:szCs w:val="21"/>
          <w:lang w:val="en-US"/>
        </w:rPr>
        <w:t xml:space="preserve">Supplementary Figure 2. Optimizing sample preparation conditions for tissue proteomics on the </w:t>
      </w:r>
      <w:proofErr w:type="spellStart"/>
      <w:r w:rsidRPr="00684E55">
        <w:rPr>
          <w:rFonts w:ascii="Helvetica" w:hAnsi="Helvetica"/>
          <w:b/>
          <w:sz w:val="21"/>
          <w:szCs w:val="21"/>
          <w:lang w:val="en-US"/>
        </w:rPr>
        <w:t>cellenONE</w:t>
      </w:r>
      <w:proofErr w:type="spellEnd"/>
      <w:r w:rsidRPr="00684E55">
        <w:rPr>
          <w:rFonts w:ascii="Helvetica" w:hAnsi="Helvetica"/>
          <w:b/>
          <w:sz w:val="21"/>
          <w:szCs w:val="21"/>
          <w:lang w:val="en-US"/>
        </w:rPr>
        <w:t xml:space="preserve"> system. (A) </w:t>
      </w:r>
      <w:r w:rsidRPr="00684E55">
        <w:rPr>
          <w:rFonts w:ascii="Helvetica" w:hAnsi="Helvetica"/>
          <w:bCs/>
          <w:sz w:val="21"/>
          <w:szCs w:val="21"/>
          <w:lang w:val="en-US"/>
        </w:rPr>
        <w:t xml:space="preserve">Tryptic </w:t>
      </w:r>
      <w:proofErr w:type="spellStart"/>
      <w:r w:rsidRPr="00684E55">
        <w:rPr>
          <w:rFonts w:ascii="Helvetica" w:hAnsi="Helvetica"/>
          <w:bCs/>
          <w:sz w:val="21"/>
          <w:szCs w:val="21"/>
          <w:lang w:val="en-US"/>
        </w:rPr>
        <w:t>miscleavage</w:t>
      </w:r>
      <w:proofErr w:type="spellEnd"/>
      <w:r w:rsidRPr="00684E55">
        <w:rPr>
          <w:rFonts w:ascii="Helvetica" w:hAnsi="Helvetica"/>
          <w:bCs/>
          <w:sz w:val="21"/>
          <w:szCs w:val="21"/>
          <w:lang w:val="en-US"/>
        </w:rPr>
        <w:t xml:space="preserve"> rates of mouse liver tissue samples processed with four different protocols. Grey bars show the results for the one-step protocol with 0.2% and 0.4% DDM and light blue bars based on a two-step protocol (separated lysis and digestion). Data </w:t>
      </w:r>
      <w:r w:rsidRPr="00684E55">
        <w:rPr>
          <w:rFonts w:ascii="Helvetica" w:hAnsi="Helvetica"/>
          <w:bCs/>
          <w:sz w:val="21"/>
          <w:szCs w:val="21"/>
          <w:lang w:val="en-US"/>
        </w:rPr>
        <w:lastRenderedPageBreak/>
        <w:t xml:space="preserve">show mean values from triplicates with standard deviations as error bars. </w:t>
      </w:r>
      <w:r w:rsidRPr="00684E55">
        <w:rPr>
          <w:rFonts w:ascii="Helvetica" w:hAnsi="Helvetica"/>
          <w:b/>
          <w:sz w:val="21"/>
          <w:szCs w:val="21"/>
          <w:lang w:val="en-US"/>
        </w:rPr>
        <w:t xml:space="preserve">(B) </w:t>
      </w:r>
      <w:r w:rsidRPr="00684E55">
        <w:rPr>
          <w:rFonts w:ascii="Helvetica" w:hAnsi="Helvetica"/>
          <w:bCs/>
          <w:sz w:val="21"/>
          <w:szCs w:val="21"/>
          <w:lang w:val="en-US"/>
        </w:rPr>
        <w:t xml:space="preserve">Overview of seven different sample preparation protocols tested on the </w:t>
      </w:r>
      <w:proofErr w:type="spellStart"/>
      <w:r w:rsidRPr="00684E55">
        <w:rPr>
          <w:rFonts w:ascii="Helvetica" w:hAnsi="Helvetica"/>
          <w:bCs/>
          <w:sz w:val="21"/>
          <w:szCs w:val="21"/>
          <w:lang w:val="en-US"/>
        </w:rPr>
        <w:t>cellenONE</w:t>
      </w:r>
      <w:proofErr w:type="spellEnd"/>
      <w:r w:rsidRPr="00684E55">
        <w:rPr>
          <w:rFonts w:ascii="Helvetica" w:hAnsi="Helvetica"/>
          <w:bCs/>
          <w:sz w:val="21"/>
          <w:szCs w:val="21"/>
          <w:lang w:val="en-US"/>
        </w:rPr>
        <w:t xml:space="preserve"> system. Laser </w:t>
      </w:r>
      <w:proofErr w:type="spellStart"/>
      <w:r w:rsidRPr="00684E55">
        <w:rPr>
          <w:rFonts w:ascii="Helvetica" w:hAnsi="Helvetica"/>
          <w:bCs/>
          <w:sz w:val="21"/>
          <w:szCs w:val="21"/>
          <w:lang w:val="en-US"/>
        </w:rPr>
        <w:t>microdissected</w:t>
      </w:r>
      <w:proofErr w:type="spellEnd"/>
      <w:r w:rsidRPr="00684E55">
        <w:rPr>
          <w:rFonts w:ascii="Helvetica" w:hAnsi="Helvetica"/>
          <w:bCs/>
          <w:sz w:val="21"/>
          <w:szCs w:val="21"/>
          <w:lang w:val="en-US"/>
        </w:rPr>
        <w:t xml:space="preserve"> mouse liver tissue (50,000 µm</w:t>
      </w:r>
      <w:r w:rsidRPr="00684E55">
        <w:rPr>
          <w:rFonts w:ascii="Helvetica" w:hAnsi="Helvetica"/>
          <w:bCs/>
          <w:sz w:val="21"/>
          <w:szCs w:val="21"/>
          <w:vertAlign w:val="superscript"/>
          <w:lang w:val="en-US"/>
        </w:rPr>
        <w:t>2</w:t>
      </w:r>
      <w:r w:rsidRPr="00684E55">
        <w:rPr>
          <w:rFonts w:ascii="Helvetica" w:hAnsi="Helvetica"/>
          <w:bCs/>
          <w:sz w:val="21"/>
          <w:szCs w:val="21"/>
          <w:lang w:val="en-US"/>
        </w:rPr>
        <w:t xml:space="preserve">) was used as test tissue. </w:t>
      </w:r>
      <w:r w:rsidRPr="00684E55">
        <w:rPr>
          <w:rFonts w:ascii="Helvetica" w:hAnsi="Helvetica"/>
          <w:b/>
          <w:sz w:val="21"/>
          <w:szCs w:val="21"/>
          <w:lang w:val="en-US"/>
        </w:rPr>
        <w:t xml:space="preserve">(C) </w:t>
      </w:r>
      <w:r w:rsidRPr="00684E55">
        <w:rPr>
          <w:rFonts w:ascii="Helvetica" w:hAnsi="Helvetica"/>
          <w:bCs/>
          <w:sz w:val="21"/>
          <w:szCs w:val="21"/>
          <w:lang w:val="en-US"/>
        </w:rPr>
        <w:t>Upset plot of protein identifications obtained from mouse liver tissue samples processed with the best five protocols (conditions 2-6), depicted in panel (B).</w:t>
      </w:r>
    </w:p>
    <w:p w:rsidR="00577CDB" w:rsidRPr="00A87C97" w:rsidRDefault="00577CDB" w:rsidP="00577CDB">
      <w:pPr>
        <w:jc w:val="both"/>
        <w:rPr>
          <w:rFonts w:ascii="Helvetica" w:eastAsia="GungsuhChe" w:hAnsi="Helvetica" w:cs="Helvetica"/>
          <w:sz w:val="21"/>
          <w:szCs w:val="21"/>
          <w:lang w:val="en-US"/>
        </w:rPr>
      </w:pPr>
      <w:r w:rsidRPr="00A87C97">
        <w:rPr>
          <w:rFonts w:ascii="Helvetica" w:eastAsia="GungsuhChe" w:hAnsi="Helvetica" w:cs="Helvetica"/>
          <w:b/>
          <w:sz w:val="21"/>
          <w:szCs w:val="21"/>
          <w:lang w:val="en-US"/>
        </w:rPr>
        <w:t>(D)</w:t>
      </w:r>
      <w:r w:rsidRPr="00A87C97">
        <w:rPr>
          <w:rFonts w:ascii="Helvetica" w:eastAsia="GungsuhChe" w:hAnsi="Helvetica" w:cs="Helvetica"/>
          <w:sz w:val="21"/>
          <w:szCs w:val="21"/>
          <w:lang w:val="en-US"/>
        </w:rPr>
        <w:t xml:space="preserve"> Box plots showing the number of identified proteins (left), precursors (center) and the coefficient of variation (CVs) (right) of protein quantification comparing different lysis temperatures. Tissue microregions (50,000 µm</w:t>
      </w:r>
      <w:r w:rsidRPr="00A87C97">
        <w:rPr>
          <w:rFonts w:ascii="Helvetica" w:eastAsia="GungsuhChe" w:hAnsi="Helvetica" w:cs="Helvetica"/>
          <w:sz w:val="21"/>
          <w:szCs w:val="21"/>
          <w:vertAlign w:val="superscript"/>
          <w:lang w:val="en-US"/>
        </w:rPr>
        <w:t>2</w:t>
      </w:r>
      <w:r w:rsidRPr="00A87C97">
        <w:rPr>
          <w:rFonts w:ascii="Helvetica" w:eastAsia="GungsuhChe" w:hAnsi="Helvetica" w:cs="Helvetica"/>
          <w:sz w:val="21"/>
          <w:szCs w:val="21"/>
          <w:lang w:val="en-US"/>
        </w:rPr>
        <w:t>)</w:t>
      </w:r>
      <w:r w:rsidRPr="00A87C97">
        <w:rPr>
          <w:rFonts w:ascii="Helvetica" w:eastAsia="GungsuhChe" w:hAnsi="Helvetica" w:cs="Helvetica"/>
          <w:sz w:val="21"/>
          <w:szCs w:val="21"/>
          <w:vertAlign w:val="superscript"/>
          <w:lang w:val="en-US"/>
        </w:rPr>
        <w:t xml:space="preserve"> </w:t>
      </w:r>
      <w:r w:rsidRPr="00A87C97">
        <w:rPr>
          <w:rFonts w:ascii="Helvetica" w:eastAsia="GungsuhChe" w:hAnsi="Helvetica" w:cs="Helvetica"/>
          <w:sz w:val="21"/>
          <w:szCs w:val="21"/>
          <w:lang w:val="en-US"/>
        </w:rPr>
        <w:t>of murine liver were collected for proteomics. CVs were calculated from quadruplicates (65</w:t>
      </w:r>
      <w:r w:rsidRPr="00A87C97">
        <w:rPr>
          <w:rFonts w:ascii="Helvetica" w:eastAsia="GungsuhChe" w:hAnsi="Helvetica" w:cs="Helvetica"/>
          <w:color w:val="202124"/>
          <w:sz w:val="21"/>
          <w:szCs w:val="21"/>
          <w:shd w:val="clear" w:color="auto" w:fill="FFFFFF"/>
          <w:lang w:val="en-US"/>
        </w:rPr>
        <w:t xml:space="preserve"> °C</w:t>
      </w:r>
      <w:r w:rsidRPr="00A87C97">
        <w:rPr>
          <w:rFonts w:ascii="Helvetica" w:eastAsia="GungsuhChe" w:hAnsi="Helvetica" w:cs="Helvetica"/>
          <w:sz w:val="21"/>
          <w:szCs w:val="21"/>
          <w:lang w:val="en-US"/>
        </w:rPr>
        <w:t>) and quintuplicates (85</w:t>
      </w:r>
      <w:r w:rsidRPr="00A87C97">
        <w:rPr>
          <w:rFonts w:ascii="Helvetica" w:eastAsia="GungsuhChe" w:hAnsi="Helvetica" w:cs="Helvetica"/>
          <w:color w:val="202124"/>
          <w:sz w:val="21"/>
          <w:szCs w:val="21"/>
          <w:shd w:val="clear" w:color="auto" w:fill="FFFFFF"/>
          <w:lang w:val="en-US"/>
        </w:rPr>
        <w:t xml:space="preserve"> °C</w:t>
      </w:r>
      <w:r w:rsidRPr="00A87C97">
        <w:rPr>
          <w:rFonts w:ascii="Helvetica" w:eastAsia="GungsuhChe" w:hAnsi="Helvetica" w:cs="Helvetica"/>
          <w:sz w:val="21"/>
          <w:szCs w:val="21"/>
          <w:lang w:val="en-US"/>
        </w:rPr>
        <w:t xml:space="preserve">) of non-log-transformed data. </w:t>
      </w:r>
      <w:r w:rsidRPr="00A87C97">
        <w:rPr>
          <w:rFonts w:ascii="Helvetica" w:eastAsia="GungsuhChe" w:hAnsi="Helvetica" w:cs="Helvetica"/>
          <w:b/>
          <w:sz w:val="21"/>
          <w:szCs w:val="21"/>
          <w:lang w:val="en-US"/>
        </w:rPr>
        <w:t xml:space="preserve">(E) </w:t>
      </w:r>
      <w:r w:rsidRPr="00A87C97">
        <w:rPr>
          <w:rFonts w:ascii="Helvetica" w:eastAsia="GungsuhChe" w:hAnsi="Helvetica" w:cs="Helvetica"/>
          <w:sz w:val="21"/>
          <w:szCs w:val="21"/>
          <w:lang w:val="en-US"/>
        </w:rPr>
        <w:t xml:space="preserve">Proteome correlation matrix (Pearson’s r) of tissue replicate samples processed using different temperatures. </w:t>
      </w:r>
      <w:r w:rsidRPr="00A87C97">
        <w:rPr>
          <w:rFonts w:ascii="Helvetica" w:eastAsia="GungsuhChe" w:hAnsi="Helvetica" w:cs="Helvetica"/>
          <w:b/>
          <w:sz w:val="21"/>
          <w:szCs w:val="21"/>
          <w:lang w:val="en-US"/>
        </w:rPr>
        <w:t xml:space="preserve">(F-G) </w:t>
      </w:r>
      <w:r w:rsidRPr="00A87C97">
        <w:rPr>
          <w:rFonts w:ascii="Helvetica" w:eastAsia="GungsuhChe" w:hAnsi="Helvetica" w:cs="Helvetica"/>
          <w:sz w:val="21"/>
          <w:szCs w:val="21"/>
          <w:lang w:val="en-US"/>
        </w:rPr>
        <w:t xml:space="preserve">Open modification search results of murine liver tissues processed using different temperatures during tissue lysis. The boxplot and table show the percentages of unmodified peptides, methylated peptides and peptides with formaldehyde adducts. The box plots (panels D and F) define the range of the data (whiskers), 25th and 75th percentiles (box), and medians (solid line). </w:t>
      </w:r>
    </w:p>
    <w:p w:rsidR="00577CDB" w:rsidRPr="00577CDB" w:rsidRDefault="00577CDB">
      <w:pPr>
        <w:rPr>
          <w:lang w:val="en-US"/>
        </w:rPr>
      </w:pPr>
    </w:p>
    <w:sectPr w:rsidR="00577CDB" w:rsidRPr="00577CDB">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Helvetica">
    <w:panose1 w:val="00000000000000000000"/>
    <w:charset w:val="00"/>
    <w:family w:val="auto"/>
    <w:pitch w:val="variable"/>
    <w:sig w:usb0="E00002FF" w:usb1="5000785B" w:usb2="00000000" w:usb3="00000000" w:csb0="0000019F" w:csb1="00000000"/>
  </w:font>
  <w:font w:name="GungsuhChe">
    <w:panose1 w:val="02030609000101010101"/>
    <w:charset w:val="81"/>
    <w:family w:val="modern"/>
    <w:pitch w:val="fixed"/>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77CDB"/>
    <w:rsid w:val="00577CD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4:docId w14:val="1E942B3C"/>
  <w15:chartTrackingRefBased/>
  <w15:docId w15:val="{B6806040-E2D6-904E-8140-1F3B2658F1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de-DE"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77CDB"/>
    <w:rPr>
      <w:rFonts w:eastAsia="SimSun"/>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image" Target="media/image2.tiff"/><Relationship Id="rId4" Type="http://schemas.openxmlformats.org/officeDocument/2006/relationships/image" Target="media/image1.tif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Pages>
  <Words>243</Words>
  <Characters>1538</Characters>
  <Application>Microsoft Office Word</Application>
  <DocSecurity>0</DocSecurity>
  <Lines>12</Lines>
  <Paragraphs>3</Paragraphs>
  <ScaleCrop>false</ScaleCrop>
  <Company/>
  <LinksUpToDate>false</LinksUpToDate>
  <CharactersWithSpaces>1778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Fabian Coscia</dc:creator>
  <cp:keywords/>
  <dc:description/>
  <cp:lastModifiedBy>Fabian Coscia</cp:lastModifiedBy>
  <cp:revision>1</cp:revision>
  <dcterms:created xsi:type="dcterms:W3CDTF">2024-02-29T10:11:00Z</dcterms:created>
  <dcterms:modified xsi:type="dcterms:W3CDTF">2024-02-29T10:14:00Z</dcterms:modified>
</cp:coreProperties>
</file>