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7A462" w14:textId="77777777" w:rsidR="007A0FD6" w:rsidRDefault="007A0FD6"/>
    <w:p w14:paraId="0022F4A9" w14:textId="77777777" w:rsidR="007A0FD6" w:rsidRDefault="007A0FD6">
      <w:pPr>
        <w:rPr>
          <w:rFonts w:ascii="Segoe UI" w:eastAsiaTheme="majorEastAsia" w:hAnsi="Segoe UI" w:cstheme="majorBidi"/>
          <w:b/>
          <w:color w:val="000000" w:themeColor="text1"/>
          <w:kern w:val="0"/>
          <w:sz w:val="20"/>
          <w14:ligatures w14:val="none"/>
        </w:rPr>
      </w:pPr>
      <w:proofErr w:type="spellStart"/>
      <w:r w:rsidRPr="00287E81">
        <w:rPr>
          <w:rFonts w:ascii="Segoe UI" w:eastAsiaTheme="majorEastAsia" w:hAnsi="Segoe UI" w:cstheme="majorBidi"/>
          <w:b/>
          <w:color w:val="000000" w:themeColor="text1"/>
          <w:kern w:val="0"/>
          <w:sz w:val="20"/>
          <w14:ligatures w14:val="none"/>
        </w:rPr>
        <w:t>Supplemental</w:t>
      </w:r>
      <w:proofErr w:type="spellEnd"/>
      <w:r w:rsidRPr="00287E81">
        <w:rPr>
          <w:rFonts w:ascii="Segoe UI" w:eastAsiaTheme="majorEastAsia" w:hAnsi="Segoe UI" w:cstheme="majorBidi"/>
          <w:b/>
          <w:color w:val="000000" w:themeColor="text1"/>
          <w:kern w:val="0"/>
          <w:sz w:val="20"/>
          <w14:ligatures w14:val="none"/>
        </w:rPr>
        <w:t xml:space="preserve"> Figure</w:t>
      </w:r>
      <w:r w:rsidRPr="00C94D1F">
        <w:rPr>
          <w:rFonts w:ascii="Segoe UI" w:eastAsiaTheme="majorEastAsia" w:hAnsi="Segoe UI" w:cstheme="majorBidi"/>
          <w:b/>
          <w:color w:val="000000" w:themeColor="text1"/>
          <w:kern w:val="0"/>
          <w:sz w:val="20"/>
          <w:lang w:val="en-US"/>
          <w14:ligatures w14:val="none"/>
        </w:rPr>
        <w:t xml:space="preserve"> </w:t>
      </w:r>
      <w:r>
        <w:rPr>
          <w:rFonts w:ascii="Segoe UI" w:eastAsiaTheme="majorEastAsia" w:hAnsi="Segoe UI" w:cstheme="majorBidi"/>
          <w:b/>
          <w:color w:val="000000" w:themeColor="text1"/>
          <w:kern w:val="0"/>
          <w:sz w:val="20"/>
          <w:lang w:val="en-US"/>
          <w14:ligatures w14:val="none"/>
        </w:rPr>
        <w:t>3</w:t>
      </w:r>
      <w:r w:rsidRPr="00287E81">
        <w:rPr>
          <w:rFonts w:ascii="Segoe UI" w:eastAsiaTheme="majorEastAsia" w:hAnsi="Segoe UI" w:cstheme="majorBidi"/>
          <w:b/>
          <w:color w:val="000000" w:themeColor="text1"/>
          <w:kern w:val="0"/>
          <w:sz w:val="20"/>
          <w14:ligatures w14:val="none"/>
        </w:rPr>
        <w:t>.</w:t>
      </w:r>
    </w:p>
    <w:p w14:paraId="12A03CE1" w14:textId="77777777" w:rsidR="007A0FD6" w:rsidRDefault="007A0FD6">
      <w:pPr>
        <w:rPr>
          <w:rFonts w:ascii="Segoe UI" w:eastAsiaTheme="majorEastAsia" w:hAnsi="Segoe UI" w:cstheme="majorBidi"/>
          <w:b/>
          <w:color w:val="000000" w:themeColor="text1"/>
          <w:kern w:val="0"/>
          <w:sz w:val="20"/>
          <w14:ligatures w14:val="none"/>
        </w:rPr>
      </w:pPr>
    </w:p>
    <w:p w14:paraId="4324B924" w14:textId="38A82F3C" w:rsidR="007A0FD6" w:rsidRDefault="000759D0" w:rsidP="007A0FD6">
      <w:r>
        <w:rPr>
          <w:noProof/>
          <w:lang w:eastAsia="de-DE"/>
        </w:rPr>
        <w:drawing>
          <wp:inline distT="0" distB="0" distL="0" distR="0" wp14:anchorId="1D378940" wp14:editId="6B921B0A">
            <wp:extent cx="5782952" cy="2815165"/>
            <wp:effectExtent l="0" t="0" r="8255" b="444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9303" cy="2823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B1A9FD" w14:textId="44F3B8D1" w:rsidR="003A039D" w:rsidRPr="007A0FD6" w:rsidRDefault="003A039D" w:rsidP="007A0FD6"/>
    <w:p w14:paraId="7E36068A" w14:textId="76DE1892" w:rsidR="00287E81" w:rsidRPr="007942EF" w:rsidRDefault="00287E81" w:rsidP="00451FAB">
      <w:pPr>
        <w:keepNext/>
        <w:keepLines/>
        <w:spacing w:before="120" w:line="480" w:lineRule="auto"/>
        <w:jc w:val="both"/>
        <w:outlineLvl w:val="2"/>
        <w:rPr>
          <w:rFonts w:ascii="Segoe UI" w:eastAsiaTheme="majorEastAsia" w:hAnsi="Segoe UI" w:cstheme="majorBidi"/>
          <w:b/>
          <w:color w:val="000000" w:themeColor="text1"/>
          <w:kern w:val="0"/>
          <w:sz w:val="20"/>
          <w:lang w:val="en-US"/>
          <w14:ligatures w14:val="none"/>
        </w:rPr>
      </w:pPr>
      <w:r w:rsidRPr="007942EF">
        <w:rPr>
          <w:rFonts w:ascii="Segoe UI" w:eastAsiaTheme="majorEastAsia" w:hAnsi="Segoe UI" w:cstheme="majorBidi"/>
          <w:b/>
          <w:color w:val="000000" w:themeColor="text1"/>
          <w:kern w:val="0"/>
          <w:sz w:val="20"/>
          <w:lang w:val="en-US"/>
          <w14:ligatures w14:val="none"/>
        </w:rPr>
        <w:t>Supplemental Figure</w:t>
      </w:r>
      <w:r w:rsidR="0046465D" w:rsidRPr="007942EF">
        <w:rPr>
          <w:rFonts w:ascii="Segoe UI" w:eastAsiaTheme="majorEastAsia" w:hAnsi="Segoe UI" w:cstheme="majorBidi"/>
          <w:b/>
          <w:color w:val="000000" w:themeColor="text1"/>
          <w:kern w:val="0"/>
          <w:sz w:val="20"/>
          <w:lang w:val="en-US"/>
          <w14:ligatures w14:val="none"/>
        </w:rPr>
        <w:t xml:space="preserve"> </w:t>
      </w:r>
      <w:r w:rsidR="00C94D1F" w:rsidRPr="007942EF">
        <w:rPr>
          <w:rFonts w:ascii="Segoe UI" w:eastAsiaTheme="majorEastAsia" w:hAnsi="Segoe UI" w:cstheme="majorBidi"/>
          <w:b/>
          <w:color w:val="000000" w:themeColor="text1"/>
          <w:kern w:val="0"/>
          <w:sz w:val="20"/>
          <w:lang w:val="en-US"/>
          <w14:ligatures w14:val="none"/>
        </w:rPr>
        <w:t>3</w:t>
      </w:r>
      <w:r w:rsidRPr="007942EF">
        <w:rPr>
          <w:rFonts w:ascii="Segoe UI" w:eastAsiaTheme="majorEastAsia" w:hAnsi="Segoe UI" w:cstheme="majorBidi"/>
          <w:b/>
          <w:color w:val="000000" w:themeColor="text1"/>
          <w:kern w:val="0"/>
          <w:sz w:val="20"/>
          <w:lang w:val="en-US"/>
          <w14:ligatures w14:val="none"/>
        </w:rPr>
        <w:t xml:space="preserve">. Differential gene expression in ASCT patients </w:t>
      </w:r>
      <w:r w:rsidR="00C94D1F" w:rsidRPr="007942EF">
        <w:rPr>
          <w:rFonts w:ascii="Segoe UI" w:eastAsiaTheme="majorEastAsia" w:hAnsi="Segoe UI" w:cstheme="majorBidi"/>
          <w:b/>
          <w:color w:val="000000" w:themeColor="text1"/>
          <w:kern w:val="0"/>
          <w:sz w:val="20"/>
          <w:lang w:val="en-US"/>
          <w14:ligatures w14:val="none"/>
        </w:rPr>
        <w:t>and healthy controls</w:t>
      </w:r>
      <w:r w:rsidRPr="007942EF">
        <w:rPr>
          <w:rFonts w:ascii="Segoe UI" w:eastAsiaTheme="majorEastAsia" w:hAnsi="Segoe UI" w:cstheme="majorBidi"/>
          <w:b/>
          <w:color w:val="000000" w:themeColor="text1"/>
          <w:kern w:val="0"/>
          <w:sz w:val="20"/>
          <w:lang w:val="en-US"/>
          <w14:ligatures w14:val="none"/>
        </w:rPr>
        <w:t>.</w:t>
      </w:r>
    </w:p>
    <w:p w14:paraId="79A5E6AC" w14:textId="37809788" w:rsidR="00287E81" w:rsidRPr="009D23F4" w:rsidRDefault="00287E81" w:rsidP="00451FAB">
      <w:pPr>
        <w:spacing w:line="480" w:lineRule="auto"/>
        <w:rPr>
          <w:rFonts w:ascii="Segoe UI" w:hAnsi="Segoe UI" w:cs="Segoe UI"/>
          <w:sz w:val="20"/>
          <w:szCs w:val="20"/>
          <w:lang w:val="en-US"/>
        </w:rPr>
      </w:pPr>
      <w:r w:rsidRPr="007942EF">
        <w:rPr>
          <w:rFonts w:ascii="Segoe UI" w:hAnsi="Segoe UI" w:cs="Segoe UI"/>
          <w:kern w:val="0"/>
          <w:sz w:val="20"/>
          <w:szCs w:val="20"/>
          <w:lang w:val="en-US"/>
          <w14:ligatures w14:val="none"/>
        </w:rPr>
        <w:t xml:space="preserve">(A) </w:t>
      </w:r>
      <w:r w:rsidR="009D23F4">
        <w:rPr>
          <w:rStyle w:val="normaltextrun"/>
          <w:rFonts w:ascii="Segoe UI" w:hAnsi="Segoe UI" w:cs="Segoe UI"/>
          <w:sz w:val="20"/>
          <w:szCs w:val="20"/>
          <w:lang w:val="en-US"/>
        </w:rPr>
        <w:t>UMAP plot of single cells of each data set, colored by donor identity.</w:t>
      </w:r>
      <w:r w:rsidR="009D23F4" w:rsidRPr="009D23F4">
        <w:rPr>
          <w:rStyle w:val="eop"/>
          <w:rFonts w:ascii="Segoe UI" w:hAnsi="Segoe UI" w:cs="Segoe UI"/>
          <w:sz w:val="20"/>
          <w:szCs w:val="20"/>
          <w:lang w:val="en-US"/>
        </w:rPr>
        <w:t> </w:t>
      </w:r>
    </w:p>
    <w:p w14:paraId="6C8F4F24" w14:textId="468E2775" w:rsidR="00C94D1F" w:rsidRPr="007942EF" w:rsidRDefault="00287E81" w:rsidP="00451FAB">
      <w:pPr>
        <w:spacing w:line="480" w:lineRule="auto"/>
        <w:jc w:val="both"/>
        <w:rPr>
          <w:rFonts w:ascii="Segoe UI" w:hAnsi="Segoe UI" w:cs="Segoe UI"/>
          <w:sz w:val="20"/>
          <w:szCs w:val="20"/>
          <w:lang w:val="en-US"/>
        </w:rPr>
      </w:pPr>
      <w:r w:rsidRPr="007942EF">
        <w:rPr>
          <w:rFonts w:ascii="Segoe UI" w:hAnsi="Segoe UI" w:cs="Segoe UI"/>
          <w:kern w:val="0"/>
          <w:sz w:val="20"/>
          <w:szCs w:val="20"/>
          <w:lang w:val="en-US"/>
          <w14:ligatures w14:val="none"/>
        </w:rPr>
        <w:t xml:space="preserve">(B) </w:t>
      </w:r>
      <w:r w:rsidR="000F1AEE" w:rsidRPr="007942EF">
        <w:rPr>
          <w:rFonts w:ascii="Segoe UI" w:hAnsi="Segoe UI" w:cs="Segoe UI"/>
          <w:kern w:val="0"/>
          <w:sz w:val="20"/>
          <w:szCs w:val="20"/>
          <w:lang w:val="en-US"/>
          <w14:ligatures w14:val="none"/>
        </w:rPr>
        <w:t>Principal component analyses (PCA) on gene expression patterns of different immune compartments of all ASCT patients (ASCT and ASCT_C) as well as healthy individuals (HD1, HD2, HD_C). PCA show a clear separation of ASCT patients and HD samples especially for T cells, while no clear clustering can be observed in B cells.</w:t>
      </w:r>
    </w:p>
    <w:p w14:paraId="32933E36" w14:textId="73C026FC" w:rsidR="00287E81" w:rsidRPr="00451FAB" w:rsidRDefault="00287E81" w:rsidP="00287E81">
      <w:pPr>
        <w:rPr>
          <w:lang w:val="en-US"/>
        </w:rPr>
      </w:pPr>
    </w:p>
    <w:sectPr w:rsidR="00287E81" w:rsidRPr="00451F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E81"/>
    <w:rsid w:val="00014879"/>
    <w:rsid w:val="00033A03"/>
    <w:rsid w:val="00053035"/>
    <w:rsid w:val="000759D0"/>
    <w:rsid w:val="00080095"/>
    <w:rsid w:val="000A1CA2"/>
    <w:rsid w:val="000A4E5F"/>
    <w:rsid w:val="000B02FF"/>
    <w:rsid w:val="000C1B6B"/>
    <w:rsid w:val="000C3FC5"/>
    <w:rsid w:val="000D1A4E"/>
    <w:rsid w:val="000E7ABE"/>
    <w:rsid w:val="000F1AEE"/>
    <w:rsid w:val="00125598"/>
    <w:rsid w:val="00186D23"/>
    <w:rsid w:val="00196F22"/>
    <w:rsid w:val="001B63E7"/>
    <w:rsid w:val="001C20B5"/>
    <w:rsid w:val="001D517C"/>
    <w:rsid w:val="00204BF0"/>
    <w:rsid w:val="00206345"/>
    <w:rsid w:val="00216A73"/>
    <w:rsid w:val="00217F2A"/>
    <w:rsid w:val="0026022B"/>
    <w:rsid w:val="00273189"/>
    <w:rsid w:val="00287E81"/>
    <w:rsid w:val="00296A2A"/>
    <w:rsid w:val="002A628D"/>
    <w:rsid w:val="002D6A3B"/>
    <w:rsid w:val="002E4D34"/>
    <w:rsid w:val="002F1AAB"/>
    <w:rsid w:val="002F31C8"/>
    <w:rsid w:val="003249C6"/>
    <w:rsid w:val="00341F08"/>
    <w:rsid w:val="00360B47"/>
    <w:rsid w:val="00385ABB"/>
    <w:rsid w:val="003A01C3"/>
    <w:rsid w:val="003A039D"/>
    <w:rsid w:val="003A6787"/>
    <w:rsid w:val="003A7B11"/>
    <w:rsid w:val="003C7623"/>
    <w:rsid w:val="003D67EF"/>
    <w:rsid w:val="004175B8"/>
    <w:rsid w:val="00422432"/>
    <w:rsid w:val="00436945"/>
    <w:rsid w:val="00451FAB"/>
    <w:rsid w:val="0046465D"/>
    <w:rsid w:val="004C6661"/>
    <w:rsid w:val="00510563"/>
    <w:rsid w:val="00517269"/>
    <w:rsid w:val="00534B60"/>
    <w:rsid w:val="00564ABC"/>
    <w:rsid w:val="00573249"/>
    <w:rsid w:val="0059766E"/>
    <w:rsid w:val="00597E11"/>
    <w:rsid w:val="005A4242"/>
    <w:rsid w:val="005F15C8"/>
    <w:rsid w:val="005F60AE"/>
    <w:rsid w:val="00601CEC"/>
    <w:rsid w:val="006237DF"/>
    <w:rsid w:val="00632F14"/>
    <w:rsid w:val="00635090"/>
    <w:rsid w:val="006377B0"/>
    <w:rsid w:val="00644056"/>
    <w:rsid w:val="006464F4"/>
    <w:rsid w:val="0066491C"/>
    <w:rsid w:val="00672B05"/>
    <w:rsid w:val="00675B34"/>
    <w:rsid w:val="006A0C85"/>
    <w:rsid w:val="006A3311"/>
    <w:rsid w:val="006A411A"/>
    <w:rsid w:val="006E36EA"/>
    <w:rsid w:val="006E4369"/>
    <w:rsid w:val="006F6595"/>
    <w:rsid w:val="00722CA9"/>
    <w:rsid w:val="00723E67"/>
    <w:rsid w:val="00751B7B"/>
    <w:rsid w:val="00752C20"/>
    <w:rsid w:val="00762B9F"/>
    <w:rsid w:val="007942EF"/>
    <w:rsid w:val="007A0A92"/>
    <w:rsid w:val="007A0FD6"/>
    <w:rsid w:val="007B6085"/>
    <w:rsid w:val="007D7BCE"/>
    <w:rsid w:val="007E36D8"/>
    <w:rsid w:val="007F1764"/>
    <w:rsid w:val="00802BDA"/>
    <w:rsid w:val="00817386"/>
    <w:rsid w:val="00835AA4"/>
    <w:rsid w:val="00852A39"/>
    <w:rsid w:val="00880401"/>
    <w:rsid w:val="00883284"/>
    <w:rsid w:val="008C301A"/>
    <w:rsid w:val="00953DD4"/>
    <w:rsid w:val="00954952"/>
    <w:rsid w:val="009779FD"/>
    <w:rsid w:val="00994445"/>
    <w:rsid w:val="009944B6"/>
    <w:rsid w:val="009A17A5"/>
    <w:rsid w:val="009C4340"/>
    <w:rsid w:val="009D23F4"/>
    <w:rsid w:val="009D456D"/>
    <w:rsid w:val="00A332AD"/>
    <w:rsid w:val="00A7061F"/>
    <w:rsid w:val="00A87A4F"/>
    <w:rsid w:val="00AB7526"/>
    <w:rsid w:val="00B208F8"/>
    <w:rsid w:val="00B50FA2"/>
    <w:rsid w:val="00B6723D"/>
    <w:rsid w:val="00BB4303"/>
    <w:rsid w:val="00BD121C"/>
    <w:rsid w:val="00BE13F8"/>
    <w:rsid w:val="00C67802"/>
    <w:rsid w:val="00C94D1F"/>
    <w:rsid w:val="00CA6F25"/>
    <w:rsid w:val="00D06C8C"/>
    <w:rsid w:val="00D12031"/>
    <w:rsid w:val="00D71623"/>
    <w:rsid w:val="00D74E34"/>
    <w:rsid w:val="00DB7817"/>
    <w:rsid w:val="00DD045C"/>
    <w:rsid w:val="00E00EF2"/>
    <w:rsid w:val="00E014C8"/>
    <w:rsid w:val="00E36C14"/>
    <w:rsid w:val="00E472C4"/>
    <w:rsid w:val="00E916BB"/>
    <w:rsid w:val="00EA4A10"/>
    <w:rsid w:val="00EC2E13"/>
    <w:rsid w:val="00F10058"/>
    <w:rsid w:val="00F3217C"/>
    <w:rsid w:val="00F338BF"/>
    <w:rsid w:val="00F653B9"/>
    <w:rsid w:val="00F732BD"/>
    <w:rsid w:val="00F8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17B11"/>
  <w15:chartTrackingRefBased/>
  <w15:docId w15:val="{3A97BCA0-6F00-F54A-8309-296C7852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9D23F4"/>
  </w:style>
  <w:style w:type="character" w:customStyle="1" w:styleId="eop">
    <w:name w:val="eop"/>
    <w:basedOn w:val="DefaultParagraphFont"/>
    <w:rsid w:val="009D2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0A5F92562E2B498ED0E52EF5D93C7A" ma:contentTypeVersion="6" ma:contentTypeDescription="Create a new document." ma:contentTypeScope="" ma:versionID="96fcb27663e1daed0fb49b30191484d6">
  <xsd:schema xmlns:xsd="http://www.w3.org/2001/XMLSchema" xmlns:xs="http://www.w3.org/2001/XMLSchema" xmlns:p="http://schemas.microsoft.com/office/2006/metadata/properties" xmlns:ns2="0075b636-9176-44b1-9ffd-0f9fbcea5e9c" xmlns:ns3="4c34338e-9c91-431f-86d1-e3353fe5f59d" targetNamespace="http://schemas.microsoft.com/office/2006/metadata/properties" ma:root="true" ma:fieldsID="b7070c3ea42047a982330e780b2a1f77" ns2:_="" ns3:_="">
    <xsd:import namespace="0075b636-9176-44b1-9ffd-0f9fbcea5e9c"/>
    <xsd:import namespace="4c34338e-9c91-431f-86d1-e3353fe5f5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75b636-9176-44b1-9ffd-0f9fbcea5e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4338e-9c91-431f-86d1-e3353fe5f5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EC3E5E-311B-46C7-86A2-3181D76386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95060F-B317-43D9-9EB6-BDEDD7089D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97541D-06E3-49FF-99C3-B983AC940B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75b636-9176-44b1-9ffd-0f9fbcea5e9c"/>
    <ds:schemaRef ds:uri="4c34338e-9c91-431f-86d1-e3353fe5f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Käbisch, Eva</dc:creator>
  <cp:keywords/>
  <dc:description/>
  <cp:lastModifiedBy>Tranter, Eva</cp:lastModifiedBy>
  <cp:revision>6</cp:revision>
  <dcterms:created xsi:type="dcterms:W3CDTF">2024-01-24T06:09:00Z</dcterms:created>
  <dcterms:modified xsi:type="dcterms:W3CDTF">2024-01-24T18:27:00Z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0x010100190A5F92562E2B498ED0E52EF5D93C7A</vt:lpwstr>
  </property>
</Properties>
</file>