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BA36E" w14:textId="40E61345" w:rsidR="00AF1611" w:rsidRDefault="00AF1611" w:rsidP="00AF1611">
      <w:pPr>
        <w:spacing w:after="0" w:line="48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Supplementary </w:t>
      </w:r>
      <w:r>
        <w:rPr>
          <w:rFonts w:ascii="Arial" w:hAnsi="Arial" w:cs="Arial"/>
          <w:sz w:val="24"/>
          <w:szCs w:val="24"/>
          <w:lang w:val="en-US"/>
        </w:rPr>
        <w:t>figure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1</w:t>
      </w:r>
      <w:r>
        <w:rPr>
          <w:rFonts w:ascii="Arial" w:hAnsi="Arial" w:cs="Arial"/>
          <w:sz w:val="24"/>
          <w:szCs w:val="24"/>
          <w:lang w:val="en-US"/>
        </w:rPr>
        <w:t xml:space="preserve"> Bland-Altman plots for intra- and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interreader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comparisons</w:t>
      </w:r>
    </w:p>
    <w:p w14:paraId="2CB965C4" w14:textId="77777777" w:rsidR="00AF1611" w:rsidRDefault="00AF1611" w:rsidP="00AF1611">
      <w:pPr>
        <w:spacing w:after="0" w:line="480" w:lineRule="auto"/>
        <w:rPr>
          <w:rFonts w:ascii="Arial" w:hAnsi="Arial" w:cs="Arial"/>
          <w:sz w:val="24"/>
          <w:szCs w:val="24"/>
          <w:lang w:val="en-US"/>
        </w:rPr>
      </w:pPr>
      <w:r>
        <w:rPr>
          <w:noProof/>
        </w:rPr>
        <w:drawing>
          <wp:inline distT="0" distB="0" distL="0" distR="0" wp14:anchorId="111CF1CC" wp14:editId="1E74E9F7">
            <wp:extent cx="5760720" cy="7828280"/>
            <wp:effectExtent l="0" t="0" r="0" b="1270"/>
            <wp:docPr id="360122877" name="Grafik 1" descr="Ein Bild, das Text, Zahl, parallel, Schrif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122877" name="Grafik 1" descr="Ein Bild, das Text, Zahl, parallel, Schrif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828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27FAAB" w14:textId="519E47CB" w:rsidR="001F71DB" w:rsidRPr="00AF1611" w:rsidRDefault="00AF1611">
      <w:pPr>
        <w:rPr>
          <w:rFonts w:ascii="Arial" w:hAnsi="Arial" w:cs="Arial"/>
          <w:lang w:val="en-US"/>
        </w:rPr>
      </w:pPr>
      <w:r w:rsidRPr="00965825">
        <w:rPr>
          <w:rFonts w:ascii="Arial" w:hAnsi="Arial" w:cs="Arial"/>
          <w:lang w:val="en-US"/>
        </w:rPr>
        <w:t>Bland-Altman analysis of int</w:t>
      </w:r>
      <w:r>
        <w:rPr>
          <w:rFonts w:ascii="Arial" w:hAnsi="Arial" w:cs="Arial"/>
          <w:lang w:val="en-US"/>
        </w:rPr>
        <w:t>ra</w:t>
      </w:r>
      <w:r w:rsidRPr="00965825">
        <w:rPr>
          <w:rFonts w:ascii="Arial" w:hAnsi="Arial" w:cs="Arial"/>
          <w:lang w:val="en-US"/>
        </w:rPr>
        <w:t xml:space="preserve">observer reproducibility of </w:t>
      </w:r>
      <w:r>
        <w:rPr>
          <w:rFonts w:ascii="Arial" w:hAnsi="Arial" w:cs="Arial"/>
          <w:lang w:val="en-US"/>
        </w:rPr>
        <w:t>left ventricular ejection fraction, right ventricular ejection, global native T</w:t>
      </w:r>
      <w:proofErr w:type="gramStart"/>
      <w:r>
        <w:rPr>
          <w:rFonts w:ascii="Arial" w:hAnsi="Arial" w:cs="Arial"/>
          <w:lang w:val="en-US"/>
        </w:rPr>
        <w:t>1  and</w:t>
      </w:r>
      <w:proofErr w:type="gramEnd"/>
      <w:r>
        <w:rPr>
          <w:rFonts w:ascii="Arial" w:hAnsi="Arial" w:cs="Arial"/>
          <w:lang w:val="en-US"/>
        </w:rPr>
        <w:t xml:space="preserve"> global T2 values. </w:t>
      </w:r>
      <w:r w:rsidRPr="00965825">
        <w:rPr>
          <w:rFonts w:ascii="Arial" w:hAnsi="Arial" w:cs="Arial"/>
          <w:lang w:val="en-US"/>
        </w:rPr>
        <w:t>In</w:t>
      </w:r>
      <w:r>
        <w:rPr>
          <w:rFonts w:ascii="Arial" w:hAnsi="Arial" w:cs="Arial"/>
          <w:lang w:val="en-US"/>
        </w:rPr>
        <w:t>ter</w:t>
      </w:r>
      <w:r w:rsidRPr="00965825">
        <w:rPr>
          <w:rFonts w:ascii="Arial" w:hAnsi="Arial" w:cs="Arial"/>
          <w:lang w:val="en-US"/>
        </w:rPr>
        <w:t xml:space="preserve">observer reproducibility of </w:t>
      </w:r>
      <w:r>
        <w:rPr>
          <w:rFonts w:ascii="Arial" w:hAnsi="Arial" w:cs="Arial"/>
          <w:lang w:val="en-US"/>
        </w:rPr>
        <w:t>left ventricular ejection fraction, right ventricular ejection, global native T1 and global T2 values</w:t>
      </w:r>
      <w:r w:rsidRPr="00965825">
        <w:rPr>
          <w:rFonts w:ascii="Arial" w:hAnsi="Arial" w:cs="Arial"/>
          <w:lang w:val="en-US"/>
        </w:rPr>
        <w:t xml:space="preserve">. </w:t>
      </w:r>
      <w:r>
        <w:rPr>
          <w:rFonts w:ascii="Arial" w:hAnsi="Arial" w:cs="Arial"/>
          <w:lang w:val="en-US"/>
        </w:rPr>
        <w:t>Red</w:t>
      </w:r>
      <w:r w:rsidRPr="00965825">
        <w:rPr>
          <w:rFonts w:ascii="Arial" w:hAnsi="Arial" w:cs="Arial"/>
          <w:lang w:val="en-US"/>
        </w:rPr>
        <w:t xml:space="preserve"> line indicates mean </w:t>
      </w:r>
      <w:r>
        <w:rPr>
          <w:rFonts w:ascii="Arial" w:hAnsi="Arial" w:cs="Arial"/>
          <w:lang w:val="en-US"/>
        </w:rPr>
        <w:t>difference</w:t>
      </w:r>
      <w:r w:rsidRPr="00965825">
        <w:rPr>
          <w:rFonts w:ascii="Arial" w:hAnsi="Arial" w:cs="Arial"/>
          <w:lang w:val="en-US"/>
        </w:rPr>
        <w:t xml:space="preserve">; </w:t>
      </w:r>
      <w:r>
        <w:rPr>
          <w:rFonts w:ascii="Arial" w:hAnsi="Arial" w:cs="Arial"/>
          <w:lang w:val="en-US"/>
        </w:rPr>
        <w:t>green lines</w:t>
      </w:r>
      <w:r w:rsidRPr="00965825">
        <w:rPr>
          <w:rFonts w:ascii="Arial" w:hAnsi="Arial" w:cs="Arial"/>
          <w:lang w:val="en-US"/>
        </w:rPr>
        <w:t xml:space="preserve"> indicate 95%</w:t>
      </w:r>
      <w:r>
        <w:rPr>
          <w:rFonts w:ascii="Arial" w:hAnsi="Arial" w:cs="Arial"/>
          <w:lang w:val="en-US"/>
        </w:rPr>
        <w:t>-limits of agreement</w:t>
      </w:r>
      <w:r w:rsidRPr="00965825">
        <w:rPr>
          <w:rFonts w:ascii="Arial" w:hAnsi="Arial" w:cs="Arial"/>
          <w:lang w:val="en-US"/>
        </w:rPr>
        <w:t>.</w:t>
      </w:r>
    </w:p>
    <w:sectPr w:rsidR="001F71DB" w:rsidRPr="00AF161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611"/>
    <w:rsid w:val="001F71DB"/>
    <w:rsid w:val="00AF1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AAE45"/>
  <w15:chartTrackingRefBased/>
  <w15:docId w15:val="{F49FBC46-A348-4C38-B7D2-2BDE3F2AB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F1611"/>
    <w:rPr>
      <w:kern w:val="0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400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Gröschel, Jan</dc:creator>
  <cp:keywords/>
  <dc:description/>
  <cp:lastModifiedBy>Gröschel, Jan</cp:lastModifiedBy>
  <cp:revision>1</cp:revision>
  <dcterms:created xsi:type="dcterms:W3CDTF">2023-11-14T09:06:00Z</dcterms:created>
  <dcterms:modified xsi:type="dcterms:W3CDTF">2023-11-14T09:06:00Z</dcterms:modified>
</cp:coreProperties>
</file>