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2D1C" w14:textId="77777777" w:rsidR="00874874" w:rsidRDefault="00874874" w:rsidP="00874874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Supplementary table 5. Extracellular volume and late gadolinium enhancement findings in the psoriasis cohort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96"/>
        <w:gridCol w:w="1509"/>
        <w:gridCol w:w="1802"/>
        <w:gridCol w:w="2611"/>
        <w:gridCol w:w="1344"/>
      </w:tblGrid>
      <w:tr w:rsidR="00874874" w:rsidRPr="00EB3E3E" w14:paraId="1156B6EA" w14:textId="77777777" w:rsidTr="008D6EE4">
        <w:tc>
          <w:tcPr>
            <w:tcW w:w="0" w:type="auto"/>
            <w:vAlign w:val="center"/>
          </w:tcPr>
          <w:p w14:paraId="494B7F29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0" w:type="auto"/>
            <w:vAlign w:val="center"/>
          </w:tcPr>
          <w:p w14:paraId="705A28A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Psoriasis (PV) (N=60)</w:t>
            </w:r>
          </w:p>
        </w:tc>
        <w:tc>
          <w:tcPr>
            <w:tcW w:w="0" w:type="auto"/>
            <w:vAlign w:val="center"/>
          </w:tcPr>
          <w:p w14:paraId="4DD56F12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ild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Psoriasis (mPV) (N=24)</w:t>
            </w:r>
          </w:p>
        </w:tc>
        <w:tc>
          <w:tcPr>
            <w:tcW w:w="0" w:type="auto"/>
            <w:vAlign w:val="center"/>
          </w:tcPr>
          <w:p w14:paraId="1012E394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Moderate/s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evere Psoriasis (sPV)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(N=36)</w:t>
            </w:r>
          </w:p>
        </w:tc>
        <w:tc>
          <w:tcPr>
            <w:tcW w:w="0" w:type="auto"/>
            <w:vAlign w:val="center"/>
          </w:tcPr>
          <w:p w14:paraId="3FB156AB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EC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-value mPV vs. sPV</w:t>
            </w:r>
          </w:p>
        </w:tc>
      </w:tr>
      <w:tr w:rsidR="00874874" w:rsidRPr="00C66D1F" w14:paraId="0EFB30E4" w14:textId="77777777" w:rsidTr="008D6EE4">
        <w:tc>
          <w:tcPr>
            <w:tcW w:w="0" w:type="auto"/>
          </w:tcPr>
          <w:p w14:paraId="46B3EBD9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ECV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7F6BD08D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62CA09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918B184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35F02CD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72*</w:t>
            </w:r>
          </w:p>
        </w:tc>
      </w:tr>
      <w:tr w:rsidR="00874874" w:rsidRPr="00C66D1F" w14:paraId="1AD09750" w14:textId="77777777" w:rsidTr="008D6EE4">
        <w:tc>
          <w:tcPr>
            <w:tcW w:w="0" w:type="auto"/>
          </w:tcPr>
          <w:p w14:paraId="558F5A11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ECV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777F23B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22.6 (21.0-24.0)</w:t>
            </w:r>
          </w:p>
        </w:tc>
        <w:tc>
          <w:tcPr>
            <w:tcW w:w="0" w:type="auto"/>
          </w:tcPr>
          <w:p w14:paraId="63898EF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22.5 (21.6-24.0)</w:t>
            </w:r>
          </w:p>
        </w:tc>
        <w:tc>
          <w:tcPr>
            <w:tcW w:w="0" w:type="auto"/>
          </w:tcPr>
          <w:p w14:paraId="2F3DE31C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(20.9-24.0)</w:t>
            </w:r>
          </w:p>
        </w:tc>
        <w:tc>
          <w:tcPr>
            <w:tcW w:w="0" w:type="auto"/>
          </w:tcPr>
          <w:p w14:paraId="743E730C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0.94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874874" w:rsidRPr="00C66D1F" w14:paraId="7E5A3C02" w14:textId="77777777" w:rsidTr="008D6EE4">
        <w:tc>
          <w:tcPr>
            <w:tcW w:w="0" w:type="auto"/>
          </w:tcPr>
          <w:p w14:paraId="4F498698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ECV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52BD4757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23.3 (21.5-24.7)</w:t>
            </w:r>
          </w:p>
        </w:tc>
        <w:tc>
          <w:tcPr>
            <w:tcW w:w="0" w:type="auto"/>
          </w:tcPr>
          <w:p w14:paraId="4266B171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22.8 (21.5-24.0)</w:t>
            </w:r>
          </w:p>
        </w:tc>
        <w:tc>
          <w:tcPr>
            <w:tcW w:w="0" w:type="auto"/>
          </w:tcPr>
          <w:p w14:paraId="78B217E9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(21.5-25.0)</w:t>
            </w:r>
          </w:p>
        </w:tc>
        <w:tc>
          <w:tcPr>
            <w:tcW w:w="0" w:type="auto"/>
          </w:tcPr>
          <w:p w14:paraId="634C3A02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0.54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874874" w:rsidRPr="00741A30" w14:paraId="5FCFCCAE" w14:textId="77777777" w:rsidTr="008D6EE4">
        <w:tc>
          <w:tcPr>
            <w:tcW w:w="0" w:type="auto"/>
          </w:tcPr>
          <w:p w14:paraId="66BD1E66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LGE present</w:t>
            </w:r>
          </w:p>
        </w:tc>
        <w:tc>
          <w:tcPr>
            <w:tcW w:w="0" w:type="auto"/>
          </w:tcPr>
          <w:p w14:paraId="00440AB2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17/60 (28.3%)</w:t>
            </w:r>
          </w:p>
        </w:tc>
        <w:tc>
          <w:tcPr>
            <w:tcW w:w="0" w:type="auto"/>
          </w:tcPr>
          <w:p w14:paraId="4D5B07C2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9/24 (37.5%)</w:t>
            </w:r>
          </w:p>
        </w:tc>
        <w:tc>
          <w:tcPr>
            <w:tcW w:w="0" w:type="auto"/>
          </w:tcPr>
          <w:p w14:paraId="3845870E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8/36 (22.2%)</w:t>
            </w:r>
          </w:p>
        </w:tc>
        <w:tc>
          <w:tcPr>
            <w:tcW w:w="0" w:type="auto"/>
          </w:tcPr>
          <w:p w14:paraId="5E5AE353" w14:textId="77777777" w:rsidR="00874874" w:rsidRPr="00741A30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74874" w:rsidRPr="00C66D1F" w14:paraId="00893905" w14:textId="77777777" w:rsidTr="008D6EE4">
        <w:tc>
          <w:tcPr>
            <w:tcW w:w="0" w:type="auto"/>
          </w:tcPr>
          <w:p w14:paraId="41EC0DC5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LGE ischemic</w:t>
            </w:r>
          </w:p>
        </w:tc>
        <w:tc>
          <w:tcPr>
            <w:tcW w:w="0" w:type="auto"/>
          </w:tcPr>
          <w:p w14:paraId="17D9214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0/17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0%)</w:t>
            </w:r>
          </w:p>
        </w:tc>
        <w:tc>
          <w:tcPr>
            <w:tcW w:w="0" w:type="auto"/>
          </w:tcPr>
          <w:p w14:paraId="7FDD503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0/9 (0%)</w:t>
            </w:r>
          </w:p>
        </w:tc>
        <w:tc>
          <w:tcPr>
            <w:tcW w:w="0" w:type="auto"/>
          </w:tcPr>
          <w:p w14:paraId="685A4DA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0/8 (0%)</w:t>
            </w:r>
          </w:p>
        </w:tc>
        <w:tc>
          <w:tcPr>
            <w:tcW w:w="0" w:type="auto"/>
          </w:tcPr>
          <w:p w14:paraId="6B60EDA1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74874" w:rsidRPr="00C66D1F" w14:paraId="3462561E" w14:textId="77777777" w:rsidTr="008D6EE4">
        <w:tc>
          <w:tcPr>
            <w:tcW w:w="0" w:type="auto"/>
          </w:tcPr>
          <w:p w14:paraId="2B5D2E4A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LGE non-ischemic</w:t>
            </w:r>
          </w:p>
        </w:tc>
        <w:tc>
          <w:tcPr>
            <w:tcW w:w="0" w:type="auto"/>
          </w:tcPr>
          <w:p w14:paraId="30C58C9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17/17 (100%)</w:t>
            </w:r>
          </w:p>
        </w:tc>
        <w:tc>
          <w:tcPr>
            <w:tcW w:w="0" w:type="auto"/>
          </w:tcPr>
          <w:p w14:paraId="25AEB184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9/9 (100%)</w:t>
            </w:r>
          </w:p>
        </w:tc>
        <w:tc>
          <w:tcPr>
            <w:tcW w:w="0" w:type="auto"/>
          </w:tcPr>
          <w:p w14:paraId="39DCE96F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8/8 (100%)</w:t>
            </w:r>
          </w:p>
        </w:tc>
        <w:tc>
          <w:tcPr>
            <w:tcW w:w="0" w:type="auto"/>
          </w:tcPr>
          <w:p w14:paraId="6AF42CAA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74874" w:rsidRPr="00C66D1F" w14:paraId="556FF170" w14:textId="77777777" w:rsidTr="008D6EE4">
        <w:tc>
          <w:tcPr>
            <w:tcW w:w="0" w:type="auto"/>
          </w:tcPr>
          <w:p w14:paraId="3B8E8727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LGE subepicardial</w:t>
            </w:r>
          </w:p>
        </w:tc>
        <w:tc>
          <w:tcPr>
            <w:tcW w:w="0" w:type="auto"/>
          </w:tcPr>
          <w:p w14:paraId="65E3BD3B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5/17 (29%)</w:t>
            </w:r>
          </w:p>
        </w:tc>
        <w:tc>
          <w:tcPr>
            <w:tcW w:w="0" w:type="auto"/>
          </w:tcPr>
          <w:p w14:paraId="6CDF6702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3/9 (33%)</w:t>
            </w:r>
          </w:p>
        </w:tc>
        <w:tc>
          <w:tcPr>
            <w:tcW w:w="0" w:type="auto"/>
          </w:tcPr>
          <w:p w14:paraId="517FAB1E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2/8 (25%)</w:t>
            </w:r>
          </w:p>
        </w:tc>
        <w:tc>
          <w:tcPr>
            <w:tcW w:w="0" w:type="auto"/>
          </w:tcPr>
          <w:p w14:paraId="29D46D40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0.71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74874" w:rsidRPr="00C66D1F" w14:paraId="703EC1AC" w14:textId="77777777" w:rsidTr="008D6EE4">
        <w:tc>
          <w:tcPr>
            <w:tcW w:w="0" w:type="auto"/>
          </w:tcPr>
          <w:p w14:paraId="428E309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LGE intramyocardial</w:t>
            </w:r>
          </w:p>
        </w:tc>
        <w:tc>
          <w:tcPr>
            <w:tcW w:w="0" w:type="auto"/>
          </w:tcPr>
          <w:p w14:paraId="63EA5DE7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7/17 (41%)</w:t>
            </w:r>
          </w:p>
        </w:tc>
        <w:tc>
          <w:tcPr>
            <w:tcW w:w="0" w:type="auto"/>
          </w:tcPr>
          <w:p w14:paraId="31215357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4/9 (44%)</w:t>
            </w:r>
          </w:p>
        </w:tc>
        <w:tc>
          <w:tcPr>
            <w:tcW w:w="0" w:type="auto"/>
          </w:tcPr>
          <w:p w14:paraId="6687041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3/8 (37.5%)</w:t>
            </w:r>
          </w:p>
        </w:tc>
        <w:tc>
          <w:tcPr>
            <w:tcW w:w="0" w:type="auto"/>
          </w:tcPr>
          <w:p w14:paraId="64B43414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0.77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874874" w:rsidRPr="00C66D1F" w14:paraId="3935F08B" w14:textId="77777777" w:rsidTr="008D6EE4">
        <w:tc>
          <w:tcPr>
            <w:tcW w:w="0" w:type="auto"/>
          </w:tcPr>
          <w:p w14:paraId="3298DE98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LGE RV </w:t>
            </w:r>
            <w:proofErr w:type="spellStart"/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insertionpoint</w:t>
            </w:r>
            <w:proofErr w:type="spellEnd"/>
          </w:p>
        </w:tc>
        <w:tc>
          <w:tcPr>
            <w:tcW w:w="0" w:type="auto"/>
          </w:tcPr>
          <w:p w14:paraId="2DA0317B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5/17 (29%)</w:t>
            </w:r>
          </w:p>
        </w:tc>
        <w:tc>
          <w:tcPr>
            <w:tcW w:w="0" w:type="auto"/>
          </w:tcPr>
          <w:p w14:paraId="7597015D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2/9 (22%)</w:t>
            </w:r>
          </w:p>
        </w:tc>
        <w:tc>
          <w:tcPr>
            <w:tcW w:w="0" w:type="auto"/>
          </w:tcPr>
          <w:p w14:paraId="3D1C4A24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3/8 (37.5%)</w:t>
            </w:r>
          </w:p>
        </w:tc>
        <w:tc>
          <w:tcPr>
            <w:tcW w:w="0" w:type="auto"/>
          </w:tcPr>
          <w:p w14:paraId="01551C93" w14:textId="77777777" w:rsidR="00874874" w:rsidRPr="00C66D1F" w:rsidRDefault="00874874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457C13">
              <w:rPr>
                <w:rFonts w:ascii="Arial" w:hAnsi="Arial" w:cs="Arial"/>
                <w:sz w:val="18"/>
                <w:szCs w:val="18"/>
                <w:lang w:val="en-US"/>
              </w:rPr>
              <w:t>.49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</w:tbl>
    <w:p w14:paraId="6559E6BA" w14:textId="77777777" w:rsidR="00874874" w:rsidRDefault="00874874" w:rsidP="00874874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ECV=extracellular volume, LGE=late gadolinium enhancement.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‡</w:t>
      </w:r>
      <w:r>
        <w:rPr>
          <w:rFonts w:ascii="Arial" w:hAnsi="Arial" w:cs="Arial"/>
          <w:sz w:val="24"/>
          <w:szCs w:val="24"/>
          <w:lang w:val="en-US"/>
        </w:rPr>
        <w:t>Chi-square test or Fisher’s exact test.</w:t>
      </w:r>
    </w:p>
    <w:p w14:paraId="61D90470" w14:textId="77777777" w:rsidR="001F71DB" w:rsidRPr="00874874" w:rsidRDefault="001F71DB">
      <w:pPr>
        <w:rPr>
          <w:lang w:val="en-US"/>
        </w:rPr>
      </w:pPr>
    </w:p>
    <w:sectPr w:rsidR="001F71DB" w:rsidRPr="008748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874"/>
    <w:rsid w:val="001F71DB"/>
    <w:rsid w:val="0087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05A8C"/>
  <w15:chartTrackingRefBased/>
  <w15:docId w15:val="{8A9FF971-5506-4D1F-A239-9C73A31D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4874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7487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800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2023-11-14T09:05:00Z</dcterms:created>
  <dcterms:modified xsi:type="dcterms:W3CDTF">2023-11-14T09:05:00Z</dcterms:modified>
</cp:coreProperties>
</file>