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0DC73" w14:textId="4A601332" w:rsidR="008734C8" w:rsidRPr="008B36A4" w:rsidRDefault="00C77BDD">
      <w:pPr>
        <w:rPr>
          <w:rFonts w:ascii="Arial" w:hAnsi="Arial" w:cs="Arial"/>
          <w:b/>
          <w:bCs/>
        </w:rPr>
      </w:pPr>
      <w:r w:rsidRPr="008B36A4">
        <w:rPr>
          <w:rFonts w:ascii="Arial" w:hAnsi="Arial" w:cs="Arial"/>
          <w:b/>
          <w:bCs/>
        </w:rPr>
        <w:t>Supplementary Table 1</w:t>
      </w:r>
      <w:r w:rsidR="008A7603" w:rsidRPr="008B36A4">
        <w:rPr>
          <w:rFonts w:ascii="Arial" w:hAnsi="Arial" w:cs="Arial"/>
          <w:b/>
          <w:bCs/>
        </w:rPr>
        <w:t>. Summary of included studies, quoted a</w:t>
      </w:r>
      <w:bookmarkStart w:id="0" w:name="_GoBack"/>
      <w:bookmarkEnd w:id="0"/>
      <w:r w:rsidR="008A7603" w:rsidRPr="008B36A4">
        <w:rPr>
          <w:rFonts w:ascii="Arial" w:hAnsi="Arial" w:cs="Arial"/>
          <w:b/>
          <w:bCs/>
        </w:rPr>
        <w:t>nd estimated statistics and Johanna Briggs critical appraisal assessment</w:t>
      </w:r>
    </w:p>
    <w:p w14:paraId="759CF9DB" w14:textId="356FEC57" w:rsidR="00C77BDD" w:rsidRPr="008B36A4" w:rsidRDefault="00C77BDD">
      <w:pPr>
        <w:rPr>
          <w:rFonts w:ascii="Arial" w:hAnsi="Arial" w:cs="Arial"/>
        </w:rPr>
      </w:pPr>
    </w:p>
    <w:tbl>
      <w:tblPr>
        <w:tblStyle w:val="PlainTable2"/>
        <w:tblW w:w="23084" w:type="dxa"/>
        <w:tblLayout w:type="fixed"/>
        <w:tblCellMar>
          <w:top w:w="28" w:type="dxa"/>
          <w:bottom w:w="28" w:type="dxa"/>
        </w:tblCellMar>
        <w:tblLook w:val="0620" w:firstRow="1" w:lastRow="0" w:firstColumn="0" w:lastColumn="0" w:noHBand="1" w:noVBand="1"/>
      </w:tblPr>
      <w:tblGrid>
        <w:gridCol w:w="410"/>
        <w:gridCol w:w="437"/>
        <w:gridCol w:w="1705"/>
        <w:gridCol w:w="569"/>
        <w:gridCol w:w="6"/>
        <w:gridCol w:w="1024"/>
        <w:gridCol w:w="6"/>
        <w:gridCol w:w="912"/>
        <w:gridCol w:w="6"/>
        <w:gridCol w:w="912"/>
        <w:gridCol w:w="6"/>
        <w:gridCol w:w="1378"/>
        <w:gridCol w:w="1560"/>
        <w:gridCol w:w="1193"/>
        <w:gridCol w:w="1358"/>
        <w:gridCol w:w="893"/>
        <w:gridCol w:w="1233"/>
        <w:gridCol w:w="567"/>
        <w:gridCol w:w="17"/>
        <w:gridCol w:w="25"/>
        <w:gridCol w:w="529"/>
        <w:gridCol w:w="425"/>
        <w:gridCol w:w="1254"/>
        <w:gridCol w:w="25"/>
        <w:gridCol w:w="21"/>
        <w:gridCol w:w="627"/>
        <w:gridCol w:w="25"/>
        <w:gridCol w:w="21"/>
        <w:gridCol w:w="711"/>
        <w:gridCol w:w="25"/>
        <w:gridCol w:w="21"/>
        <w:gridCol w:w="619"/>
        <w:gridCol w:w="25"/>
        <w:gridCol w:w="21"/>
        <w:gridCol w:w="716"/>
        <w:gridCol w:w="25"/>
        <w:gridCol w:w="21"/>
        <w:gridCol w:w="717"/>
        <w:gridCol w:w="25"/>
        <w:gridCol w:w="21"/>
        <w:gridCol w:w="750"/>
        <w:gridCol w:w="703"/>
        <w:gridCol w:w="750"/>
        <w:gridCol w:w="790"/>
      </w:tblGrid>
      <w:tr w:rsidR="00F62694" w:rsidRPr="008E4E40" w14:paraId="1B7AEA5D" w14:textId="77777777" w:rsidTr="008B36A4">
        <w:trPr>
          <w:cnfStyle w:val="100000000000" w:firstRow="1" w:lastRow="0" w:firstColumn="0" w:lastColumn="0" w:oddVBand="0" w:evenVBand="0" w:oddHBand="0" w:evenHBand="0" w:firstRowFirstColumn="0" w:firstRowLastColumn="0" w:lastRowFirstColumn="0" w:lastRowLastColumn="0"/>
          <w:cantSplit/>
          <w:trHeight w:val="336"/>
          <w:tblHeader/>
        </w:trPr>
        <w:tc>
          <w:tcPr>
            <w:tcW w:w="410" w:type="dxa"/>
            <w:noWrap/>
            <w:hideMark/>
          </w:tcPr>
          <w:p w14:paraId="12076EE4" w14:textId="3808CD80"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No</w:t>
            </w:r>
            <w:r w:rsidR="00AF5F31">
              <w:rPr>
                <w:rFonts w:ascii="Arial" w:eastAsia="Times New Roman" w:hAnsi="Arial" w:cs="Arial"/>
                <w:color w:val="000000" w:themeColor="text1"/>
                <w:sz w:val="12"/>
                <w:szCs w:val="12"/>
                <w:lang w:eastAsia="en-AU"/>
              </w:rPr>
              <w:t>.</w:t>
            </w:r>
          </w:p>
        </w:tc>
        <w:tc>
          <w:tcPr>
            <w:tcW w:w="437" w:type="dxa"/>
            <w:noWrap/>
            <w:hideMark/>
          </w:tcPr>
          <w:p w14:paraId="4235D7FA" w14:textId="13810AFD" w:rsidR="00F62694" w:rsidRPr="00C77BDD" w:rsidRDefault="00F62694" w:rsidP="00C77BDD">
            <w:pPr>
              <w:rPr>
                <w:rFonts w:ascii="Arial" w:eastAsia="Times New Roman" w:hAnsi="Arial" w:cs="Arial"/>
                <w:b w:val="0"/>
                <w:bCs w:val="0"/>
                <w:color w:val="000000" w:themeColor="text1"/>
                <w:sz w:val="12"/>
                <w:szCs w:val="12"/>
                <w:lang w:eastAsia="en-AU"/>
              </w:rPr>
            </w:pPr>
            <w:r w:rsidRPr="00F73AC1">
              <w:rPr>
                <w:rFonts w:ascii="Arial" w:eastAsia="Times New Roman" w:hAnsi="Arial" w:cs="Arial"/>
                <w:color w:val="000000" w:themeColor="text1"/>
                <w:sz w:val="12"/>
                <w:szCs w:val="12"/>
                <w:lang w:eastAsia="en-AU"/>
              </w:rPr>
              <w:t>Seq</w:t>
            </w:r>
          </w:p>
        </w:tc>
        <w:tc>
          <w:tcPr>
            <w:tcW w:w="1705" w:type="dxa"/>
            <w:hideMark/>
          </w:tcPr>
          <w:p w14:paraId="26AB5FAC" w14:textId="6F95634E"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Study</w:t>
            </w:r>
            <w:r w:rsidR="00D91285">
              <w:rPr>
                <w:rFonts w:ascii="Arial" w:eastAsia="Times New Roman" w:hAnsi="Arial" w:cs="Arial"/>
                <w:color w:val="000000" w:themeColor="text1"/>
                <w:sz w:val="12"/>
                <w:szCs w:val="12"/>
                <w:lang w:eastAsia="en-AU"/>
              </w:rPr>
              <w:t xml:space="preserve"> [</w:t>
            </w:r>
            <w:r w:rsidR="008F05C7">
              <w:rPr>
                <w:rFonts w:ascii="Arial" w:eastAsia="Times New Roman" w:hAnsi="Arial" w:cs="Arial"/>
                <w:color w:val="000000" w:themeColor="text1"/>
                <w:sz w:val="12"/>
                <w:szCs w:val="12"/>
                <w:lang w:eastAsia="en-AU"/>
              </w:rPr>
              <w:t>R</w:t>
            </w:r>
            <w:r>
              <w:rPr>
                <w:rFonts w:ascii="Arial" w:eastAsia="Times New Roman" w:hAnsi="Arial" w:cs="Arial"/>
                <w:color w:val="000000" w:themeColor="text1"/>
                <w:sz w:val="12"/>
                <w:szCs w:val="12"/>
                <w:lang w:eastAsia="en-AU"/>
              </w:rPr>
              <w:t>ef</w:t>
            </w:r>
            <w:r w:rsidR="00D91285">
              <w:rPr>
                <w:rFonts w:ascii="Arial" w:eastAsia="Times New Roman" w:hAnsi="Arial" w:cs="Arial"/>
                <w:color w:val="000000" w:themeColor="text1"/>
                <w:sz w:val="12"/>
                <w:szCs w:val="12"/>
                <w:lang w:eastAsia="en-AU"/>
              </w:rPr>
              <w:t>]</w:t>
            </w:r>
          </w:p>
        </w:tc>
        <w:tc>
          <w:tcPr>
            <w:tcW w:w="575" w:type="dxa"/>
            <w:gridSpan w:val="2"/>
            <w:hideMark/>
          </w:tcPr>
          <w:p w14:paraId="178218C3"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Year of study</w:t>
            </w:r>
          </w:p>
        </w:tc>
        <w:tc>
          <w:tcPr>
            <w:tcW w:w="1030" w:type="dxa"/>
            <w:gridSpan w:val="2"/>
            <w:hideMark/>
          </w:tcPr>
          <w:p w14:paraId="74FCAB0E"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Region</w:t>
            </w:r>
          </w:p>
        </w:tc>
        <w:tc>
          <w:tcPr>
            <w:tcW w:w="918" w:type="dxa"/>
            <w:gridSpan w:val="2"/>
          </w:tcPr>
          <w:p w14:paraId="1BBBB19D" w14:textId="7492C1B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Female Life-expectancy (Yrs)</w:t>
            </w:r>
          </w:p>
        </w:tc>
        <w:tc>
          <w:tcPr>
            <w:tcW w:w="918" w:type="dxa"/>
            <w:gridSpan w:val="2"/>
            <w:hideMark/>
          </w:tcPr>
          <w:p w14:paraId="27B197A2" w14:textId="0AD4AB48"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Study design</w:t>
            </w:r>
          </w:p>
        </w:tc>
        <w:tc>
          <w:tcPr>
            <w:tcW w:w="1378" w:type="dxa"/>
            <w:hideMark/>
          </w:tcPr>
          <w:p w14:paraId="6312EB6E"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Setting</w:t>
            </w:r>
          </w:p>
        </w:tc>
        <w:tc>
          <w:tcPr>
            <w:tcW w:w="1560" w:type="dxa"/>
            <w:hideMark/>
          </w:tcPr>
          <w:p w14:paraId="67DEC309"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Recruitment</w:t>
            </w:r>
          </w:p>
        </w:tc>
        <w:tc>
          <w:tcPr>
            <w:tcW w:w="1193" w:type="dxa"/>
            <w:hideMark/>
          </w:tcPr>
          <w:p w14:paraId="67ED1592"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Diagnostic criteria</w:t>
            </w:r>
          </w:p>
        </w:tc>
        <w:tc>
          <w:tcPr>
            <w:tcW w:w="1358" w:type="dxa"/>
            <w:hideMark/>
          </w:tcPr>
          <w:p w14:paraId="0D61720F"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AQP4 assay</w:t>
            </w:r>
          </w:p>
        </w:tc>
        <w:tc>
          <w:tcPr>
            <w:tcW w:w="893" w:type="dxa"/>
            <w:hideMark/>
          </w:tcPr>
          <w:p w14:paraId="2B643D2C" w14:textId="0BF019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 xml:space="preserve">AQP4 </w:t>
            </w:r>
            <w:r>
              <w:rPr>
                <w:rFonts w:ascii="Arial" w:eastAsia="Times New Roman" w:hAnsi="Arial" w:cs="Arial"/>
                <w:color w:val="000000" w:themeColor="text1"/>
                <w:sz w:val="12"/>
                <w:szCs w:val="12"/>
                <w:lang w:eastAsia="en-AU"/>
              </w:rPr>
              <w:t>antibody</w:t>
            </w:r>
            <w:r w:rsidRPr="00C77BDD">
              <w:rPr>
                <w:rFonts w:ascii="Arial" w:eastAsia="Times New Roman" w:hAnsi="Arial" w:cs="Arial"/>
                <w:color w:val="000000" w:themeColor="text1"/>
                <w:sz w:val="12"/>
                <w:szCs w:val="12"/>
                <w:lang w:eastAsia="en-AU"/>
              </w:rPr>
              <w:t xml:space="preserve"> </w:t>
            </w:r>
            <w:r>
              <w:rPr>
                <w:rFonts w:ascii="Arial" w:eastAsia="Times New Roman" w:hAnsi="Arial" w:cs="Arial"/>
                <w:color w:val="000000" w:themeColor="text1"/>
                <w:sz w:val="12"/>
                <w:szCs w:val="12"/>
                <w:lang w:eastAsia="en-AU"/>
              </w:rPr>
              <w:t>postive (%)</w:t>
            </w:r>
          </w:p>
        </w:tc>
        <w:tc>
          <w:tcPr>
            <w:tcW w:w="1233" w:type="dxa"/>
            <w:hideMark/>
          </w:tcPr>
          <w:p w14:paraId="3F8B8B17" w14:textId="1F395DF9"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Est</w:t>
            </w:r>
            <w:r>
              <w:rPr>
                <w:rFonts w:ascii="Arial" w:eastAsia="Times New Roman" w:hAnsi="Arial" w:cs="Arial"/>
                <w:color w:val="000000" w:themeColor="text1"/>
                <w:sz w:val="12"/>
                <w:szCs w:val="12"/>
                <w:lang w:eastAsia="en-AU"/>
              </w:rPr>
              <w:t>imated</w:t>
            </w:r>
            <w:r w:rsidRPr="00C77BDD">
              <w:rPr>
                <w:rFonts w:ascii="Arial" w:eastAsia="Times New Roman" w:hAnsi="Arial" w:cs="Arial"/>
                <w:color w:val="000000" w:themeColor="text1"/>
                <w:sz w:val="12"/>
                <w:szCs w:val="12"/>
                <w:lang w:eastAsia="en-AU"/>
              </w:rPr>
              <w:t xml:space="preserve"> response rate</w:t>
            </w:r>
          </w:p>
        </w:tc>
        <w:tc>
          <w:tcPr>
            <w:tcW w:w="584" w:type="dxa"/>
            <w:gridSpan w:val="2"/>
            <w:hideMark/>
          </w:tcPr>
          <w:p w14:paraId="6763BD7B"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N</w:t>
            </w:r>
          </w:p>
        </w:tc>
        <w:tc>
          <w:tcPr>
            <w:tcW w:w="554" w:type="dxa"/>
            <w:gridSpan w:val="2"/>
            <w:hideMark/>
          </w:tcPr>
          <w:p w14:paraId="78690680" w14:textId="7AF06922"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Fem</w:t>
            </w:r>
          </w:p>
        </w:tc>
        <w:tc>
          <w:tcPr>
            <w:tcW w:w="425" w:type="dxa"/>
            <w:hideMark/>
          </w:tcPr>
          <w:p w14:paraId="702B4F23" w14:textId="73FE38FB"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Mal</w:t>
            </w:r>
          </w:p>
        </w:tc>
        <w:tc>
          <w:tcPr>
            <w:tcW w:w="1279" w:type="dxa"/>
            <w:gridSpan w:val="2"/>
            <w:hideMark/>
          </w:tcPr>
          <w:p w14:paraId="0DF8D4F9" w14:textId="77777777" w:rsidR="00F62694" w:rsidRPr="00F73AC1"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Age of onset (Yrs)</w:t>
            </w:r>
          </w:p>
          <w:p w14:paraId="625EE006" w14:textId="4A333635" w:rsidR="00F62694" w:rsidRPr="00F73AC1" w:rsidRDefault="00F62694" w:rsidP="00C77BDD">
            <w:pPr>
              <w:rPr>
                <w:rFonts w:ascii="Arial" w:eastAsia="Times New Roman" w:hAnsi="Arial" w:cs="Arial"/>
                <w:b w:val="0"/>
                <w:bCs w:val="0"/>
                <w:color w:val="000000" w:themeColor="text1"/>
                <w:sz w:val="12"/>
                <w:szCs w:val="12"/>
                <w:lang w:eastAsia="en-AU"/>
              </w:rPr>
            </w:pPr>
            <w:r w:rsidRPr="00F73AC1">
              <w:rPr>
                <w:rFonts w:ascii="Arial" w:eastAsia="Times New Roman" w:hAnsi="Arial" w:cs="Arial"/>
                <w:color w:val="000000" w:themeColor="text1"/>
                <w:sz w:val="12"/>
                <w:szCs w:val="12"/>
                <w:lang w:eastAsia="en-AU"/>
              </w:rPr>
              <w:t>M</w:t>
            </w:r>
            <w:r w:rsidRPr="00C77BDD">
              <w:rPr>
                <w:rFonts w:ascii="Arial" w:eastAsia="Times New Roman" w:hAnsi="Arial" w:cs="Arial"/>
                <w:color w:val="000000" w:themeColor="text1"/>
                <w:sz w:val="12"/>
                <w:szCs w:val="12"/>
                <w:lang w:eastAsia="en-AU"/>
              </w:rPr>
              <w:t>ean ± SD</w:t>
            </w:r>
          </w:p>
          <w:p w14:paraId="4887EE9F" w14:textId="2349D436" w:rsidR="00F62694" w:rsidRPr="00C77BDD" w:rsidRDefault="00F62694" w:rsidP="00C77BDD">
            <w:pPr>
              <w:rPr>
                <w:rFonts w:ascii="Arial" w:eastAsia="Times New Roman" w:hAnsi="Arial" w:cs="Arial"/>
                <w:b w:val="0"/>
                <w:bCs w:val="0"/>
                <w:color w:val="000000" w:themeColor="text1"/>
                <w:sz w:val="12"/>
                <w:szCs w:val="12"/>
                <w:lang w:eastAsia="en-AU"/>
              </w:rPr>
            </w:pPr>
            <w:r w:rsidRPr="00F73AC1">
              <w:rPr>
                <w:rFonts w:ascii="Arial" w:eastAsia="Times New Roman" w:hAnsi="Arial" w:cs="Arial"/>
                <w:color w:val="000000" w:themeColor="text1"/>
                <w:sz w:val="12"/>
                <w:szCs w:val="12"/>
                <w:lang w:eastAsia="en-AU"/>
              </w:rPr>
              <w:t>M</w:t>
            </w:r>
            <w:r w:rsidRPr="00C77BDD">
              <w:rPr>
                <w:rFonts w:ascii="Arial" w:eastAsia="Times New Roman" w:hAnsi="Arial" w:cs="Arial"/>
                <w:color w:val="000000" w:themeColor="text1"/>
                <w:sz w:val="12"/>
                <w:szCs w:val="12"/>
                <w:lang w:eastAsia="en-AU"/>
              </w:rPr>
              <w:t>edian (range)</w:t>
            </w:r>
          </w:p>
        </w:tc>
        <w:tc>
          <w:tcPr>
            <w:tcW w:w="673" w:type="dxa"/>
            <w:gridSpan w:val="3"/>
            <w:hideMark/>
          </w:tcPr>
          <w:p w14:paraId="21DA1BCF"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Sample frame</w:t>
            </w:r>
          </w:p>
        </w:tc>
        <w:tc>
          <w:tcPr>
            <w:tcW w:w="757" w:type="dxa"/>
            <w:gridSpan w:val="3"/>
            <w:hideMark/>
          </w:tcPr>
          <w:p w14:paraId="4769AA11"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Sampling</w:t>
            </w:r>
          </w:p>
        </w:tc>
        <w:tc>
          <w:tcPr>
            <w:tcW w:w="665" w:type="dxa"/>
            <w:gridSpan w:val="3"/>
            <w:hideMark/>
          </w:tcPr>
          <w:p w14:paraId="3BAE2E29"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Sample size</w:t>
            </w:r>
          </w:p>
        </w:tc>
        <w:tc>
          <w:tcPr>
            <w:tcW w:w="762" w:type="dxa"/>
            <w:gridSpan w:val="3"/>
            <w:hideMark/>
          </w:tcPr>
          <w:p w14:paraId="242DA886"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Subjects &amp; setting</w:t>
            </w:r>
          </w:p>
        </w:tc>
        <w:tc>
          <w:tcPr>
            <w:tcW w:w="763" w:type="dxa"/>
            <w:gridSpan w:val="3"/>
            <w:hideMark/>
          </w:tcPr>
          <w:p w14:paraId="06A6D70D"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Coverage</w:t>
            </w:r>
          </w:p>
        </w:tc>
        <w:tc>
          <w:tcPr>
            <w:tcW w:w="771" w:type="dxa"/>
            <w:gridSpan w:val="2"/>
            <w:hideMark/>
          </w:tcPr>
          <w:p w14:paraId="4994D44E" w14:textId="3E484431"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Identifi</w:t>
            </w:r>
            <w:r w:rsidR="006D5C0E">
              <w:rPr>
                <w:rFonts w:ascii="Arial" w:eastAsia="Times New Roman" w:hAnsi="Arial" w:cs="Arial"/>
                <w:color w:val="000000" w:themeColor="text1"/>
                <w:sz w:val="12"/>
                <w:szCs w:val="12"/>
                <w:lang w:eastAsia="en-AU"/>
              </w:rPr>
              <w:t>-cation</w:t>
            </w:r>
          </w:p>
        </w:tc>
        <w:tc>
          <w:tcPr>
            <w:tcW w:w="703" w:type="dxa"/>
            <w:hideMark/>
          </w:tcPr>
          <w:p w14:paraId="6DA19238"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Measure</w:t>
            </w:r>
          </w:p>
        </w:tc>
        <w:tc>
          <w:tcPr>
            <w:tcW w:w="750" w:type="dxa"/>
            <w:hideMark/>
          </w:tcPr>
          <w:p w14:paraId="6A735F09" w14:textId="77777777" w:rsidR="00F62694" w:rsidRPr="00C77BDD"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Statistics</w:t>
            </w:r>
          </w:p>
        </w:tc>
        <w:tc>
          <w:tcPr>
            <w:tcW w:w="790" w:type="dxa"/>
            <w:hideMark/>
          </w:tcPr>
          <w:p w14:paraId="76D9766D" w14:textId="77777777" w:rsidR="00F62694" w:rsidRDefault="00F62694" w:rsidP="00C77BDD">
            <w:pPr>
              <w:rPr>
                <w:rFonts w:ascii="Arial" w:eastAsia="Times New Roman" w:hAnsi="Arial" w:cs="Arial"/>
                <w:b w:val="0"/>
                <w:bCs w:val="0"/>
                <w:color w:val="000000" w:themeColor="text1"/>
                <w:sz w:val="12"/>
                <w:szCs w:val="12"/>
                <w:lang w:eastAsia="en-AU"/>
              </w:rPr>
            </w:pPr>
            <w:r w:rsidRPr="00C77BDD">
              <w:rPr>
                <w:rFonts w:ascii="Arial" w:eastAsia="Times New Roman" w:hAnsi="Arial" w:cs="Arial"/>
                <w:color w:val="000000" w:themeColor="text1"/>
                <w:sz w:val="12"/>
                <w:szCs w:val="12"/>
                <w:lang w:eastAsia="en-AU"/>
              </w:rPr>
              <w:t>Response</w:t>
            </w:r>
          </w:p>
          <w:p w14:paraId="6711BD4D" w14:textId="492FC046" w:rsidR="00F62694" w:rsidRPr="00C77BDD" w:rsidRDefault="00F62694" w:rsidP="00C77BDD">
            <w:pPr>
              <w:rPr>
                <w:rFonts w:ascii="Arial" w:eastAsia="Times New Roman" w:hAnsi="Arial" w:cs="Arial"/>
                <w:b w:val="0"/>
                <w:bCs w:val="0"/>
                <w:color w:val="000000" w:themeColor="text1"/>
                <w:sz w:val="12"/>
                <w:szCs w:val="12"/>
                <w:lang w:eastAsia="en-AU"/>
              </w:rPr>
            </w:pPr>
            <w:r>
              <w:rPr>
                <w:rFonts w:ascii="Arial" w:eastAsia="Times New Roman" w:hAnsi="Arial" w:cs="Arial"/>
                <w:color w:val="000000" w:themeColor="text1"/>
                <w:sz w:val="12"/>
                <w:szCs w:val="12"/>
                <w:lang w:eastAsia="en-AU"/>
              </w:rPr>
              <w:t>rate</w:t>
            </w:r>
          </w:p>
        </w:tc>
      </w:tr>
      <w:tr w:rsidR="00F62694" w:rsidRPr="008E4E40" w14:paraId="53F1EA21" w14:textId="77777777" w:rsidTr="008B36A4">
        <w:trPr>
          <w:cantSplit/>
          <w:trHeight w:val="121"/>
        </w:trPr>
        <w:tc>
          <w:tcPr>
            <w:tcW w:w="3121" w:type="dxa"/>
            <w:gridSpan w:val="4"/>
            <w:noWrap/>
            <w:hideMark/>
          </w:tcPr>
          <w:p w14:paraId="53E002FB" w14:textId="37F05AF7" w:rsidR="00F62694" w:rsidRPr="00DB3383" w:rsidRDefault="00F62694" w:rsidP="00C77BDD">
            <w:pPr>
              <w:rPr>
                <w:rFonts w:ascii="Arial" w:eastAsia="Times New Roman" w:hAnsi="Arial" w:cs="Arial"/>
                <w:b/>
                <w:bCs/>
                <w:i/>
                <w:iCs/>
                <w:color w:val="000000" w:themeColor="text1"/>
                <w:sz w:val="12"/>
                <w:szCs w:val="12"/>
                <w:lang w:eastAsia="en-AU"/>
              </w:rPr>
            </w:pPr>
            <w:r w:rsidRPr="00DB3383">
              <w:rPr>
                <w:rFonts w:ascii="Arial" w:eastAsia="Times New Roman" w:hAnsi="Arial" w:cs="Arial"/>
                <w:b/>
                <w:bCs/>
                <w:i/>
                <w:iCs/>
                <w:color w:val="000000" w:themeColor="text1"/>
                <w:sz w:val="12"/>
                <w:szCs w:val="12"/>
                <w:lang w:eastAsia="en-AU"/>
              </w:rPr>
              <w:t>Whole Population Studies</w:t>
            </w:r>
          </w:p>
        </w:tc>
        <w:tc>
          <w:tcPr>
            <w:tcW w:w="1030" w:type="dxa"/>
            <w:gridSpan w:val="2"/>
            <w:hideMark/>
          </w:tcPr>
          <w:p w14:paraId="53DF33F2"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246C58A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5779A51" w14:textId="06E543F2" w:rsidR="00F62694" w:rsidRPr="00C77BDD" w:rsidRDefault="00F62694" w:rsidP="00C77BDD">
            <w:pPr>
              <w:rPr>
                <w:rFonts w:ascii="Arial" w:eastAsia="Times New Roman" w:hAnsi="Arial" w:cs="Arial"/>
                <w:color w:val="000000" w:themeColor="text1"/>
                <w:sz w:val="12"/>
                <w:szCs w:val="12"/>
                <w:lang w:eastAsia="en-AU"/>
              </w:rPr>
            </w:pPr>
          </w:p>
        </w:tc>
        <w:tc>
          <w:tcPr>
            <w:tcW w:w="1384" w:type="dxa"/>
            <w:gridSpan w:val="2"/>
            <w:hideMark/>
          </w:tcPr>
          <w:p w14:paraId="086818A1"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1C858E11"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4AA7D0C8"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230161C0"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00A382B0" w14:textId="77777777" w:rsidR="00F62694" w:rsidRPr="00C77BDD" w:rsidRDefault="00F62694" w:rsidP="00C77BDD">
            <w:pPr>
              <w:rPr>
                <w:rFonts w:ascii="Arial" w:eastAsia="Times New Roman" w:hAnsi="Arial" w:cs="Arial"/>
                <w:color w:val="000000" w:themeColor="text1"/>
                <w:sz w:val="12"/>
                <w:szCs w:val="12"/>
                <w:lang w:eastAsia="en-AU"/>
              </w:rPr>
            </w:pPr>
          </w:p>
        </w:tc>
        <w:tc>
          <w:tcPr>
            <w:tcW w:w="1233" w:type="dxa"/>
            <w:hideMark/>
          </w:tcPr>
          <w:p w14:paraId="1BD93E0E" w14:textId="77777777" w:rsidR="00F62694" w:rsidRPr="00C77BDD" w:rsidRDefault="00F62694" w:rsidP="00C77BDD">
            <w:pPr>
              <w:rPr>
                <w:rFonts w:ascii="Arial" w:eastAsia="Times New Roman" w:hAnsi="Arial" w:cs="Arial"/>
                <w:color w:val="000000" w:themeColor="text1"/>
                <w:sz w:val="12"/>
                <w:szCs w:val="12"/>
                <w:lang w:eastAsia="en-AU"/>
              </w:rPr>
            </w:pPr>
          </w:p>
        </w:tc>
        <w:tc>
          <w:tcPr>
            <w:tcW w:w="567" w:type="dxa"/>
            <w:hideMark/>
          </w:tcPr>
          <w:p w14:paraId="782E67B1" w14:textId="77777777" w:rsidR="00F62694" w:rsidRPr="00C77BDD" w:rsidRDefault="00F62694" w:rsidP="00C77BDD">
            <w:pPr>
              <w:rPr>
                <w:rFonts w:ascii="Arial" w:eastAsia="Times New Roman" w:hAnsi="Arial" w:cs="Arial"/>
                <w:color w:val="000000" w:themeColor="text1"/>
                <w:sz w:val="12"/>
                <w:szCs w:val="12"/>
                <w:lang w:eastAsia="en-AU"/>
              </w:rPr>
            </w:pPr>
          </w:p>
        </w:tc>
        <w:tc>
          <w:tcPr>
            <w:tcW w:w="571" w:type="dxa"/>
            <w:gridSpan w:val="3"/>
            <w:hideMark/>
          </w:tcPr>
          <w:p w14:paraId="274CD705" w14:textId="77777777" w:rsidR="00F62694" w:rsidRPr="00C77BDD" w:rsidRDefault="00F62694" w:rsidP="00C77BDD">
            <w:pPr>
              <w:rPr>
                <w:rFonts w:ascii="Arial" w:eastAsia="Times New Roman" w:hAnsi="Arial" w:cs="Arial"/>
                <w:color w:val="000000" w:themeColor="text1"/>
                <w:sz w:val="12"/>
                <w:szCs w:val="12"/>
                <w:lang w:eastAsia="en-AU"/>
              </w:rPr>
            </w:pPr>
          </w:p>
        </w:tc>
        <w:tc>
          <w:tcPr>
            <w:tcW w:w="425" w:type="dxa"/>
            <w:hideMark/>
          </w:tcPr>
          <w:p w14:paraId="49E1914A" w14:textId="77777777" w:rsidR="00F62694" w:rsidRPr="00C77BDD" w:rsidRDefault="00F62694" w:rsidP="00C77BDD">
            <w:pPr>
              <w:rPr>
                <w:rFonts w:ascii="Arial" w:eastAsia="Times New Roman" w:hAnsi="Arial" w:cs="Arial"/>
                <w:color w:val="000000" w:themeColor="text1"/>
                <w:sz w:val="12"/>
                <w:szCs w:val="12"/>
                <w:lang w:eastAsia="en-AU"/>
              </w:rPr>
            </w:pPr>
          </w:p>
        </w:tc>
        <w:tc>
          <w:tcPr>
            <w:tcW w:w="1300" w:type="dxa"/>
            <w:gridSpan w:val="3"/>
            <w:hideMark/>
          </w:tcPr>
          <w:p w14:paraId="6D8F9FBE" w14:textId="77777777" w:rsidR="00F62694" w:rsidRPr="00C77BDD" w:rsidRDefault="00F62694" w:rsidP="00C77BDD">
            <w:pPr>
              <w:rPr>
                <w:rFonts w:ascii="Arial" w:eastAsia="Times New Roman" w:hAnsi="Arial" w:cs="Arial"/>
                <w:color w:val="000000" w:themeColor="text1"/>
                <w:sz w:val="12"/>
                <w:szCs w:val="12"/>
                <w:lang w:eastAsia="en-AU"/>
              </w:rPr>
            </w:pPr>
          </w:p>
        </w:tc>
        <w:tc>
          <w:tcPr>
            <w:tcW w:w="673" w:type="dxa"/>
            <w:gridSpan w:val="3"/>
            <w:hideMark/>
          </w:tcPr>
          <w:p w14:paraId="39F03063" w14:textId="77777777" w:rsidR="00F62694" w:rsidRPr="00C77BDD" w:rsidRDefault="00F62694" w:rsidP="00C77BDD">
            <w:pPr>
              <w:rPr>
                <w:rFonts w:ascii="Arial" w:eastAsia="Times New Roman" w:hAnsi="Arial" w:cs="Arial"/>
                <w:color w:val="000000" w:themeColor="text1"/>
                <w:sz w:val="12"/>
                <w:szCs w:val="12"/>
                <w:lang w:eastAsia="en-AU"/>
              </w:rPr>
            </w:pPr>
          </w:p>
        </w:tc>
        <w:tc>
          <w:tcPr>
            <w:tcW w:w="757" w:type="dxa"/>
            <w:gridSpan w:val="3"/>
            <w:hideMark/>
          </w:tcPr>
          <w:p w14:paraId="4E7D2340" w14:textId="77777777" w:rsidR="00F62694" w:rsidRPr="00C77BDD" w:rsidRDefault="00F62694" w:rsidP="00C77BDD">
            <w:pPr>
              <w:rPr>
                <w:rFonts w:ascii="Arial" w:eastAsia="Times New Roman" w:hAnsi="Arial" w:cs="Arial"/>
                <w:color w:val="000000" w:themeColor="text1"/>
                <w:sz w:val="12"/>
                <w:szCs w:val="12"/>
                <w:lang w:eastAsia="en-AU"/>
              </w:rPr>
            </w:pPr>
          </w:p>
        </w:tc>
        <w:tc>
          <w:tcPr>
            <w:tcW w:w="665" w:type="dxa"/>
            <w:gridSpan w:val="3"/>
            <w:hideMark/>
          </w:tcPr>
          <w:p w14:paraId="31BE2D8F" w14:textId="77777777" w:rsidR="00F62694" w:rsidRPr="00C77BDD" w:rsidRDefault="00F62694" w:rsidP="00C77BDD">
            <w:pPr>
              <w:rPr>
                <w:rFonts w:ascii="Arial" w:eastAsia="Times New Roman" w:hAnsi="Arial" w:cs="Arial"/>
                <w:color w:val="000000" w:themeColor="text1"/>
                <w:sz w:val="12"/>
                <w:szCs w:val="12"/>
                <w:lang w:eastAsia="en-AU"/>
              </w:rPr>
            </w:pPr>
          </w:p>
        </w:tc>
        <w:tc>
          <w:tcPr>
            <w:tcW w:w="762" w:type="dxa"/>
            <w:gridSpan w:val="3"/>
            <w:hideMark/>
          </w:tcPr>
          <w:p w14:paraId="67E6A296" w14:textId="77777777" w:rsidR="00F62694" w:rsidRPr="00C77BDD" w:rsidRDefault="00F62694" w:rsidP="00C77BDD">
            <w:pPr>
              <w:rPr>
                <w:rFonts w:ascii="Arial" w:eastAsia="Times New Roman" w:hAnsi="Arial" w:cs="Arial"/>
                <w:color w:val="000000" w:themeColor="text1"/>
                <w:sz w:val="12"/>
                <w:szCs w:val="12"/>
                <w:lang w:eastAsia="en-AU"/>
              </w:rPr>
            </w:pPr>
          </w:p>
        </w:tc>
        <w:tc>
          <w:tcPr>
            <w:tcW w:w="763" w:type="dxa"/>
            <w:gridSpan w:val="3"/>
            <w:hideMark/>
          </w:tcPr>
          <w:p w14:paraId="15F833F4" w14:textId="77777777" w:rsidR="00F62694" w:rsidRPr="00C77BDD" w:rsidRDefault="00F62694" w:rsidP="00C77BDD">
            <w:pPr>
              <w:rPr>
                <w:rFonts w:ascii="Arial" w:eastAsia="Times New Roman" w:hAnsi="Arial" w:cs="Arial"/>
                <w:color w:val="000000" w:themeColor="text1"/>
                <w:sz w:val="12"/>
                <w:szCs w:val="12"/>
                <w:lang w:eastAsia="en-AU"/>
              </w:rPr>
            </w:pPr>
          </w:p>
        </w:tc>
        <w:tc>
          <w:tcPr>
            <w:tcW w:w="750" w:type="dxa"/>
            <w:hideMark/>
          </w:tcPr>
          <w:p w14:paraId="6DEDDAD9" w14:textId="77777777" w:rsidR="00F62694" w:rsidRPr="00C77BDD" w:rsidRDefault="00F62694" w:rsidP="00C77BDD">
            <w:pPr>
              <w:rPr>
                <w:rFonts w:ascii="Arial" w:eastAsia="Times New Roman" w:hAnsi="Arial" w:cs="Arial"/>
                <w:color w:val="000000" w:themeColor="text1"/>
                <w:sz w:val="12"/>
                <w:szCs w:val="12"/>
                <w:lang w:eastAsia="en-AU"/>
              </w:rPr>
            </w:pPr>
          </w:p>
        </w:tc>
        <w:tc>
          <w:tcPr>
            <w:tcW w:w="703" w:type="dxa"/>
            <w:hideMark/>
          </w:tcPr>
          <w:p w14:paraId="58F1B469" w14:textId="77777777" w:rsidR="00F62694" w:rsidRPr="00C77BDD" w:rsidRDefault="00F62694" w:rsidP="00C77BDD">
            <w:pPr>
              <w:rPr>
                <w:rFonts w:ascii="Arial" w:eastAsia="Times New Roman" w:hAnsi="Arial" w:cs="Arial"/>
                <w:color w:val="000000" w:themeColor="text1"/>
                <w:sz w:val="12"/>
                <w:szCs w:val="12"/>
                <w:lang w:eastAsia="en-AU"/>
              </w:rPr>
            </w:pPr>
          </w:p>
        </w:tc>
        <w:tc>
          <w:tcPr>
            <w:tcW w:w="750" w:type="dxa"/>
            <w:hideMark/>
          </w:tcPr>
          <w:p w14:paraId="4BA30A78" w14:textId="77777777" w:rsidR="00F62694" w:rsidRPr="00C77BDD" w:rsidRDefault="00F62694" w:rsidP="00C77BDD">
            <w:pPr>
              <w:rPr>
                <w:rFonts w:ascii="Arial" w:eastAsia="Times New Roman" w:hAnsi="Arial" w:cs="Arial"/>
                <w:color w:val="000000" w:themeColor="text1"/>
                <w:sz w:val="12"/>
                <w:szCs w:val="12"/>
                <w:lang w:eastAsia="en-AU"/>
              </w:rPr>
            </w:pPr>
          </w:p>
        </w:tc>
        <w:tc>
          <w:tcPr>
            <w:tcW w:w="790" w:type="dxa"/>
            <w:hideMark/>
          </w:tcPr>
          <w:p w14:paraId="48D56DC4" w14:textId="77777777" w:rsidR="00F62694" w:rsidRPr="00C77BDD" w:rsidRDefault="00F62694" w:rsidP="00C77BDD">
            <w:pPr>
              <w:rPr>
                <w:rFonts w:ascii="Arial" w:eastAsia="Times New Roman" w:hAnsi="Arial" w:cs="Arial"/>
                <w:color w:val="000000" w:themeColor="text1"/>
                <w:sz w:val="12"/>
                <w:szCs w:val="12"/>
                <w:lang w:eastAsia="en-AU"/>
              </w:rPr>
            </w:pPr>
          </w:p>
        </w:tc>
      </w:tr>
      <w:tr w:rsidR="00F62694" w:rsidRPr="008E4E40" w14:paraId="67930F61" w14:textId="77777777" w:rsidTr="008B36A4">
        <w:trPr>
          <w:cantSplit/>
          <w:trHeight w:val="682"/>
        </w:trPr>
        <w:tc>
          <w:tcPr>
            <w:tcW w:w="410" w:type="dxa"/>
            <w:noWrap/>
            <w:hideMark/>
          </w:tcPr>
          <w:p w14:paraId="02AFDE9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437" w:type="dxa"/>
            <w:noWrap/>
            <w:hideMark/>
          </w:tcPr>
          <w:p w14:paraId="2FFBF2B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F9B53D6" w14:textId="3401CB3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Aboul-Enein et al., 2013</w:t>
            </w:r>
            <w:r w:rsidR="00E448A5">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[28]</w:t>
            </w:r>
          </w:p>
        </w:tc>
        <w:tc>
          <w:tcPr>
            <w:tcW w:w="575" w:type="dxa"/>
            <w:gridSpan w:val="2"/>
            <w:hideMark/>
          </w:tcPr>
          <w:p w14:paraId="34EC252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2011</w:t>
            </w:r>
          </w:p>
        </w:tc>
        <w:tc>
          <w:tcPr>
            <w:tcW w:w="1030" w:type="dxa"/>
            <w:gridSpan w:val="2"/>
            <w:hideMark/>
          </w:tcPr>
          <w:p w14:paraId="625A8F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Austria</w:t>
            </w:r>
          </w:p>
        </w:tc>
        <w:tc>
          <w:tcPr>
            <w:tcW w:w="918" w:type="dxa"/>
            <w:gridSpan w:val="2"/>
          </w:tcPr>
          <w:p w14:paraId="0CC2AD4A" w14:textId="3275970C" w:rsidR="00F62694" w:rsidRPr="00C77BDD" w:rsidRDefault="0004495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83.78</w:t>
            </w:r>
          </w:p>
        </w:tc>
        <w:tc>
          <w:tcPr>
            <w:tcW w:w="918" w:type="dxa"/>
            <w:gridSpan w:val="2"/>
            <w:hideMark/>
          </w:tcPr>
          <w:p w14:paraId="3A511CB0" w14:textId="6A745A8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54C6610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testing laboratory, supported by national collaboration of neurologists</w:t>
            </w:r>
          </w:p>
        </w:tc>
        <w:tc>
          <w:tcPr>
            <w:tcW w:w="1560" w:type="dxa"/>
            <w:hideMark/>
          </w:tcPr>
          <w:p w14:paraId="59863D1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Positive AQP4 antibody result in clinically suspected cases of NMO or NMOSD</w:t>
            </w:r>
          </w:p>
        </w:tc>
        <w:tc>
          <w:tcPr>
            <w:tcW w:w="1193" w:type="dxa"/>
            <w:hideMark/>
          </w:tcPr>
          <w:p w14:paraId="0DE352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antibody positive</w:t>
            </w:r>
          </w:p>
        </w:tc>
        <w:tc>
          <w:tcPr>
            <w:tcW w:w="1358" w:type="dxa"/>
            <w:hideMark/>
          </w:tcPr>
          <w:p w14:paraId="64CDF3B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M23 AQP4 immunofluorescence live cell-based assay</w:t>
            </w:r>
          </w:p>
        </w:tc>
        <w:tc>
          <w:tcPr>
            <w:tcW w:w="893" w:type="dxa"/>
            <w:hideMark/>
          </w:tcPr>
          <w:p w14:paraId="6EDDDB20" w14:textId="21B6DB0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502C5EF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&gt;28% of expected</w:t>
            </w:r>
          </w:p>
        </w:tc>
        <w:tc>
          <w:tcPr>
            <w:tcW w:w="584" w:type="dxa"/>
            <w:gridSpan w:val="2"/>
            <w:hideMark/>
          </w:tcPr>
          <w:p w14:paraId="514361B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71</w:t>
            </w:r>
          </w:p>
        </w:tc>
        <w:tc>
          <w:tcPr>
            <w:tcW w:w="554" w:type="dxa"/>
            <w:gridSpan w:val="2"/>
            <w:hideMark/>
          </w:tcPr>
          <w:p w14:paraId="2108E10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62</w:t>
            </w:r>
          </w:p>
        </w:tc>
        <w:tc>
          <w:tcPr>
            <w:tcW w:w="425" w:type="dxa"/>
            <w:hideMark/>
          </w:tcPr>
          <w:p w14:paraId="6CAEB0A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1279" w:type="dxa"/>
            <w:gridSpan w:val="2"/>
            <w:hideMark/>
          </w:tcPr>
          <w:p w14:paraId="37BA536E" w14:textId="3B8EA3E3"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45.7 ± 14.1</w:t>
            </w:r>
            <w:r w:rsidRPr="008D1DC2">
              <w:rPr>
                <w:rFonts w:ascii="Arial" w:eastAsia="Times New Roman" w:hAnsi="Arial" w:cs="Arial"/>
                <w:color w:val="000000" w:themeColor="text1"/>
                <w:sz w:val="12"/>
                <w:szCs w:val="12"/>
                <w:vertAlign w:val="superscript"/>
                <w:lang w:eastAsia="en-AU"/>
              </w:rPr>
              <w:t>#</w:t>
            </w:r>
          </w:p>
          <w:p w14:paraId="04BCA77B" w14:textId="23FCE3C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(12 - 79)</w:t>
            </w:r>
          </w:p>
        </w:tc>
        <w:tc>
          <w:tcPr>
            <w:tcW w:w="673" w:type="dxa"/>
            <w:gridSpan w:val="3"/>
            <w:hideMark/>
          </w:tcPr>
          <w:p w14:paraId="5471C9DD" w14:textId="294B1FD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2C59F542" w14:textId="2834DBC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222B3E1" w14:textId="6DB68C8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585B7C7A" w14:textId="23BF81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8C347EF" w14:textId="287F648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06AB8015" w14:textId="47F262C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C5D5A73" w14:textId="7C310E0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463F028" w14:textId="3E3411C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2900E41B" w14:textId="71C36D1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r>
      <w:tr w:rsidR="00F62694" w:rsidRPr="008E4E40" w14:paraId="5B78AF71" w14:textId="77777777" w:rsidTr="008B36A4">
        <w:trPr>
          <w:cantSplit/>
          <w:trHeight w:val="280"/>
        </w:trPr>
        <w:tc>
          <w:tcPr>
            <w:tcW w:w="410" w:type="dxa"/>
            <w:noWrap/>
            <w:hideMark/>
          </w:tcPr>
          <w:p w14:paraId="0FC1FB5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437" w:type="dxa"/>
            <w:noWrap/>
            <w:hideMark/>
          </w:tcPr>
          <w:p w14:paraId="1FD32EA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03B1FA3E" w14:textId="0D7BBB9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Adoni et al., 2010</w:t>
            </w:r>
            <w:r w:rsidR="001C79E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[29]</w:t>
            </w:r>
            <w:r>
              <w:rPr>
                <w:rFonts w:ascii="Arial" w:eastAsia="Times New Roman" w:hAnsi="Arial" w:cs="Arial"/>
                <w:color w:val="000000" w:themeColor="text1"/>
                <w:sz w:val="12"/>
                <w:szCs w:val="12"/>
                <w:lang w:eastAsia="en-AU"/>
              </w:rPr>
              <w:t>*</w:t>
            </w:r>
          </w:p>
        </w:tc>
        <w:tc>
          <w:tcPr>
            <w:tcW w:w="575" w:type="dxa"/>
            <w:gridSpan w:val="2"/>
            <w:hideMark/>
          </w:tcPr>
          <w:p w14:paraId="5DD9BEC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2010</w:t>
            </w:r>
          </w:p>
        </w:tc>
        <w:tc>
          <w:tcPr>
            <w:tcW w:w="1030" w:type="dxa"/>
            <w:gridSpan w:val="2"/>
            <w:hideMark/>
          </w:tcPr>
          <w:p w14:paraId="05783F6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São Paulo, Brazil</w:t>
            </w:r>
          </w:p>
        </w:tc>
        <w:tc>
          <w:tcPr>
            <w:tcW w:w="918" w:type="dxa"/>
            <w:gridSpan w:val="2"/>
          </w:tcPr>
          <w:p w14:paraId="1CC78EDF" w14:textId="7940895B" w:rsidR="00F62694" w:rsidRPr="00C77BDD" w:rsidRDefault="00C2189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79.39</w:t>
            </w:r>
          </w:p>
        </w:tc>
        <w:tc>
          <w:tcPr>
            <w:tcW w:w="918" w:type="dxa"/>
            <w:gridSpan w:val="2"/>
            <w:hideMark/>
          </w:tcPr>
          <w:p w14:paraId="4F5E3CF7" w14:textId="1B440D8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D559FF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08E7284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Neurology clinic</w:t>
            </w:r>
          </w:p>
        </w:tc>
        <w:tc>
          <w:tcPr>
            <w:tcW w:w="1193" w:type="dxa"/>
            <w:hideMark/>
          </w:tcPr>
          <w:p w14:paraId="270088A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1999</w:t>
            </w:r>
          </w:p>
        </w:tc>
        <w:tc>
          <w:tcPr>
            <w:tcW w:w="1358" w:type="dxa"/>
            <w:hideMark/>
          </w:tcPr>
          <w:p w14:paraId="5A87413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Mayo Clinic live cell-based assay</w:t>
            </w:r>
          </w:p>
        </w:tc>
        <w:tc>
          <w:tcPr>
            <w:tcW w:w="893" w:type="dxa"/>
            <w:hideMark/>
          </w:tcPr>
          <w:p w14:paraId="24E4558D" w14:textId="7EFE2B9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64.3</w:t>
            </w:r>
          </w:p>
        </w:tc>
        <w:tc>
          <w:tcPr>
            <w:tcW w:w="1233" w:type="dxa"/>
            <w:hideMark/>
          </w:tcPr>
          <w:p w14:paraId="66B2D27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541340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28</w:t>
            </w:r>
          </w:p>
        </w:tc>
        <w:tc>
          <w:tcPr>
            <w:tcW w:w="554" w:type="dxa"/>
            <w:gridSpan w:val="2"/>
            <w:hideMark/>
          </w:tcPr>
          <w:p w14:paraId="6176336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w:t>
            </w:r>
          </w:p>
        </w:tc>
        <w:tc>
          <w:tcPr>
            <w:tcW w:w="425" w:type="dxa"/>
            <w:hideMark/>
          </w:tcPr>
          <w:p w14:paraId="0E9FEE0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p>
        </w:tc>
        <w:tc>
          <w:tcPr>
            <w:tcW w:w="1279" w:type="dxa"/>
            <w:gridSpan w:val="2"/>
            <w:hideMark/>
          </w:tcPr>
          <w:p w14:paraId="76F90932"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25.4 ± 11.4</w:t>
            </w:r>
          </w:p>
          <w:p w14:paraId="287B9867" w14:textId="0E9EA3A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 (7 - 55)</w:t>
            </w:r>
          </w:p>
        </w:tc>
        <w:tc>
          <w:tcPr>
            <w:tcW w:w="673" w:type="dxa"/>
            <w:gridSpan w:val="3"/>
            <w:hideMark/>
          </w:tcPr>
          <w:p w14:paraId="289265AF" w14:textId="2F2D210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353C23E" w14:textId="19C20B9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F4F8BEF" w14:textId="6ED8F85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79B80745" w14:textId="213604E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23FBCBCB" w14:textId="54FD780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0DC5E99D" w14:textId="0F50134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C9FEEB8" w14:textId="60DF736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E95FC03" w14:textId="0595520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AF1B99B" w14:textId="6913114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44BB74F" w14:textId="77777777" w:rsidTr="008B36A4">
        <w:trPr>
          <w:cantSplit/>
          <w:trHeight w:val="285"/>
        </w:trPr>
        <w:tc>
          <w:tcPr>
            <w:tcW w:w="410" w:type="dxa"/>
            <w:noWrap/>
            <w:hideMark/>
          </w:tcPr>
          <w:p w14:paraId="3FEF737E" w14:textId="7A5E859C"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602E82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735B5272" w14:textId="17389B19"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1176D6EE"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17201126"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1A25CCE2"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331F1C0F" w14:textId="727F567C"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4B842A17"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284F8880"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0E346FAB"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0CACAC72"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22FD937A" w14:textId="77DBC7C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750F746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CF17F6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w:t>
            </w:r>
          </w:p>
        </w:tc>
        <w:tc>
          <w:tcPr>
            <w:tcW w:w="554" w:type="dxa"/>
            <w:gridSpan w:val="2"/>
            <w:hideMark/>
          </w:tcPr>
          <w:p w14:paraId="07B0EF6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w:t>
            </w:r>
          </w:p>
        </w:tc>
        <w:tc>
          <w:tcPr>
            <w:tcW w:w="425" w:type="dxa"/>
            <w:hideMark/>
          </w:tcPr>
          <w:p w14:paraId="29DE092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04152697"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24.2 ± 12.9</w:t>
            </w:r>
          </w:p>
          <w:p w14:paraId="461308B8" w14:textId="76AA734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 (7 -55)</w:t>
            </w:r>
          </w:p>
        </w:tc>
        <w:tc>
          <w:tcPr>
            <w:tcW w:w="673" w:type="dxa"/>
            <w:gridSpan w:val="3"/>
            <w:hideMark/>
          </w:tcPr>
          <w:p w14:paraId="634260F8" w14:textId="528E322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48EFA0A" w14:textId="6094207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C1B1357" w14:textId="0DF0EDA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35C1FC46" w14:textId="08D0FAF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6DF7D315" w14:textId="122AC21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769BBAC" w14:textId="572685E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E5196D2" w14:textId="387A6C8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6B13A7E4" w14:textId="2D843A1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C1CB91B" w14:textId="3ED2C3F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E2477B8" w14:textId="77777777" w:rsidTr="008B36A4">
        <w:trPr>
          <w:cantSplit/>
          <w:trHeight w:val="274"/>
        </w:trPr>
        <w:tc>
          <w:tcPr>
            <w:tcW w:w="410" w:type="dxa"/>
            <w:noWrap/>
            <w:hideMark/>
          </w:tcPr>
          <w:p w14:paraId="37C4054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p>
        </w:tc>
        <w:tc>
          <w:tcPr>
            <w:tcW w:w="437" w:type="dxa"/>
            <w:noWrap/>
            <w:hideMark/>
          </w:tcPr>
          <w:p w14:paraId="760A40E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0268401A" w14:textId="6E3D878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Altintas et al., 2015</w:t>
            </w:r>
            <w:r w:rsidR="001C79E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[30]</w:t>
            </w:r>
          </w:p>
        </w:tc>
        <w:tc>
          <w:tcPr>
            <w:tcW w:w="575" w:type="dxa"/>
            <w:gridSpan w:val="2"/>
            <w:hideMark/>
          </w:tcPr>
          <w:p w14:paraId="746FCDD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00383A8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Turkey</w:t>
            </w:r>
          </w:p>
        </w:tc>
        <w:tc>
          <w:tcPr>
            <w:tcW w:w="918" w:type="dxa"/>
            <w:gridSpan w:val="2"/>
          </w:tcPr>
          <w:p w14:paraId="0C65A3FE" w14:textId="4C9BBD9E" w:rsidR="001762C8" w:rsidRPr="00C77BDD" w:rsidRDefault="001762C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80.67</w:t>
            </w:r>
          </w:p>
        </w:tc>
        <w:tc>
          <w:tcPr>
            <w:tcW w:w="918" w:type="dxa"/>
            <w:gridSpan w:val="2"/>
            <w:hideMark/>
          </w:tcPr>
          <w:p w14:paraId="73AFD25E" w14:textId="47EA8E6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3B264D7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Academic hospitals</w:t>
            </w:r>
          </w:p>
        </w:tc>
        <w:tc>
          <w:tcPr>
            <w:tcW w:w="1560" w:type="dxa"/>
            <w:hideMark/>
          </w:tcPr>
          <w:p w14:paraId="4776730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Neurology clinics</w:t>
            </w:r>
          </w:p>
        </w:tc>
        <w:tc>
          <w:tcPr>
            <w:tcW w:w="1193" w:type="dxa"/>
            <w:hideMark/>
          </w:tcPr>
          <w:p w14:paraId="262767C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50C4F26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transfected fixed cell-based assay</w:t>
            </w:r>
          </w:p>
        </w:tc>
        <w:tc>
          <w:tcPr>
            <w:tcW w:w="893" w:type="dxa"/>
            <w:hideMark/>
          </w:tcPr>
          <w:p w14:paraId="1C3F2226" w14:textId="458B071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62.5</w:t>
            </w:r>
          </w:p>
        </w:tc>
        <w:tc>
          <w:tcPr>
            <w:tcW w:w="1233" w:type="dxa"/>
            <w:hideMark/>
          </w:tcPr>
          <w:p w14:paraId="3D0DBBE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52EEA4A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77</w:t>
            </w:r>
          </w:p>
        </w:tc>
        <w:tc>
          <w:tcPr>
            <w:tcW w:w="554" w:type="dxa"/>
            <w:gridSpan w:val="2"/>
            <w:hideMark/>
          </w:tcPr>
          <w:p w14:paraId="282F475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65</w:t>
            </w:r>
          </w:p>
        </w:tc>
        <w:tc>
          <w:tcPr>
            <w:tcW w:w="425" w:type="dxa"/>
            <w:hideMark/>
          </w:tcPr>
          <w:p w14:paraId="38D01EE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hideMark/>
          </w:tcPr>
          <w:p w14:paraId="233D94E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39.0 ± 12.7</w:t>
            </w:r>
          </w:p>
        </w:tc>
        <w:tc>
          <w:tcPr>
            <w:tcW w:w="673" w:type="dxa"/>
            <w:gridSpan w:val="3"/>
            <w:hideMark/>
          </w:tcPr>
          <w:p w14:paraId="0C8527E0" w14:textId="72ED28E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6B576F53" w14:textId="63364E3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456B0C7" w14:textId="1D2EB07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5CC86BE0" w14:textId="0ABA604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0FDF6950" w14:textId="2203FF5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08D7DBFC" w14:textId="0F30E42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5C1F15AE" w14:textId="36A1B80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F8FAAD3" w14:textId="72060D6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59928BC" w14:textId="6FB3CCC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3711389" w14:textId="77777777" w:rsidTr="008B36A4">
        <w:trPr>
          <w:cantSplit/>
          <w:trHeight w:val="562"/>
        </w:trPr>
        <w:tc>
          <w:tcPr>
            <w:tcW w:w="410" w:type="dxa"/>
            <w:noWrap/>
            <w:hideMark/>
          </w:tcPr>
          <w:p w14:paraId="2811900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437" w:type="dxa"/>
            <w:noWrap/>
            <w:hideMark/>
          </w:tcPr>
          <w:p w14:paraId="44CE5F1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C23B2D4" w14:textId="762700C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Alves et al., 2022</w:t>
            </w:r>
            <w:r w:rsidR="00AE4440" w:rsidRPr="00FA152E">
              <w:rPr>
                <w:rFonts w:ascii="Arial" w:eastAsia="Times New Roman" w:hAnsi="Arial" w:cs="Arial"/>
                <w:noProof/>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[31]</w:t>
            </w:r>
          </w:p>
        </w:tc>
        <w:tc>
          <w:tcPr>
            <w:tcW w:w="575" w:type="dxa"/>
            <w:gridSpan w:val="2"/>
            <w:hideMark/>
          </w:tcPr>
          <w:p w14:paraId="409039F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780BC4F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Goiás, Brazil</w:t>
            </w:r>
          </w:p>
        </w:tc>
        <w:tc>
          <w:tcPr>
            <w:tcW w:w="918" w:type="dxa"/>
            <w:gridSpan w:val="2"/>
          </w:tcPr>
          <w:p w14:paraId="7A99ACB4" w14:textId="0F4A6365" w:rsidR="00F62694" w:rsidRPr="00C77BDD" w:rsidRDefault="001762C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79.39</w:t>
            </w:r>
          </w:p>
        </w:tc>
        <w:tc>
          <w:tcPr>
            <w:tcW w:w="918" w:type="dxa"/>
            <w:gridSpan w:val="2"/>
            <w:hideMark/>
          </w:tcPr>
          <w:p w14:paraId="121867AE" w14:textId="1530578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4D4E3BE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4D5BED0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Population-based cross-sectional study from a CNS demyelinating disease centre</w:t>
            </w:r>
          </w:p>
        </w:tc>
        <w:tc>
          <w:tcPr>
            <w:tcW w:w="1193" w:type="dxa"/>
            <w:hideMark/>
          </w:tcPr>
          <w:p w14:paraId="5AA0C13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64204F9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4730C038" w14:textId="019AC37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35.4</w:t>
            </w:r>
          </w:p>
        </w:tc>
        <w:tc>
          <w:tcPr>
            <w:tcW w:w="1233" w:type="dxa"/>
            <w:hideMark/>
          </w:tcPr>
          <w:p w14:paraId="344AF77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B036E6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48</w:t>
            </w:r>
          </w:p>
        </w:tc>
        <w:tc>
          <w:tcPr>
            <w:tcW w:w="554" w:type="dxa"/>
            <w:gridSpan w:val="2"/>
            <w:hideMark/>
          </w:tcPr>
          <w:p w14:paraId="0DAE989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w:t>
            </w:r>
          </w:p>
        </w:tc>
        <w:tc>
          <w:tcPr>
            <w:tcW w:w="425" w:type="dxa"/>
            <w:hideMark/>
          </w:tcPr>
          <w:p w14:paraId="7E21B84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1279" w:type="dxa"/>
            <w:gridSpan w:val="2"/>
            <w:hideMark/>
          </w:tcPr>
          <w:p w14:paraId="63BF553C"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36.7 ± 16.0</w:t>
            </w:r>
          </w:p>
          <w:p w14:paraId="6EA704DB" w14:textId="60CAEBA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(9 - 66)</w:t>
            </w:r>
          </w:p>
        </w:tc>
        <w:tc>
          <w:tcPr>
            <w:tcW w:w="673" w:type="dxa"/>
            <w:gridSpan w:val="3"/>
            <w:hideMark/>
          </w:tcPr>
          <w:p w14:paraId="18724504" w14:textId="32D7E20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2CE5CE1" w14:textId="41CD17C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1CE06F1" w14:textId="73E70BD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7ED3847" w14:textId="028639E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2949E7C" w14:textId="35BD2E7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0A90D8B6" w14:textId="55ED13B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1D6738A" w14:textId="0BFF42C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4B1B6287" w14:textId="4D9A937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49FB65F" w14:textId="7F1F1C2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16A8C9B" w14:textId="77777777" w:rsidTr="008B36A4">
        <w:trPr>
          <w:cantSplit/>
          <w:trHeight w:val="25"/>
        </w:trPr>
        <w:tc>
          <w:tcPr>
            <w:tcW w:w="410" w:type="dxa"/>
            <w:noWrap/>
            <w:hideMark/>
          </w:tcPr>
          <w:p w14:paraId="64074A0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437" w:type="dxa"/>
            <w:noWrap/>
            <w:hideMark/>
          </w:tcPr>
          <w:p w14:paraId="06AFF7E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7C59748" w14:textId="508AE95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Asgari et al., 2011</w:t>
            </w:r>
            <w:r w:rsidR="00AE444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[32]</w:t>
            </w:r>
          </w:p>
        </w:tc>
        <w:tc>
          <w:tcPr>
            <w:tcW w:w="575" w:type="dxa"/>
            <w:gridSpan w:val="2"/>
            <w:hideMark/>
          </w:tcPr>
          <w:p w14:paraId="62497A7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2008</w:t>
            </w:r>
          </w:p>
        </w:tc>
        <w:tc>
          <w:tcPr>
            <w:tcW w:w="1030" w:type="dxa"/>
            <w:gridSpan w:val="2"/>
            <w:hideMark/>
          </w:tcPr>
          <w:p w14:paraId="37ED561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Southern Denmark</w:t>
            </w:r>
          </w:p>
        </w:tc>
        <w:tc>
          <w:tcPr>
            <w:tcW w:w="918" w:type="dxa"/>
            <w:gridSpan w:val="2"/>
          </w:tcPr>
          <w:p w14:paraId="71AD1CAF" w14:textId="4CC55822" w:rsidR="00F62694" w:rsidRPr="00C77BDD" w:rsidRDefault="001762C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83.02</w:t>
            </w:r>
          </w:p>
        </w:tc>
        <w:tc>
          <w:tcPr>
            <w:tcW w:w="918" w:type="dxa"/>
            <w:gridSpan w:val="2"/>
            <w:hideMark/>
          </w:tcPr>
          <w:p w14:paraId="071E226B" w14:textId="13C46D9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2A1B1BB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Neurology and ophthalmology clinics</w:t>
            </w:r>
          </w:p>
        </w:tc>
        <w:tc>
          <w:tcPr>
            <w:tcW w:w="1560" w:type="dxa"/>
            <w:hideMark/>
          </w:tcPr>
          <w:p w14:paraId="6D041CB1" w14:textId="09BE5D4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Clinics and national registry diagnostic codes for hospital visits</w:t>
            </w:r>
          </w:p>
        </w:tc>
        <w:tc>
          <w:tcPr>
            <w:tcW w:w="1193" w:type="dxa"/>
            <w:hideMark/>
          </w:tcPr>
          <w:p w14:paraId="51CD95E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56FBC2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transfected HEK293 live cell-based assay</w:t>
            </w:r>
          </w:p>
        </w:tc>
        <w:tc>
          <w:tcPr>
            <w:tcW w:w="893" w:type="dxa"/>
            <w:hideMark/>
          </w:tcPr>
          <w:p w14:paraId="51603C8E" w14:textId="294946C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61.9</w:t>
            </w:r>
          </w:p>
        </w:tc>
        <w:tc>
          <w:tcPr>
            <w:tcW w:w="1233" w:type="dxa"/>
            <w:hideMark/>
          </w:tcPr>
          <w:p w14:paraId="73FFE24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A97F38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w:t>
            </w:r>
          </w:p>
        </w:tc>
        <w:tc>
          <w:tcPr>
            <w:tcW w:w="554" w:type="dxa"/>
            <w:gridSpan w:val="2"/>
            <w:hideMark/>
          </w:tcPr>
          <w:p w14:paraId="7266CE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w:t>
            </w:r>
          </w:p>
        </w:tc>
        <w:tc>
          <w:tcPr>
            <w:tcW w:w="425" w:type="dxa"/>
            <w:hideMark/>
          </w:tcPr>
          <w:p w14:paraId="6D19386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w:t>
            </w:r>
          </w:p>
        </w:tc>
        <w:tc>
          <w:tcPr>
            <w:tcW w:w="1279" w:type="dxa"/>
            <w:gridSpan w:val="2"/>
            <w:hideMark/>
          </w:tcPr>
          <w:p w14:paraId="58410339" w14:textId="1E318578"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35.6 ± 11.2</w:t>
            </w:r>
            <w:r w:rsidRPr="008D1DC2">
              <w:rPr>
                <w:rFonts w:ascii="Arial" w:eastAsia="Times New Roman" w:hAnsi="Arial" w:cs="Arial"/>
                <w:color w:val="000000" w:themeColor="text1"/>
                <w:sz w:val="12"/>
                <w:szCs w:val="12"/>
                <w:vertAlign w:val="superscript"/>
                <w:lang w:eastAsia="en-AU"/>
              </w:rPr>
              <w:t>#</w:t>
            </w:r>
          </w:p>
          <w:p w14:paraId="7B950F98" w14:textId="27FB64C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(15 - 64)</w:t>
            </w:r>
          </w:p>
        </w:tc>
        <w:tc>
          <w:tcPr>
            <w:tcW w:w="673" w:type="dxa"/>
            <w:gridSpan w:val="3"/>
            <w:hideMark/>
          </w:tcPr>
          <w:p w14:paraId="20842E23" w14:textId="55DE7BA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9EAA832" w14:textId="175E761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A43317A" w14:textId="00FCF36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4ECDC859" w14:textId="4CCF708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78BCC8F" w14:textId="50261E4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93355B3" w14:textId="7249A30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16BA65F" w14:textId="1129AC5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39DA4508" w14:textId="4DBA391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597186E" w14:textId="6384D73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4950C2D" w14:textId="77777777" w:rsidTr="008B36A4">
        <w:trPr>
          <w:cantSplit/>
          <w:trHeight w:val="384"/>
        </w:trPr>
        <w:tc>
          <w:tcPr>
            <w:tcW w:w="410" w:type="dxa"/>
            <w:noWrap/>
            <w:hideMark/>
          </w:tcPr>
          <w:p w14:paraId="0FA0C9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437" w:type="dxa"/>
            <w:noWrap/>
            <w:hideMark/>
          </w:tcPr>
          <w:p w14:paraId="266FB56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6903479" w14:textId="0DDA782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Ba</w:t>
            </w:r>
            <w:r>
              <w:rPr>
                <w:rFonts w:ascii="Arial" w:eastAsia="Times New Roman" w:hAnsi="Arial" w:cs="Arial"/>
                <w:color w:val="000000" w:themeColor="text1"/>
                <w:sz w:val="12"/>
                <w:szCs w:val="12"/>
                <w:lang w:eastAsia="en-AU"/>
              </w:rPr>
              <w:t>r</w:t>
            </w:r>
            <w:r w:rsidRPr="00C77BDD">
              <w:rPr>
                <w:rFonts w:ascii="Arial" w:eastAsia="Times New Roman" w:hAnsi="Arial" w:cs="Arial"/>
                <w:color w:val="000000" w:themeColor="text1"/>
                <w:sz w:val="12"/>
                <w:szCs w:val="12"/>
                <w:lang w:eastAsia="en-AU"/>
              </w:rPr>
              <w:t>hate et al., 2014</w:t>
            </w:r>
            <w:r w:rsidR="00AE444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[33]</w:t>
            </w:r>
          </w:p>
        </w:tc>
        <w:tc>
          <w:tcPr>
            <w:tcW w:w="575" w:type="dxa"/>
            <w:gridSpan w:val="2"/>
            <w:hideMark/>
          </w:tcPr>
          <w:p w14:paraId="0539D4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2013</w:t>
            </w:r>
          </w:p>
        </w:tc>
        <w:tc>
          <w:tcPr>
            <w:tcW w:w="1030" w:type="dxa"/>
            <w:gridSpan w:val="2"/>
            <w:hideMark/>
          </w:tcPr>
          <w:p w14:paraId="16AA998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Mumbai, India</w:t>
            </w:r>
          </w:p>
        </w:tc>
        <w:tc>
          <w:tcPr>
            <w:tcW w:w="918" w:type="dxa"/>
            <w:gridSpan w:val="2"/>
          </w:tcPr>
          <w:p w14:paraId="08BFC915" w14:textId="1B164854" w:rsidR="00F62694" w:rsidRPr="00C77BDD" w:rsidRDefault="00C74D3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72.17</w:t>
            </w:r>
          </w:p>
        </w:tc>
        <w:tc>
          <w:tcPr>
            <w:tcW w:w="918" w:type="dxa"/>
            <w:gridSpan w:val="2"/>
            <w:hideMark/>
          </w:tcPr>
          <w:p w14:paraId="4E108D2F" w14:textId="6573062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C051BB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1B060F6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Hospital (in-patient and out-patient)</w:t>
            </w:r>
          </w:p>
        </w:tc>
        <w:tc>
          <w:tcPr>
            <w:tcW w:w="1193" w:type="dxa"/>
            <w:hideMark/>
          </w:tcPr>
          <w:p w14:paraId="528ACCD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 &amp; Wingerchuk 2007</w:t>
            </w:r>
          </w:p>
        </w:tc>
        <w:tc>
          <w:tcPr>
            <w:tcW w:w="1358" w:type="dxa"/>
            <w:hideMark/>
          </w:tcPr>
          <w:p w14:paraId="31E16B2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M1 or M23 AQP4 transfected HEK293 live cell-based assay</w:t>
            </w:r>
          </w:p>
        </w:tc>
        <w:tc>
          <w:tcPr>
            <w:tcW w:w="893" w:type="dxa"/>
            <w:hideMark/>
          </w:tcPr>
          <w:p w14:paraId="2ED33A8E" w14:textId="7B2C3F7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84.1</w:t>
            </w:r>
          </w:p>
        </w:tc>
        <w:tc>
          <w:tcPr>
            <w:tcW w:w="1233" w:type="dxa"/>
            <w:hideMark/>
          </w:tcPr>
          <w:p w14:paraId="787A26F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13683B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44</w:t>
            </w:r>
          </w:p>
        </w:tc>
        <w:tc>
          <w:tcPr>
            <w:tcW w:w="554" w:type="dxa"/>
            <w:gridSpan w:val="2"/>
            <w:hideMark/>
          </w:tcPr>
          <w:p w14:paraId="2368BC9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w:t>
            </w:r>
          </w:p>
        </w:tc>
        <w:tc>
          <w:tcPr>
            <w:tcW w:w="425" w:type="dxa"/>
            <w:hideMark/>
          </w:tcPr>
          <w:p w14:paraId="0418631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1279" w:type="dxa"/>
            <w:gridSpan w:val="2"/>
            <w:hideMark/>
          </w:tcPr>
          <w:p w14:paraId="3E6593E4" w14:textId="53BA8C35"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31.5 ± 14.8</w:t>
            </w:r>
            <w:r w:rsidRPr="008D1DC2">
              <w:rPr>
                <w:rFonts w:ascii="Arial" w:eastAsia="Times New Roman" w:hAnsi="Arial" w:cs="Arial"/>
                <w:color w:val="000000" w:themeColor="text1"/>
                <w:sz w:val="12"/>
                <w:szCs w:val="12"/>
                <w:vertAlign w:val="superscript"/>
                <w:lang w:eastAsia="en-AU"/>
              </w:rPr>
              <w:t>†</w:t>
            </w:r>
          </w:p>
          <w:p w14:paraId="369D89EF" w14:textId="5FEA665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(8 - 72)</w:t>
            </w:r>
          </w:p>
        </w:tc>
        <w:tc>
          <w:tcPr>
            <w:tcW w:w="673" w:type="dxa"/>
            <w:gridSpan w:val="3"/>
            <w:hideMark/>
          </w:tcPr>
          <w:p w14:paraId="54C17698" w14:textId="3F3B467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CEF826F" w14:textId="41344D0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B6B8E4E" w14:textId="1908930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583EFFBB" w14:textId="024A330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3E58806" w14:textId="0F745B3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79FEE8D" w14:textId="17FFD82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D8F5CAE" w14:textId="1C87BEC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FE367AA" w14:textId="298B125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20CA053" w14:textId="452D3A4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8388E2F" w14:textId="77777777" w:rsidTr="008B36A4">
        <w:trPr>
          <w:cantSplit/>
          <w:trHeight w:val="248"/>
        </w:trPr>
        <w:tc>
          <w:tcPr>
            <w:tcW w:w="410" w:type="dxa"/>
            <w:noWrap/>
            <w:hideMark/>
          </w:tcPr>
          <w:p w14:paraId="2500EABF" w14:textId="76D6D074"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2F3A776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71039856" w14:textId="2A07D86B"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31F806FE"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1330F98B"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3D198F6B"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4982140" w14:textId="315C4D98"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0B408971"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45E56AD3"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0D3FF207"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6934B40F"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7D4A2925" w14:textId="6B8CA0E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211970DF"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680BDB5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w:t>
            </w:r>
          </w:p>
        </w:tc>
        <w:tc>
          <w:tcPr>
            <w:tcW w:w="554" w:type="dxa"/>
            <w:gridSpan w:val="2"/>
            <w:hideMark/>
          </w:tcPr>
          <w:p w14:paraId="29EBCCD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33</w:t>
            </w:r>
          </w:p>
        </w:tc>
        <w:tc>
          <w:tcPr>
            <w:tcW w:w="425" w:type="dxa"/>
            <w:hideMark/>
          </w:tcPr>
          <w:p w14:paraId="561E1B3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1279" w:type="dxa"/>
            <w:gridSpan w:val="2"/>
            <w:hideMark/>
          </w:tcPr>
          <w:p w14:paraId="32043A6D" w14:textId="715DA35B"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33.2 ± 15.3</w:t>
            </w:r>
            <w:r w:rsidRPr="008D1DC2">
              <w:rPr>
                <w:rFonts w:ascii="Arial" w:eastAsia="Times New Roman" w:hAnsi="Arial" w:cs="Arial"/>
                <w:color w:val="000000" w:themeColor="text1"/>
                <w:sz w:val="12"/>
                <w:szCs w:val="12"/>
                <w:vertAlign w:val="superscript"/>
                <w:lang w:eastAsia="en-AU"/>
              </w:rPr>
              <w:t>†</w:t>
            </w:r>
          </w:p>
          <w:p w14:paraId="5C06CEEA" w14:textId="1BB60C5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(8 - 72)</w:t>
            </w:r>
          </w:p>
        </w:tc>
        <w:tc>
          <w:tcPr>
            <w:tcW w:w="673" w:type="dxa"/>
            <w:gridSpan w:val="3"/>
            <w:hideMark/>
          </w:tcPr>
          <w:p w14:paraId="0C3CE138" w14:textId="1F18448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698DEA3" w14:textId="7479DD9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1A1DD06" w14:textId="76B9BED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9A8DF6F" w14:textId="76F0B64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E907E45" w14:textId="39632A0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848CCF3" w14:textId="005F525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BEB3C61" w14:textId="1C54F3C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5A780E42" w14:textId="7A6EE2C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AC7DC95" w14:textId="12F36ED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FC67F10" w14:textId="77777777" w:rsidTr="008B36A4">
        <w:trPr>
          <w:cantSplit/>
          <w:trHeight w:val="253"/>
        </w:trPr>
        <w:tc>
          <w:tcPr>
            <w:tcW w:w="410" w:type="dxa"/>
            <w:noWrap/>
            <w:hideMark/>
          </w:tcPr>
          <w:p w14:paraId="4CB34E8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437" w:type="dxa"/>
            <w:noWrap/>
            <w:hideMark/>
          </w:tcPr>
          <w:p w14:paraId="15D9813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543FF154" w14:textId="719CDE6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Bennis et al., 2019</w:t>
            </w:r>
            <w:r w:rsidR="00AE4440">
              <w:rPr>
                <w:rFonts w:ascii="Arial" w:eastAsia="Times New Roman" w:hAnsi="Arial" w:cs="Arial"/>
                <w:noProof/>
                <w:color w:val="000000" w:themeColor="text1"/>
                <w:sz w:val="12"/>
                <w:szCs w:val="12"/>
                <w:vertAlign w:val="superscript"/>
                <w:lang w:eastAsia="en-AU"/>
              </w:rPr>
              <w:t xml:space="preserve"> </w:t>
            </w:r>
            <w:r w:rsidR="001C1BFC">
              <w:rPr>
                <w:rFonts w:ascii="Arial" w:eastAsia="Times New Roman" w:hAnsi="Arial" w:cs="Arial"/>
                <w:noProof/>
                <w:color w:val="000000" w:themeColor="text1"/>
                <w:sz w:val="12"/>
                <w:szCs w:val="12"/>
                <w:lang w:eastAsia="en-AU"/>
              </w:rPr>
              <w:t>[34]</w:t>
            </w:r>
          </w:p>
        </w:tc>
        <w:tc>
          <w:tcPr>
            <w:tcW w:w="575" w:type="dxa"/>
            <w:gridSpan w:val="2"/>
            <w:hideMark/>
          </w:tcPr>
          <w:p w14:paraId="3419FA2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639DC34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Casablanca, Morocco</w:t>
            </w:r>
          </w:p>
        </w:tc>
        <w:tc>
          <w:tcPr>
            <w:tcW w:w="918" w:type="dxa"/>
            <w:gridSpan w:val="2"/>
          </w:tcPr>
          <w:p w14:paraId="535FA78C" w14:textId="56405080" w:rsidR="00F62694" w:rsidRPr="00C77BDD" w:rsidRDefault="00C74D3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74.31</w:t>
            </w:r>
          </w:p>
        </w:tc>
        <w:tc>
          <w:tcPr>
            <w:tcW w:w="918" w:type="dxa"/>
            <w:gridSpan w:val="2"/>
            <w:hideMark/>
          </w:tcPr>
          <w:p w14:paraId="30CDCDA9" w14:textId="6211791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257961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52719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Hospital (in-patient and out-patient)</w:t>
            </w:r>
          </w:p>
        </w:tc>
        <w:tc>
          <w:tcPr>
            <w:tcW w:w="1193" w:type="dxa"/>
            <w:hideMark/>
          </w:tcPr>
          <w:p w14:paraId="58016F7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4A1EFF2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Biomnis transfected fixed cell-based assay</w:t>
            </w:r>
          </w:p>
        </w:tc>
        <w:tc>
          <w:tcPr>
            <w:tcW w:w="893" w:type="dxa"/>
            <w:hideMark/>
          </w:tcPr>
          <w:p w14:paraId="317AB9AB" w14:textId="0D056AC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25.0</w:t>
            </w:r>
          </w:p>
        </w:tc>
        <w:tc>
          <w:tcPr>
            <w:tcW w:w="1233" w:type="dxa"/>
            <w:hideMark/>
          </w:tcPr>
          <w:p w14:paraId="4C31A2E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274319D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64</w:t>
            </w:r>
          </w:p>
        </w:tc>
        <w:tc>
          <w:tcPr>
            <w:tcW w:w="554" w:type="dxa"/>
            <w:gridSpan w:val="2"/>
            <w:hideMark/>
          </w:tcPr>
          <w:p w14:paraId="5443F1A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50</w:t>
            </w:r>
          </w:p>
        </w:tc>
        <w:tc>
          <w:tcPr>
            <w:tcW w:w="425" w:type="dxa"/>
            <w:hideMark/>
          </w:tcPr>
          <w:p w14:paraId="4D9965C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w:t>
            </w:r>
          </w:p>
        </w:tc>
        <w:tc>
          <w:tcPr>
            <w:tcW w:w="1279" w:type="dxa"/>
            <w:gridSpan w:val="2"/>
            <w:hideMark/>
          </w:tcPr>
          <w:p w14:paraId="67D08B3D"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35.7 ± 10.7</w:t>
            </w:r>
          </w:p>
          <w:p w14:paraId="10E1AD21" w14:textId="71A1D0B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 (16 - 63)</w:t>
            </w:r>
          </w:p>
        </w:tc>
        <w:tc>
          <w:tcPr>
            <w:tcW w:w="673" w:type="dxa"/>
            <w:gridSpan w:val="3"/>
            <w:hideMark/>
          </w:tcPr>
          <w:p w14:paraId="3CBB82CF" w14:textId="158F651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0962568" w14:textId="7B2E20D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B25B0F8" w14:textId="7CE5BCA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002D7B0" w14:textId="6EF4818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581945C1" w14:textId="69A1F64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C95D1E5" w14:textId="713943C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AA21900" w14:textId="220A02E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37A61AE6" w14:textId="274A18E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A62B3CE" w14:textId="455C652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3DA4BD9" w14:textId="77777777" w:rsidTr="008B36A4">
        <w:trPr>
          <w:cantSplit/>
          <w:trHeight w:val="270"/>
        </w:trPr>
        <w:tc>
          <w:tcPr>
            <w:tcW w:w="410" w:type="dxa"/>
            <w:noWrap/>
            <w:hideMark/>
          </w:tcPr>
          <w:p w14:paraId="7D058A2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p>
        </w:tc>
        <w:tc>
          <w:tcPr>
            <w:tcW w:w="437" w:type="dxa"/>
            <w:noWrap/>
            <w:hideMark/>
          </w:tcPr>
          <w:p w14:paraId="58914E5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59770930" w14:textId="2849D2A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Bichuetti et al., 20</w:t>
            </w:r>
            <w:r>
              <w:rPr>
                <w:rFonts w:ascii="Arial" w:eastAsia="Times New Roman" w:hAnsi="Arial" w:cs="Arial"/>
                <w:color w:val="000000" w:themeColor="text1"/>
                <w:sz w:val="12"/>
                <w:szCs w:val="12"/>
                <w:lang w:eastAsia="en-AU"/>
              </w:rPr>
              <w:t>0</w:t>
            </w:r>
            <w:r w:rsidRPr="00C77BDD">
              <w:rPr>
                <w:rFonts w:ascii="Arial" w:eastAsia="Times New Roman" w:hAnsi="Arial" w:cs="Arial"/>
                <w:color w:val="000000" w:themeColor="text1"/>
                <w:sz w:val="12"/>
                <w:szCs w:val="12"/>
                <w:lang w:eastAsia="en-AU"/>
              </w:rPr>
              <w:t>9</w:t>
            </w:r>
            <w:r w:rsidR="00607377">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[35]</w:t>
            </w:r>
          </w:p>
        </w:tc>
        <w:tc>
          <w:tcPr>
            <w:tcW w:w="575" w:type="dxa"/>
            <w:gridSpan w:val="2"/>
            <w:hideMark/>
          </w:tcPr>
          <w:p w14:paraId="46A86F5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2007</w:t>
            </w:r>
          </w:p>
        </w:tc>
        <w:tc>
          <w:tcPr>
            <w:tcW w:w="1030" w:type="dxa"/>
            <w:gridSpan w:val="2"/>
            <w:hideMark/>
          </w:tcPr>
          <w:p w14:paraId="46C56FC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São Paulo, Brazil</w:t>
            </w:r>
          </w:p>
        </w:tc>
        <w:tc>
          <w:tcPr>
            <w:tcW w:w="918" w:type="dxa"/>
            <w:gridSpan w:val="2"/>
          </w:tcPr>
          <w:p w14:paraId="51D0D891" w14:textId="7901D653" w:rsidR="00F62694" w:rsidRPr="00C77BDD" w:rsidRDefault="008A088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79.39</w:t>
            </w:r>
          </w:p>
        </w:tc>
        <w:tc>
          <w:tcPr>
            <w:tcW w:w="918" w:type="dxa"/>
            <w:gridSpan w:val="2"/>
            <w:hideMark/>
          </w:tcPr>
          <w:p w14:paraId="0D694923" w14:textId="0F62868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1B278BC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72AE0E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Neuroimmunology clinic</w:t>
            </w:r>
          </w:p>
        </w:tc>
        <w:tc>
          <w:tcPr>
            <w:tcW w:w="1193" w:type="dxa"/>
            <w:hideMark/>
          </w:tcPr>
          <w:p w14:paraId="23030F4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476DFF5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Commercial assay (not further specified)</w:t>
            </w:r>
          </w:p>
        </w:tc>
        <w:tc>
          <w:tcPr>
            <w:tcW w:w="893" w:type="dxa"/>
            <w:hideMark/>
          </w:tcPr>
          <w:p w14:paraId="369528A4" w14:textId="23DF0CD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17.1</w:t>
            </w:r>
          </w:p>
        </w:tc>
        <w:tc>
          <w:tcPr>
            <w:tcW w:w="1233" w:type="dxa"/>
            <w:hideMark/>
          </w:tcPr>
          <w:p w14:paraId="1344E68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554BD54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w:t>
            </w:r>
          </w:p>
        </w:tc>
        <w:tc>
          <w:tcPr>
            <w:tcW w:w="554" w:type="dxa"/>
            <w:gridSpan w:val="2"/>
            <w:hideMark/>
          </w:tcPr>
          <w:p w14:paraId="5941ECA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29</w:t>
            </w:r>
          </w:p>
        </w:tc>
        <w:tc>
          <w:tcPr>
            <w:tcW w:w="425" w:type="dxa"/>
            <w:hideMark/>
          </w:tcPr>
          <w:p w14:paraId="5120465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hideMark/>
          </w:tcPr>
          <w:p w14:paraId="07DBF9ED"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32.6 ± 11.5</w:t>
            </w:r>
          </w:p>
          <w:p w14:paraId="5E374D9F" w14:textId="689DC6A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(20 - 60)</w:t>
            </w:r>
          </w:p>
        </w:tc>
        <w:tc>
          <w:tcPr>
            <w:tcW w:w="673" w:type="dxa"/>
            <w:gridSpan w:val="3"/>
            <w:hideMark/>
          </w:tcPr>
          <w:p w14:paraId="0AA9BAAF" w14:textId="6C38EC7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2C6B90F6" w14:textId="13C67E3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5A4E87D" w14:textId="7C14A2A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277C2F4" w14:textId="326AC78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77EBF51" w14:textId="17BFC40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747E5480" w14:textId="7A760F6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D7C96AE" w14:textId="6AEC074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1FAD6582" w14:textId="0320CA1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A1BECF7" w14:textId="4B6C3F1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8B5A927" w14:textId="77777777" w:rsidTr="008B36A4">
        <w:trPr>
          <w:cantSplit/>
          <w:trHeight w:val="275"/>
        </w:trPr>
        <w:tc>
          <w:tcPr>
            <w:tcW w:w="410" w:type="dxa"/>
            <w:noWrap/>
            <w:hideMark/>
          </w:tcPr>
          <w:p w14:paraId="789CAE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437" w:type="dxa"/>
            <w:noWrap/>
            <w:hideMark/>
          </w:tcPr>
          <w:p w14:paraId="2DD204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D0B5504" w14:textId="260D77E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Bizzoco et al., 2009</w:t>
            </w:r>
            <w:r w:rsidR="00607377">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[36]</w:t>
            </w:r>
            <w:r>
              <w:rPr>
                <w:rFonts w:ascii="Arial" w:eastAsia="Times New Roman" w:hAnsi="Arial" w:cs="Arial"/>
                <w:color w:val="000000" w:themeColor="text1"/>
                <w:sz w:val="12"/>
                <w:szCs w:val="12"/>
                <w:lang w:eastAsia="en-AU"/>
              </w:rPr>
              <w:t>*</w:t>
            </w:r>
          </w:p>
        </w:tc>
        <w:tc>
          <w:tcPr>
            <w:tcW w:w="575" w:type="dxa"/>
            <w:gridSpan w:val="2"/>
            <w:hideMark/>
          </w:tcPr>
          <w:p w14:paraId="66C95C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2006</w:t>
            </w:r>
          </w:p>
        </w:tc>
        <w:tc>
          <w:tcPr>
            <w:tcW w:w="1030" w:type="dxa"/>
            <w:gridSpan w:val="2"/>
            <w:hideMark/>
          </w:tcPr>
          <w:p w14:paraId="55E7253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Firenze &amp; Prato, Italy</w:t>
            </w:r>
          </w:p>
        </w:tc>
        <w:tc>
          <w:tcPr>
            <w:tcW w:w="918" w:type="dxa"/>
            <w:gridSpan w:val="2"/>
          </w:tcPr>
          <w:p w14:paraId="740924B3" w14:textId="2950CFA3" w:rsidR="00F62694" w:rsidRDefault="008A088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84.9</w:t>
            </w:r>
          </w:p>
        </w:tc>
        <w:tc>
          <w:tcPr>
            <w:tcW w:w="918" w:type="dxa"/>
            <w:gridSpan w:val="2"/>
            <w:hideMark/>
          </w:tcPr>
          <w:p w14:paraId="5D39D28A" w14:textId="3683A97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Prevalence study</w:t>
            </w:r>
          </w:p>
        </w:tc>
        <w:tc>
          <w:tcPr>
            <w:tcW w:w="1378" w:type="dxa"/>
            <w:hideMark/>
          </w:tcPr>
          <w:p w14:paraId="0E4EF1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Adult and paediatric centres</w:t>
            </w:r>
          </w:p>
        </w:tc>
        <w:tc>
          <w:tcPr>
            <w:tcW w:w="1560" w:type="dxa"/>
            <w:hideMark/>
          </w:tcPr>
          <w:p w14:paraId="059FB82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Neurology clinics</w:t>
            </w:r>
          </w:p>
        </w:tc>
        <w:tc>
          <w:tcPr>
            <w:tcW w:w="1193" w:type="dxa"/>
            <w:hideMark/>
          </w:tcPr>
          <w:p w14:paraId="5B6909E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2007</w:t>
            </w:r>
          </w:p>
        </w:tc>
        <w:tc>
          <w:tcPr>
            <w:tcW w:w="1358" w:type="dxa"/>
            <w:hideMark/>
          </w:tcPr>
          <w:p w14:paraId="67AE03A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Tissue (rat) immunofluorescence</w:t>
            </w:r>
          </w:p>
        </w:tc>
        <w:tc>
          <w:tcPr>
            <w:tcW w:w="893" w:type="dxa"/>
            <w:hideMark/>
          </w:tcPr>
          <w:p w14:paraId="208A47C4" w14:textId="3EFB9FA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76.9</w:t>
            </w:r>
          </w:p>
        </w:tc>
        <w:tc>
          <w:tcPr>
            <w:tcW w:w="1233" w:type="dxa"/>
            <w:hideMark/>
          </w:tcPr>
          <w:p w14:paraId="73EFDB3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53B9522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w:t>
            </w:r>
          </w:p>
        </w:tc>
        <w:tc>
          <w:tcPr>
            <w:tcW w:w="554" w:type="dxa"/>
            <w:gridSpan w:val="2"/>
            <w:hideMark/>
          </w:tcPr>
          <w:p w14:paraId="07916A2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425" w:type="dxa"/>
            <w:hideMark/>
          </w:tcPr>
          <w:p w14:paraId="70A3092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279" w:type="dxa"/>
            <w:gridSpan w:val="2"/>
            <w:hideMark/>
          </w:tcPr>
          <w:p w14:paraId="3722BE65" w14:textId="2676693F"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37.3 ± -16.0</w:t>
            </w:r>
            <w:r w:rsidRPr="008D1DC2">
              <w:rPr>
                <w:rFonts w:ascii="Arial" w:eastAsia="Times New Roman" w:hAnsi="Arial" w:cs="Arial"/>
                <w:color w:val="000000" w:themeColor="text1"/>
                <w:sz w:val="12"/>
                <w:szCs w:val="12"/>
                <w:vertAlign w:val="superscript"/>
                <w:lang w:eastAsia="en-AU"/>
              </w:rPr>
              <w:t>†</w:t>
            </w:r>
          </w:p>
          <w:p w14:paraId="39A3F278" w14:textId="7B318E0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 (9 - 69)</w:t>
            </w:r>
          </w:p>
        </w:tc>
        <w:tc>
          <w:tcPr>
            <w:tcW w:w="673" w:type="dxa"/>
            <w:gridSpan w:val="3"/>
            <w:hideMark/>
          </w:tcPr>
          <w:p w14:paraId="6199A774" w14:textId="6244636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5EBA0061" w14:textId="20005D1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0AD7104" w14:textId="50B6449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38D56FE2" w14:textId="3F912A6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F320B3D" w14:textId="2859755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DE610B4" w14:textId="6C37F42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E1BB8CF" w14:textId="0709428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788DBAEE" w14:textId="49BEC7E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0494594" w14:textId="2DB7C64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7510591" w14:textId="77777777" w:rsidTr="008B36A4">
        <w:trPr>
          <w:cantSplit/>
          <w:trHeight w:val="292"/>
        </w:trPr>
        <w:tc>
          <w:tcPr>
            <w:tcW w:w="410" w:type="dxa"/>
            <w:noWrap/>
            <w:hideMark/>
          </w:tcPr>
          <w:p w14:paraId="1C2736B4" w14:textId="3193C04E"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276A62B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37590F32" w14:textId="0C453F64"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6EA8C468"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5B83C26A"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7D8BB34F"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19AF2885" w14:textId="710C3CF7"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6FB23CD2"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23D44192"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20E44C7E"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71573811"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646E1C3F" w14:textId="5629329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6F3E942C"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4EC73C6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554" w:type="dxa"/>
            <w:gridSpan w:val="2"/>
            <w:hideMark/>
          </w:tcPr>
          <w:p w14:paraId="4C65A60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425" w:type="dxa"/>
            <w:hideMark/>
          </w:tcPr>
          <w:p w14:paraId="729EDCC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79" w:type="dxa"/>
            <w:gridSpan w:val="2"/>
            <w:hideMark/>
          </w:tcPr>
          <w:p w14:paraId="516C3C27"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41.0 ± 15.5</w:t>
            </w:r>
          </w:p>
          <w:p w14:paraId="53891C74" w14:textId="404C74C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 xml:space="preserve">40 (25 - 69) </w:t>
            </w:r>
          </w:p>
        </w:tc>
        <w:tc>
          <w:tcPr>
            <w:tcW w:w="673" w:type="dxa"/>
            <w:gridSpan w:val="3"/>
            <w:hideMark/>
          </w:tcPr>
          <w:p w14:paraId="4E157DB5" w14:textId="54A70DB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2984745A" w14:textId="0A8C025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970743D" w14:textId="7B73362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4A28364E" w14:textId="630595A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3B828A1" w14:textId="4881BD5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AFB573E" w14:textId="2F7F753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74ECC8D" w14:textId="1EBC803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50A0DB3" w14:textId="3D9ACE3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DBC42A7" w14:textId="1901C72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3A69E38" w14:textId="77777777" w:rsidTr="008B36A4">
        <w:trPr>
          <w:cantSplit/>
          <w:trHeight w:val="635"/>
        </w:trPr>
        <w:tc>
          <w:tcPr>
            <w:tcW w:w="410" w:type="dxa"/>
            <w:noWrap/>
            <w:hideMark/>
          </w:tcPr>
          <w:p w14:paraId="0A4F69B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437" w:type="dxa"/>
            <w:noWrap/>
            <w:hideMark/>
          </w:tcPr>
          <w:p w14:paraId="2397436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7D00DF63" w14:textId="6B5B507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Bukhari et al., 2017</w:t>
            </w:r>
            <w:r w:rsidR="00664DA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[37]</w:t>
            </w:r>
            <w:r>
              <w:rPr>
                <w:rFonts w:ascii="Arial" w:eastAsia="Times New Roman" w:hAnsi="Arial" w:cs="Arial"/>
                <w:color w:val="000000" w:themeColor="text1"/>
                <w:sz w:val="12"/>
                <w:szCs w:val="12"/>
                <w:lang w:eastAsia="en-AU"/>
              </w:rPr>
              <w:t>*</w:t>
            </w:r>
          </w:p>
        </w:tc>
        <w:tc>
          <w:tcPr>
            <w:tcW w:w="575" w:type="dxa"/>
            <w:gridSpan w:val="2"/>
            <w:hideMark/>
          </w:tcPr>
          <w:p w14:paraId="2586E28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2013</w:t>
            </w:r>
          </w:p>
        </w:tc>
        <w:tc>
          <w:tcPr>
            <w:tcW w:w="1030" w:type="dxa"/>
            <w:gridSpan w:val="2"/>
            <w:hideMark/>
          </w:tcPr>
          <w:p w14:paraId="42AD682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Australia &amp; New Zealand</w:t>
            </w:r>
          </w:p>
        </w:tc>
        <w:tc>
          <w:tcPr>
            <w:tcW w:w="918" w:type="dxa"/>
            <w:gridSpan w:val="2"/>
          </w:tcPr>
          <w:p w14:paraId="4B1674D4" w14:textId="3BF7A807" w:rsidR="00F62694" w:rsidRPr="00C77BDD" w:rsidRDefault="0002387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84.84</w:t>
            </w:r>
          </w:p>
        </w:tc>
        <w:tc>
          <w:tcPr>
            <w:tcW w:w="918" w:type="dxa"/>
            <w:gridSpan w:val="2"/>
            <w:hideMark/>
          </w:tcPr>
          <w:p w14:paraId="0A2D3ACA" w14:textId="1CC19FA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043510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networks of neuroimmunology clinics</w:t>
            </w:r>
          </w:p>
        </w:tc>
        <w:tc>
          <w:tcPr>
            <w:tcW w:w="1560" w:type="dxa"/>
            <w:hideMark/>
          </w:tcPr>
          <w:p w14:paraId="02D7411F" w14:textId="032ED34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Susp</w:t>
            </w:r>
            <w:r>
              <w:rPr>
                <w:rFonts w:ascii="Arial" w:eastAsia="Times New Roman" w:hAnsi="Arial" w:cs="Arial"/>
                <w:color w:val="000000" w:themeColor="text1"/>
                <w:sz w:val="12"/>
                <w:szCs w:val="12"/>
                <w:lang w:eastAsia="en-AU"/>
              </w:rPr>
              <w:t>e</w:t>
            </w:r>
            <w:r w:rsidRPr="00C77BDD">
              <w:rPr>
                <w:rFonts w:ascii="Arial" w:eastAsia="Times New Roman" w:hAnsi="Arial" w:cs="Arial"/>
                <w:color w:val="000000" w:themeColor="text1"/>
                <w:sz w:val="12"/>
                <w:szCs w:val="12"/>
                <w:lang w:eastAsia="en-AU"/>
              </w:rPr>
              <w:t>cted NMOSD from 36 adult and paediatric clinics</w:t>
            </w:r>
          </w:p>
        </w:tc>
        <w:tc>
          <w:tcPr>
            <w:tcW w:w="1193" w:type="dxa"/>
            <w:hideMark/>
          </w:tcPr>
          <w:p w14:paraId="16EA00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2A2BB253" w14:textId="47F016B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Oxford live cell-based assay, Euroimmun AQP transfected fixed cell-based assay or tissue (mouse) indirect immunofluoresence</w:t>
            </w:r>
          </w:p>
        </w:tc>
        <w:tc>
          <w:tcPr>
            <w:tcW w:w="893" w:type="dxa"/>
            <w:hideMark/>
          </w:tcPr>
          <w:p w14:paraId="5FC63665" w14:textId="0587CCE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90.1</w:t>
            </w:r>
          </w:p>
        </w:tc>
        <w:tc>
          <w:tcPr>
            <w:tcW w:w="1233" w:type="dxa"/>
            <w:hideMark/>
          </w:tcPr>
          <w:p w14:paraId="5221A0A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76% (capture-recapture method)</w:t>
            </w:r>
          </w:p>
        </w:tc>
        <w:tc>
          <w:tcPr>
            <w:tcW w:w="584" w:type="dxa"/>
            <w:gridSpan w:val="2"/>
            <w:hideMark/>
          </w:tcPr>
          <w:p w14:paraId="6F1DDA7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147</w:t>
            </w:r>
          </w:p>
        </w:tc>
        <w:tc>
          <w:tcPr>
            <w:tcW w:w="554" w:type="dxa"/>
            <w:gridSpan w:val="2"/>
            <w:hideMark/>
          </w:tcPr>
          <w:p w14:paraId="675334B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126</w:t>
            </w:r>
          </w:p>
        </w:tc>
        <w:tc>
          <w:tcPr>
            <w:tcW w:w="425" w:type="dxa"/>
            <w:hideMark/>
          </w:tcPr>
          <w:p w14:paraId="7E1930F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21</w:t>
            </w:r>
          </w:p>
        </w:tc>
        <w:tc>
          <w:tcPr>
            <w:tcW w:w="1279" w:type="dxa"/>
            <w:gridSpan w:val="2"/>
            <w:hideMark/>
          </w:tcPr>
          <w:p w14:paraId="3818B8B3"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41.7 ± 17.4</w:t>
            </w:r>
          </w:p>
          <w:p w14:paraId="27780BDC" w14:textId="277281F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 xml:space="preserve">40 (13 - 85) </w:t>
            </w:r>
          </w:p>
        </w:tc>
        <w:tc>
          <w:tcPr>
            <w:tcW w:w="673" w:type="dxa"/>
            <w:gridSpan w:val="3"/>
            <w:hideMark/>
          </w:tcPr>
          <w:p w14:paraId="436BBD48" w14:textId="14288A1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7493C24" w14:textId="11C7D3C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6F94E168" w14:textId="5EAE5C6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D9832B1" w14:textId="74ED17C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2DD76F6" w14:textId="76E837B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52979DB" w14:textId="334153A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334B321" w14:textId="5F234C6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07C8DA66" w14:textId="2D4DEB2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F6F33A0" w14:textId="7DFF8BE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r>
      <w:tr w:rsidR="00F62694" w:rsidRPr="008E4E40" w14:paraId="3F581767" w14:textId="77777777" w:rsidTr="008B36A4">
        <w:trPr>
          <w:cantSplit/>
          <w:trHeight w:val="57"/>
        </w:trPr>
        <w:tc>
          <w:tcPr>
            <w:tcW w:w="410" w:type="dxa"/>
            <w:noWrap/>
            <w:hideMark/>
          </w:tcPr>
          <w:p w14:paraId="0A10B20C" w14:textId="58EA5A36"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3D8B38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210FAE8D" w14:textId="2F1322C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Bukhari et al., 2020</w:t>
            </w:r>
            <w:r w:rsidR="0052079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[113]</w:t>
            </w:r>
          </w:p>
        </w:tc>
        <w:tc>
          <w:tcPr>
            <w:tcW w:w="575" w:type="dxa"/>
            <w:gridSpan w:val="2"/>
            <w:hideMark/>
          </w:tcPr>
          <w:p w14:paraId="71A81E07"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5994E555"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496CFAF2"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F431D69" w14:textId="52CACED1"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2CCC1D09"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2D82BE95"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0BD62B94"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32529140"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6DFAE8BB" w14:textId="45CBF31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4DBF4AD7"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3EA6EC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68</w:t>
            </w:r>
          </w:p>
        </w:tc>
        <w:tc>
          <w:tcPr>
            <w:tcW w:w="554" w:type="dxa"/>
            <w:gridSpan w:val="2"/>
            <w:hideMark/>
          </w:tcPr>
          <w:p w14:paraId="24BE6A0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61</w:t>
            </w:r>
          </w:p>
        </w:tc>
        <w:tc>
          <w:tcPr>
            <w:tcW w:w="425" w:type="dxa"/>
            <w:hideMark/>
          </w:tcPr>
          <w:p w14:paraId="37F6BB4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1279" w:type="dxa"/>
            <w:gridSpan w:val="2"/>
            <w:hideMark/>
          </w:tcPr>
          <w:p w14:paraId="7D910C2D" w14:textId="03F89BC0"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44.8 ± 15.3</w:t>
            </w:r>
            <w:r w:rsidRPr="008D1DC2">
              <w:rPr>
                <w:rFonts w:ascii="Arial" w:eastAsia="Times New Roman" w:hAnsi="Arial" w:cs="Arial"/>
                <w:color w:val="000000" w:themeColor="text1"/>
                <w:sz w:val="12"/>
                <w:szCs w:val="12"/>
                <w:vertAlign w:val="superscript"/>
                <w:lang w:eastAsia="en-AU"/>
              </w:rPr>
              <w:t>‡</w:t>
            </w:r>
          </w:p>
          <w:p w14:paraId="0F7A7A3E" w14:textId="05BEA37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40.5 (13 - 85)</w:t>
            </w:r>
          </w:p>
        </w:tc>
        <w:tc>
          <w:tcPr>
            <w:tcW w:w="673" w:type="dxa"/>
            <w:gridSpan w:val="3"/>
            <w:hideMark/>
          </w:tcPr>
          <w:p w14:paraId="68B056E4" w14:textId="509DA18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500255C6" w14:textId="1F40363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4A16AD2" w14:textId="47F6769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F8B9E41" w14:textId="620E71F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A4304A5" w14:textId="48DFEC5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8161066" w14:textId="7C8B008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17FE674" w14:textId="4177371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52B8E255" w14:textId="5A2A945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19CFA9D4" w14:textId="6DB6827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r>
      <w:tr w:rsidR="00F62694" w:rsidRPr="008E4E40" w14:paraId="2C37CCCD" w14:textId="77777777" w:rsidTr="008B36A4">
        <w:trPr>
          <w:cantSplit/>
          <w:trHeight w:val="298"/>
        </w:trPr>
        <w:tc>
          <w:tcPr>
            <w:tcW w:w="410" w:type="dxa"/>
            <w:noWrap/>
            <w:hideMark/>
          </w:tcPr>
          <w:p w14:paraId="31869C8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w:t>
            </w:r>
          </w:p>
        </w:tc>
        <w:tc>
          <w:tcPr>
            <w:tcW w:w="437" w:type="dxa"/>
            <w:noWrap/>
            <w:hideMark/>
          </w:tcPr>
          <w:p w14:paraId="143036F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8B9A3F5" w14:textId="4733AA3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Cabre et al., 2001</w:t>
            </w:r>
            <w:r w:rsidR="0052079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[38]</w:t>
            </w:r>
          </w:p>
        </w:tc>
        <w:tc>
          <w:tcPr>
            <w:tcW w:w="575" w:type="dxa"/>
            <w:gridSpan w:val="2"/>
            <w:hideMark/>
          </w:tcPr>
          <w:p w14:paraId="24D3BC0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1999</w:t>
            </w:r>
          </w:p>
        </w:tc>
        <w:tc>
          <w:tcPr>
            <w:tcW w:w="1030" w:type="dxa"/>
            <w:gridSpan w:val="2"/>
            <w:hideMark/>
          </w:tcPr>
          <w:p w14:paraId="69E04F9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Martinique, Caribbean</w:t>
            </w:r>
          </w:p>
        </w:tc>
        <w:tc>
          <w:tcPr>
            <w:tcW w:w="918" w:type="dxa"/>
            <w:gridSpan w:val="2"/>
          </w:tcPr>
          <w:p w14:paraId="0D61CCE1" w14:textId="2D67884E" w:rsidR="00F62694" w:rsidRPr="00C77BDD" w:rsidRDefault="003B5646"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77.96</w:t>
            </w:r>
          </w:p>
        </w:tc>
        <w:tc>
          <w:tcPr>
            <w:tcW w:w="918" w:type="dxa"/>
            <w:gridSpan w:val="2"/>
            <w:hideMark/>
          </w:tcPr>
          <w:p w14:paraId="505F62C8" w14:textId="671AE22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765D71B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79E14C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Review of local case files (including private neurologists)</w:t>
            </w:r>
          </w:p>
        </w:tc>
        <w:tc>
          <w:tcPr>
            <w:tcW w:w="1193" w:type="dxa"/>
            <w:hideMark/>
          </w:tcPr>
          <w:p w14:paraId="534A73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1999</w:t>
            </w:r>
          </w:p>
        </w:tc>
        <w:tc>
          <w:tcPr>
            <w:tcW w:w="1358" w:type="dxa"/>
            <w:hideMark/>
          </w:tcPr>
          <w:p w14:paraId="6A4E805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w:t>
            </w:r>
          </w:p>
        </w:tc>
        <w:tc>
          <w:tcPr>
            <w:tcW w:w="893" w:type="dxa"/>
            <w:hideMark/>
          </w:tcPr>
          <w:p w14:paraId="45155FEC" w14:textId="3C3A606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33" w:type="dxa"/>
            <w:hideMark/>
          </w:tcPr>
          <w:p w14:paraId="600DABA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77F64D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w:t>
            </w:r>
          </w:p>
        </w:tc>
        <w:tc>
          <w:tcPr>
            <w:tcW w:w="554" w:type="dxa"/>
            <w:gridSpan w:val="2"/>
            <w:hideMark/>
          </w:tcPr>
          <w:p w14:paraId="3D4B410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w:t>
            </w:r>
          </w:p>
        </w:tc>
        <w:tc>
          <w:tcPr>
            <w:tcW w:w="425" w:type="dxa"/>
            <w:hideMark/>
          </w:tcPr>
          <w:p w14:paraId="0B0B602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79" w:type="dxa"/>
            <w:gridSpan w:val="2"/>
            <w:hideMark/>
          </w:tcPr>
          <w:p w14:paraId="4E735B4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31.7 ± 9.2</w:t>
            </w:r>
          </w:p>
        </w:tc>
        <w:tc>
          <w:tcPr>
            <w:tcW w:w="673" w:type="dxa"/>
            <w:gridSpan w:val="3"/>
            <w:hideMark/>
          </w:tcPr>
          <w:p w14:paraId="3A81A0B7" w14:textId="5327651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9FF51DE" w14:textId="74205C6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2F46CC4" w14:textId="14BC7DB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25FD811C" w14:textId="7EA14DE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94EC3DA" w14:textId="641ECDD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DBC29E9" w14:textId="78D1C9B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6A08D76" w14:textId="527532F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50" w:type="dxa"/>
            <w:hideMark/>
          </w:tcPr>
          <w:p w14:paraId="785FBC15" w14:textId="590F88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BBF7821" w14:textId="10E1D33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3447131" w14:textId="77777777" w:rsidTr="008B36A4">
        <w:trPr>
          <w:cantSplit/>
          <w:trHeight w:val="304"/>
        </w:trPr>
        <w:tc>
          <w:tcPr>
            <w:tcW w:w="410" w:type="dxa"/>
            <w:noWrap/>
            <w:hideMark/>
          </w:tcPr>
          <w:p w14:paraId="73B897A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437" w:type="dxa"/>
            <w:noWrap/>
            <w:hideMark/>
          </w:tcPr>
          <w:p w14:paraId="0B9FEBC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1258EB6" w14:textId="1D56D20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Cabrera-Gomez et al., 2009</w:t>
            </w:r>
            <w:r w:rsidR="00456C4B">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[39]</w:t>
            </w:r>
            <w:r>
              <w:rPr>
                <w:rFonts w:ascii="Arial" w:eastAsia="Times New Roman" w:hAnsi="Arial" w:cs="Arial"/>
                <w:color w:val="000000" w:themeColor="text1"/>
                <w:sz w:val="12"/>
                <w:szCs w:val="12"/>
                <w:lang w:eastAsia="en-AU"/>
              </w:rPr>
              <w:t>*</w:t>
            </w:r>
          </w:p>
        </w:tc>
        <w:tc>
          <w:tcPr>
            <w:tcW w:w="575" w:type="dxa"/>
            <w:gridSpan w:val="2"/>
            <w:hideMark/>
          </w:tcPr>
          <w:p w14:paraId="68E085E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2004</w:t>
            </w:r>
          </w:p>
        </w:tc>
        <w:tc>
          <w:tcPr>
            <w:tcW w:w="1030" w:type="dxa"/>
            <w:gridSpan w:val="2"/>
            <w:hideMark/>
          </w:tcPr>
          <w:p w14:paraId="087EBC9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Cuba</w:t>
            </w:r>
          </w:p>
        </w:tc>
        <w:tc>
          <w:tcPr>
            <w:tcW w:w="918" w:type="dxa"/>
            <w:gridSpan w:val="2"/>
          </w:tcPr>
          <w:p w14:paraId="560116E6" w14:textId="034F4370" w:rsidR="00381D4C" w:rsidRPr="00C77BDD" w:rsidRDefault="00381D4C"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80.25</w:t>
            </w:r>
          </w:p>
        </w:tc>
        <w:tc>
          <w:tcPr>
            <w:tcW w:w="918" w:type="dxa"/>
            <w:gridSpan w:val="2"/>
            <w:hideMark/>
          </w:tcPr>
          <w:p w14:paraId="23925F6A" w14:textId="281C053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41632B3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Hospitals and clinics</w:t>
            </w:r>
          </w:p>
        </w:tc>
        <w:tc>
          <w:tcPr>
            <w:tcW w:w="1560" w:type="dxa"/>
            <w:hideMark/>
          </w:tcPr>
          <w:p w14:paraId="147CD94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Nationwide survey involving neurologists, ophthalmologists and general physicians</w:t>
            </w:r>
          </w:p>
        </w:tc>
        <w:tc>
          <w:tcPr>
            <w:tcW w:w="1193" w:type="dxa"/>
            <w:hideMark/>
          </w:tcPr>
          <w:p w14:paraId="14A8F65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1999</w:t>
            </w:r>
          </w:p>
        </w:tc>
        <w:tc>
          <w:tcPr>
            <w:tcW w:w="1358" w:type="dxa"/>
            <w:hideMark/>
          </w:tcPr>
          <w:p w14:paraId="30FFA7F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w:t>
            </w:r>
          </w:p>
        </w:tc>
        <w:tc>
          <w:tcPr>
            <w:tcW w:w="893" w:type="dxa"/>
            <w:hideMark/>
          </w:tcPr>
          <w:p w14:paraId="17E3F3D0" w14:textId="2691F49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33" w:type="dxa"/>
            <w:hideMark/>
          </w:tcPr>
          <w:p w14:paraId="1F0D283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56CC7B8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58</w:t>
            </w:r>
          </w:p>
        </w:tc>
        <w:tc>
          <w:tcPr>
            <w:tcW w:w="554" w:type="dxa"/>
            <w:gridSpan w:val="2"/>
            <w:hideMark/>
          </w:tcPr>
          <w:p w14:paraId="7DACCB8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51</w:t>
            </w:r>
          </w:p>
        </w:tc>
        <w:tc>
          <w:tcPr>
            <w:tcW w:w="425" w:type="dxa"/>
            <w:hideMark/>
          </w:tcPr>
          <w:p w14:paraId="6909DFA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1279" w:type="dxa"/>
            <w:gridSpan w:val="2"/>
            <w:hideMark/>
          </w:tcPr>
          <w:p w14:paraId="47C17C0C"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31.8 ± 11.1</w:t>
            </w:r>
          </w:p>
          <w:p w14:paraId="3AD6C8A3" w14:textId="7DD0A11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(11 - 62)</w:t>
            </w:r>
          </w:p>
        </w:tc>
        <w:tc>
          <w:tcPr>
            <w:tcW w:w="673" w:type="dxa"/>
            <w:gridSpan w:val="3"/>
            <w:hideMark/>
          </w:tcPr>
          <w:p w14:paraId="5CDBF86B" w14:textId="550F460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DD60D97" w14:textId="5110880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7D44934" w14:textId="54C553B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4609005F" w14:textId="1466924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26003FE" w14:textId="1C6E597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8860C0E" w14:textId="0A0AE19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9893453" w14:textId="7531D93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50" w:type="dxa"/>
            <w:hideMark/>
          </w:tcPr>
          <w:p w14:paraId="4FA939AE" w14:textId="7646E0A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2A16A6C6" w14:textId="7BFEBCD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3E8B14F" w14:textId="77777777" w:rsidTr="008B36A4">
        <w:trPr>
          <w:cantSplit/>
          <w:trHeight w:val="326"/>
        </w:trPr>
        <w:tc>
          <w:tcPr>
            <w:tcW w:w="410" w:type="dxa"/>
            <w:noWrap/>
            <w:hideMark/>
          </w:tcPr>
          <w:p w14:paraId="53B74AA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w:t>
            </w:r>
          </w:p>
        </w:tc>
        <w:tc>
          <w:tcPr>
            <w:tcW w:w="437" w:type="dxa"/>
            <w:noWrap/>
            <w:hideMark/>
          </w:tcPr>
          <w:p w14:paraId="39B6D68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651FE25" w14:textId="7B44F83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Ceccarelli et al., 2020</w:t>
            </w:r>
            <w:r w:rsidR="0010021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[40]</w:t>
            </w:r>
          </w:p>
        </w:tc>
        <w:tc>
          <w:tcPr>
            <w:tcW w:w="575" w:type="dxa"/>
            <w:gridSpan w:val="2"/>
            <w:hideMark/>
          </w:tcPr>
          <w:p w14:paraId="028FB54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2017</w:t>
            </w:r>
          </w:p>
        </w:tc>
        <w:tc>
          <w:tcPr>
            <w:tcW w:w="1030" w:type="dxa"/>
            <w:gridSpan w:val="2"/>
            <w:hideMark/>
          </w:tcPr>
          <w:p w14:paraId="5E2909A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United Arab Emirates</w:t>
            </w:r>
          </w:p>
        </w:tc>
        <w:tc>
          <w:tcPr>
            <w:tcW w:w="918" w:type="dxa"/>
            <w:gridSpan w:val="2"/>
          </w:tcPr>
          <w:p w14:paraId="54645B14" w14:textId="04AE6595" w:rsidR="00F62694" w:rsidRPr="00C77BDD" w:rsidRDefault="00B641E6"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78.42</w:t>
            </w:r>
          </w:p>
        </w:tc>
        <w:tc>
          <w:tcPr>
            <w:tcW w:w="918" w:type="dxa"/>
            <w:gridSpan w:val="2"/>
            <w:hideMark/>
          </w:tcPr>
          <w:p w14:paraId="63C995FA" w14:textId="6380846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478B78D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4CA825A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Chart review of neurological institute</w:t>
            </w:r>
          </w:p>
        </w:tc>
        <w:tc>
          <w:tcPr>
            <w:tcW w:w="1193" w:type="dxa"/>
            <w:hideMark/>
          </w:tcPr>
          <w:p w14:paraId="69B9451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039B8F5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 or referenced (testing performed by BN Labcorp, Burlington - possibly ELISA)</w:t>
            </w:r>
          </w:p>
        </w:tc>
        <w:tc>
          <w:tcPr>
            <w:tcW w:w="893" w:type="dxa"/>
            <w:hideMark/>
          </w:tcPr>
          <w:p w14:paraId="5123617B" w14:textId="4861FBA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555F809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BD496E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554" w:type="dxa"/>
            <w:gridSpan w:val="2"/>
            <w:hideMark/>
          </w:tcPr>
          <w:p w14:paraId="35AD7C9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425" w:type="dxa"/>
            <w:hideMark/>
          </w:tcPr>
          <w:p w14:paraId="5B91D64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79" w:type="dxa"/>
            <w:gridSpan w:val="2"/>
            <w:hideMark/>
          </w:tcPr>
          <w:p w14:paraId="093C74B8" w14:textId="352B7638"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40.8 ± 12.5</w:t>
            </w:r>
            <w:r w:rsidRPr="008D1DC2">
              <w:rPr>
                <w:rFonts w:ascii="Arial" w:eastAsia="Times New Roman" w:hAnsi="Arial" w:cs="Arial"/>
                <w:color w:val="000000" w:themeColor="text1"/>
                <w:sz w:val="12"/>
                <w:szCs w:val="12"/>
                <w:vertAlign w:val="superscript"/>
                <w:lang w:eastAsia="en-AU"/>
              </w:rPr>
              <w:t>†</w:t>
            </w:r>
          </w:p>
          <w:p w14:paraId="04D5E2FF" w14:textId="6F5678B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46 (19 - 50)</w:t>
            </w:r>
          </w:p>
        </w:tc>
        <w:tc>
          <w:tcPr>
            <w:tcW w:w="673" w:type="dxa"/>
            <w:gridSpan w:val="3"/>
            <w:hideMark/>
          </w:tcPr>
          <w:p w14:paraId="1C720085" w14:textId="161AFBC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5C8AA46A" w14:textId="528B75C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4DD255E4" w14:textId="1E30D55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1935EE70" w14:textId="36CA71E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508F3A9" w14:textId="308B679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03788459" w14:textId="7567535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4179F7AA" w14:textId="6649126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7F1F0A79" w14:textId="1FD7B35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4E1BC5D" w14:textId="3EA963C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A5469F1" w14:textId="77777777" w:rsidTr="008B36A4">
        <w:trPr>
          <w:cantSplit/>
          <w:trHeight w:val="334"/>
        </w:trPr>
        <w:tc>
          <w:tcPr>
            <w:tcW w:w="410" w:type="dxa"/>
            <w:noWrap/>
            <w:hideMark/>
          </w:tcPr>
          <w:p w14:paraId="60E6ED3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w:t>
            </w:r>
          </w:p>
        </w:tc>
        <w:tc>
          <w:tcPr>
            <w:tcW w:w="437" w:type="dxa"/>
            <w:noWrap/>
            <w:hideMark/>
          </w:tcPr>
          <w:p w14:paraId="1626C50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860540F" w14:textId="1734035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Chan et al., 2013</w:t>
            </w:r>
            <w:r w:rsidR="0010021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[41]</w:t>
            </w:r>
          </w:p>
        </w:tc>
        <w:tc>
          <w:tcPr>
            <w:tcW w:w="575" w:type="dxa"/>
            <w:gridSpan w:val="2"/>
            <w:hideMark/>
          </w:tcPr>
          <w:p w14:paraId="5285B31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2010</w:t>
            </w:r>
          </w:p>
        </w:tc>
        <w:tc>
          <w:tcPr>
            <w:tcW w:w="1030" w:type="dxa"/>
            <w:gridSpan w:val="2"/>
            <w:hideMark/>
          </w:tcPr>
          <w:p w14:paraId="6E346BE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Hong Kong, China</w:t>
            </w:r>
          </w:p>
        </w:tc>
        <w:tc>
          <w:tcPr>
            <w:tcW w:w="918" w:type="dxa"/>
            <w:gridSpan w:val="2"/>
          </w:tcPr>
          <w:p w14:paraId="221EB471" w14:textId="71CD323C" w:rsidR="00F62694" w:rsidRPr="00C77BDD" w:rsidRDefault="004953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80.49</w:t>
            </w:r>
          </w:p>
        </w:tc>
        <w:tc>
          <w:tcPr>
            <w:tcW w:w="918" w:type="dxa"/>
            <w:gridSpan w:val="2"/>
            <w:hideMark/>
          </w:tcPr>
          <w:p w14:paraId="3168490D" w14:textId="0208AE9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8C74E9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611DD82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Consecutive CNS IDD cases</w:t>
            </w:r>
          </w:p>
        </w:tc>
        <w:tc>
          <w:tcPr>
            <w:tcW w:w="1193" w:type="dxa"/>
            <w:hideMark/>
          </w:tcPr>
          <w:p w14:paraId="50FA5B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 &amp; AQP4 antibody positive</w:t>
            </w:r>
          </w:p>
        </w:tc>
        <w:tc>
          <w:tcPr>
            <w:tcW w:w="1358" w:type="dxa"/>
            <w:hideMark/>
          </w:tcPr>
          <w:p w14:paraId="2F8DCB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transfected HEK293 live cell-based assay</w:t>
            </w:r>
          </w:p>
        </w:tc>
        <w:tc>
          <w:tcPr>
            <w:tcW w:w="893" w:type="dxa"/>
            <w:hideMark/>
          </w:tcPr>
          <w:p w14:paraId="0DADC310" w14:textId="720046F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88.9</w:t>
            </w:r>
          </w:p>
        </w:tc>
        <w:tc>
          <w:tcPr>
            <w:tcW w:w="1233" w:type="dxa"/>
            <w:hideMark/>
          </w:tcPr>
          <w:p w14:paraId="5E20F94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208090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47</w:t>
            </w:r>
          </w:p>
        </w:tc>
        <w:tc>
          <w:tcPr>
            <w:tcW w:w="554" w:type="dxa"/>
            <w:gridSpan w:val="2"/>
            <w:hideMark/>
          </w:tcPr>
          <w:p w14:paraId="794F7BD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w:t>
            </w:r>
          </w:p>
        </w:tc>
        <w:tc>
          <w:tcPr>
            <w:tcW w:w="425" w:type="dxa"/>
            <w:hideMark/>
          </w:tcPr>
          <w:p w14:paraId="794F556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1279" w:type="dxa"/>
            <w:gridSpan w:val="2"/>
            <w:hideMark/>
          </w:tcPr>
          <w:p w14:paraId="78C545DF"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45.1 ± 15.4</w:t>
            </w:r>
          </w:p>
          <w:p w14:paraId="738B3563" w14:textId="2F29FC6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(16 - 76)</w:t>
            </w:r>
          </w:p>
        </w:tc>
        <w:tc>
          <w:tcPr>
            <w:tcW w:w="673" w:type="dxa"/>
            <w:gridSpan w:val="3"/>
            <w:hideMark/>
          </w:tcPr>
          <w:p w14:paraId="3E8C1E5C" w14:textId="2C0F9EE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207591F4" w14:textId="634F3F0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96D1202" w14:textId="08C5E7F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4858C4CC" w14:textId="4F25F27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082996F" w14:textId="177BE29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7D44EA32" w14:textId="6BEA402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57D98D2E" w14:textId="0BBED95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5009F1DB" w14:textId="6189E3B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289037BA" w14:textId="7A02CD5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53783CC" w14:textId="77777777" w:rsidTr="008B36A4">
        <w:trPr>
          <w:cantSplit/>
          <w:trHeight w:val="340"/>
        </w:trPr>
        <w:tc>
          <w:tcPr>
            <w:tcW w:w="410" w:type="dxa"/>
            <w:noWrap/>
            <w:hideMark/>
          </w:tcPr>
          <w:p w14:paraId="737133C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w:t>
            </w:r>
          </w:p>
        </w:tc>
        <w:tc>
          <w:tcPr>
            <w:tcW w:w="437" w:type="dxa"/>
            <w:noWrap/>
            <w:hideMark/>
          </w:tcPr>
          <w:p w14:paraId="58DBD1A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0406B96E" w14:textId="02B59C6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Collongues et al., 2010</w:t>
            </w:r>
            <w:r w:rsidR="0010021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[42]</w:t>
            </w:r>
          </w:p>
        </w:tc>
        <w:tc>
          <w:tcPr>
            <w:tcW w:w="575" w:type="dxa"/>
            <w:gridSpan w:val="2"/>
            <w:hideMark/>
          </w:tcPr>
          <w:p w14:paraId="1104689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2008</w:t>
            </w:r>
          </w:p>
        </w:tc>
        <w:tc>
          <w:tcPr>
            <w:tcW w:w="1030" w:type="dxa"/>
            <w:gridSpan w:val="2"/>
            <w:hideMark/>
          </w:tcPr>
          <w:p w14:paraId="712C073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France</w:t>
            </w:r>
          </w:p>
        </w:tc>
        <w:tc>
          <w:tcPr>
            <w:tcW w:w="918" w:type="dxa"/>
            <w:gridSpan w:val="2"/>
          </w:tcPr>
          <w:p w14:paraId="7D953AE6" w14:textId="0E0BEB79" w:rsidR="00F62694" w:rsidRPr="00C77BDD" w:rsidRDefault="002D06E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85.09</w:t>
            </w:r>
          </w:p>
        </w:tc>
        <w:tc>
          <w:tcPr>
            <w:tcW w:w="918" w:type="dxa"/>
            <w:gridSpan w:val="2"/>
            <w:hideMark/>
          </w:tcPr>
          <w:p w14:paraId="576FECF0" w14:textId="1DE1E18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BE1A36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 centres across France</w:t>
            </w:r>
          </w:p>
        </w:tc>
        <w:tc>
          <w:tcPr>
            <w:tcW w:w="1560" w:type="dxa"/>
            <w:hideMark/>
          </w:tcPr>
          <w:p w14:paraId="1A47908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Suspected NMO from MS centres using a questionnaire</w:t>
            </w:r>
          </w:p>
        </w:tc>
        <w:tc>
          <w:tcPr>
            <w:tcW w:w="1193" w:type="dxa"/>
            <w:hideMark/>
          </w:tcPr>
          <w:p w14:paraId="46811F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62AC013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Tissue (rat) immunofluorescence</w:t>
            </w:r>
          </w:p>
        </w:tc>
        <w:tc>
          <w:tcPr>
            <w:tcW w:w="893" w:type="dxa"/>
            <w:hideMark/>
          </w:tcPr>
          <w:p w14:paraId="653B1DB6" w14:textId="0FAEE03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48.0</w:t>
            </w:r>
          </w:p>
        </w:tc>
        <w:tc>
          <w:tcPr>
            <w:tcW w:w="1233" w:type="dxa"/>
            <w:hideMark/>
          </w:tcPr>
          <w:p w14:paraId="27EFC3A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430E2A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125</w:t>
            </w:r>
          </w:p>
        </w:tc>
        <w:tc>
          <w:tcPr>
            <w:tcW w:w="554" w:type="dxa"/>
            <w:gridSpan w:val="2"/>
            <w:hideMark/>
          </w:tcPr>
          <w:p w14:paraId="5273575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94</w:t>
            </w:r>
          </w:p>
        </w:tc>
        <w:tc>
          <w:tcPr>
            <w:tcW w:w="425" w:type="dxa"/>
            <w:hideMark/>
          </w:tcPr>
          <w:p w14:paraId="2DE9789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w:t>
            </w:r>
          </w:p>
        </w:tc>
        <w:tc>
          <w:tcPr>
            <w:tcW w:w="1279" w:type="dxa"/>
            <w:gridSpan w:val="2"/>
            <w:hideMark/>
          </w:tcPr>
          <w:p w14:paraId="3314B685"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34.5 ± 13.2</w:t>
            </w:r>
          </w:p>
          <w:p w14:paraId="70C35114" w14:textId="4F77696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34.7 (4 - 66)</w:t>
            </w:r>
          </w:p>
        </w:tc>
        <w:tc>
          <w:tcPr>
            <w:tcW w:w="673" w:type="dxa"/>
            <w:gridSpan w:val="3"/>
            <w:hideMark/>
          </w:tcPr>
          <w:p w14:paraId="100A5684" w14:textId="1165DBA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7A5CF4E" w14:textId="3E9B38F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F0EDCDF" w14:textId="00893EC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683C2276" w14:textId="4170B77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60305B2" w14:textId="4D6E022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CFE6F08" w14:textId="39A448D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7F658ED" w14:textId="426A833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70BE5FD3" w14:textId="1971F62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26F18CA" w14:textId="120FC2E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E281AA2" w14:textId="77777777" w:rsidTr="008B36A4">
        <w:trPr>
          <w:cantSplit/>
          <w:trHeight w:val="616"/>
        </w:trPr>
        <w:tc>
          <w:tcPr>
            <w:tcW w:w="410" w:type="dxa"/>
            <w:noWrap/>
            <w:hideMark/>
          </w:tcPr>
          <w:p w14:paraId="3DC7E82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w:t>
            </w:r>
          </w:p>
        </w:tc>
        <w:tc>
          <w:tcPr>
            <w:tcW w:w="437" w:type="dxa"/>
            <w:noWrap/>
            <w:hideMark/>
          </w:tcPr>
          <w:p w14:paraId="3920E44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DE12FCF" w14:textId="1B75C9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Cossburn et al., 2012</w:t>
            </w:r>
            <w:r w:rsidR="00510946">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[43]</w:t>
            </w:r>
            <w:r>
              <w:rPr>
                <w:rFonts w:ascii="Arial" w:eastAsia="Times New Roman" w:hAnsi="Arial" w:cs="Arial"/>
                <w:color w:val="000000" w:themeColor="text1"/>
                <w:sz w:val="12"/>
                <w:szCs w:val="12"/>
                <w:lang w:eastAsia="en-AU"/>
              </w:rPr>
              <w:t>*</w:t>
            </w:r>
          </w:p>
        </w:tc>
        <w:tc>
          <w:tcPr>
            <w:tcW w:w="575" w:type="dxa"/>
            <w:gridSpan w:val="2"/>
            <w:hideMark/>
          </w:tcPr>
          <w:p w14:paraId="02F3F9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2006</w:t>
            </w:r>
          </w:p>
        </w:tc>
        <w:tc>
          <w:tcPr>
            <w:tcW w:w="1030" w:type="dxa"/>
            <w:gridSpan w:val="2"/>
            <w:hideMark/>
          </w:tcPr>
          <w:p w14:paraId="64C14DFB" w14:textId="2D3179B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South East Wales</w:t>
            </w:r>
            <w:r w:rsidR="002D06E8">
              <w:rPr>
                <w:rFonts w:ascii="Arial" w:eastAsia="Times New Roman" w:hAnsi="Arial" w:cs="Arial"/>
                <w:color w:val="000000" w:themeColor="text1"/>
                <w:sz w:val="12"/>
                <w:szCs w:val="12"/>
                <w:lang w:eastAsia="en-AU"/>
              </w:rPr>
              <w:t>, UK</w:t>
            </w:r>
          </w:p>
        </w:tc>
        <w:tc>
          <w:tcPr>
            <w:tcW w:w="918" w:type="dxa"/>
            <w:gridSpan w:val="2"/>
          </w:tcPr>
          <w:p w14:paraId="0E9DCF93" w14:textId="641F922D" w:rsidR="00F62694" w:rsidRPr="00C77BDD" w:rsidRDefault="002D06E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82.99</w:t>
            </w:r>
          </w:p>
        </w:tc>
        <w:tc>
          <w:tcPr>
            <w:tcW w:w="918" w:type="dxa"/>
            <w:gridSpan w:val="2"/>
            <w:hideMark/>
          </w:tcPr>
          <w:p w14:paraId="43FB21AF" w14:textId="75B07C4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14480E2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 with outreach satellite clinics</w:t>
            </w:r>
          </w:p>
        </w:tc>
        <w:tc>
          <w:tcPr>
            <w:tcW w:w="1560" w:type="dxa"/>
            <w:hideMark/>
          </w:tcPr>
          <w:p w14:paraId="2B544810" w14:textId="62EC9EC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Regional neuro</w:t>
            </w:r>
            <w:r>
              <w:rPr>
                <w:rFonts w:ascii="Arial" w:eastAsia="Times New Roman" w:hAnsi="Arial" w:cs="Arial"/>
                <w:color w:val="000000" w:themeColor="text1"/>
                <w:sz w:val="12"/>
                <w:szCs w:val="12"/>
                <w:lang w:eastAsia="en-AU"/>
              </w:rPr>
              <w:t>-</w:t>
            </w:r>
            <w:r w:rsidRPr="00C77BDD">
              <w:rPr>
                <w:rFonts w:ascii="Arial" w:eastAsia="Times New Roman" w:hAnsi="Arial" w:cs="Arial"/>
                <w:color w:val="000000" w:themeColor="text1"/>
                <w:sz w:val="12"/>
                <w:szCs w:val="12"/>
                <w:lang w:eastAsia="en-AU"/>
              </w:rPr>
              <w:t>inflammatory database, neurologist referral, hospital databases and laboratory data</w:t>
            </w:r>
          </w:p>
        </w:tc>
        <w:tc>
          <w:tcPr>
            <w:tcW w:w="1193" w:type="dxa"/>
            <w:hideMark/>
          </w:tcPr>
          <w:p w14:paraId="5B5D496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2007</w:t>
            </w:r>
          </w:p>
        </w:tc>
        <w:tc>
          <w:tcPr>
            <w:tcW w:w="1358" w:type="dxa"/>
            <w:hideMark/>
          </w:tcPr>
          <w:p w14:paraId="24D4F79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 or referenced</w:t>
            </w:r>
          </w:p>
        </w:tc>
        <w:tc>
          <w:tcPr>
            <w:tcW w:w="893" w:type="dxa"/>
            <w:hideMark/>
          </w:tcPr>
          <w:p w14:paraId="263127F2" w14:textId="42DBCB2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76.9</w:t>
            </w:r>
          </w:p>
        </w:tc>
        <w:tc>
          <w:tcPr>
            <w:tcW w:w="1233" w:type="dxa"/>
            <w:hideMark/>
          </w:tcPr>
          <w:p w14:paraId="46D63DF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2413F86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w:t>
            </w:r>
          </w:p>
        </w:tc>
        <w:tc>
          <w:tcPr>
            <w:tcW w:w="554" w:type="dxa"/>
            <w:gridSpan w:val="2"/>
            <w:hideMark/>
          </w:tcPr>
          <w:p w14:paraId="2D2D992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425" w:type="dxa"/>
            <w:hideMark/>
          </w:tcPr>
          <w:p w14:paraId="4959522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6D107B35"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36.8 ± 22.2</w:t>
            </w:r>
          </w:p>
          <w:p w14:paraId="02B23622" w14:textId="00BCFBB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 (4 - 70)</w:t>
            </w:r>
          </w:p>
        </w:tc>
        <w:tc>
          <w:tcPr>
            <w:tcW w:w="673" w:type="dxa"/>
            <w:gridSpan w:val="3"/>
            <w:hideMark/>
          </w:tcPr>
          <w:p w14:paraId="09D36928" w14:textId="409A851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E75DCDB" w14:textId="044FE25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AA6864E" w14:textId="146713D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417B373D" w14:textId="1730BFC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2F02F9AD" w14:textId="0907448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0312583" w14:textId="345AAA6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1878C6E4" w14:textId="6499255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50" w:type="dxa"/>
            <w:hideMark/>
          </w:tcPr>
          <w:p w14:paraId="6C72EA6C" w14:textId="156998F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F982A06" w14:textId="4D9ECF8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AA79955" w14:textId="77777777" w:rsidTr="008B36A4">
        <w:trPr>
          <w:cantSplit/>
          <w:trHeight w:val="102"/>
        </w:trPr>
        <w:tc>
          <w:tcPr>
            <w:tcW w:w="410" w:type="dxa"/>
            <w:noWrap/>
            <w:hideMark/>
          </w:tcPr>
          <w:p w14:paraId="4392AEB7" w14:textId="579D84A4"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6D45719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1C2419F5" w14:textId="50F672F3"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30048CF8"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39A0CC14"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6318C14A"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1E5357F" w14:textId="6C49B7B0"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01424D8A"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67A5591C"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4D5866EE"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5371A302"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6ACC81F2" w14:textId="050EAEE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42A21C52"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602555E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554" w:type="dxa"/>
            <w:gridSpan w:val="2"/>
            <w:hideMark/>
          </w:tcPr>
          <w:p w14:paraId="135E1A4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p>
        </w:tc>
        <w:tc>
          <w:tcPr>
            <w:tcW w:w="425" w:type="dxa"/>
            <w:hideMark/>
          </w:tcPr>
          <w:p w14:paraId="1C23AE1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266F7D74"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34.9 ± 22.6</w:t>
            </w:r>
          </w:p>
          <w:p w14:paraId="1FDAE2C8" w14:textId="1C3488C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42.5 (4 - 62)</w:t>
            </w:r>
          </w:p>
        </w:tc>
        <w:tc>
          <w:tcPr>
            <w:tcW w:w="673" w:type="dxa"/>
            <w:gridSpan w:val="3"/>
            <w:hideMark/>
          </w:tcPr>
          <w:p w14:paraId="2B3AC323" w14:textId="6BB0380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85CDD33" w14:textId="6321848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6D9EABF1" w14:textId="5171A29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7B372226" w14:textId="7B52292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D2617B3" w14:textId="24AF87A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0967E64D" w14:textId="480E6C0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1FADB41" w14:textId="623A736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50" w:type="dxa"/>
            <w:hideMark/>
          </w:tcPr>
          <w:p w14:paraId="3FBA5129" w14:textId="581993F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9C8782B" w14:textId="7DF6DA1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540B7BE" w14:textId="77777777" w:rsidTr="008B36A4">
        <w:trPr>
          <w:cantSplit/>
          <w:trHeight w:val="136"/>
        </w:trPr>
        <w:tc>
          <w:tcPr>
            <w:tcW w:w="410" w:type="dxa"/>
            <w:noWrap/>
            <w:hideMark/>
          </w:tcPr>
          <w:p w14:paraId="3AB237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w:t>
            </w:r>
          </w:p>
        </w:tc>
        <w:tc>
          <w:tcPr>
            <w:tcW w:w="437" w:type="dxa"/>
            <w:noWrap/>
            <w:hideMark/>
          </w:tcPr>
          <w:p w14:paraId="62188E6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31D2485" w14:textId="79DA942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Daoudi &amp; Bouzar, 2016</w:t>
            </w:r>
            <w:r w:rsidR="00510946">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[44]</w:t>
            </w:r>
          </w:p>
        </w:tc>
        <w:tc>
          <w:tcPr>
            <w:tcW w:w="575" w:type="dxa"/>
            <w:gridSpan w:val="2"/>
            <w:hideMark/>
          </w:tcPr>
          <w:p w14:paraId="700EE73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2014</w:t>
            </w:r>
          </w:p>
        </w:tc>
        <w:tc>
          <w:tcPr>
            <w:tcW w:w="1030" w:type="dxa"/>
            <w:gridSpan w:val="2"/>
            <w:hideMark/>
          </w:tcPr>
          <w:p w14:paraId="06CA291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Tizi-Ouzou, Algeria</w:t>
            </w:r>
          </w:p>
        </w:tc>
        <w:tc>
          <w:tcPr>
            <w:tcW w:w="918" w:type="dxa"/>
            <w:gridSpan w:val="2"/>
          </w:tcPr>
          <w:p w14:paraId="76211530" w14:textId="38E8B6C7" w:rsidR="00F62694" w:rsidRPr="00C77BDD" w:rsidRDefault="00AC6BD5"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78.12</w:t>
            </w:r>
          </w:p>
        </w:tc>
        <w:tc>
          <w:tcPr>
            <w:tcW w:w="918" w:type="dxa"/>
            <w:gridSpan w:val="2"/>
            <w:hideMark/>
          </w:tcPr>
          <w:p w14:paraId="5F92E621" w14:textId="6A3E612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219379C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31B2749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Chart review of MS clinic attendees</w:t>
            </w:r>
          </w:p>
        </w:tc>
        <w:tc>
          <w:tcPr>
            <w:tcW w:w="1193" w:type="dxa"/>
            <w:hideMark/>
          </w:tcPr>
          <w:p w14:paraId="262FCDC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12F5131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clearly defined - state cell-based assay preferred</w:t>
            </w:r>
          </w:p>
        </w:tc>
        <w:tc>
          <w:tcPr>
            <w:tcW w:w="893" w:type="dxa"/>
            <w:hideMark/>
          </w:tcPr>
          <w:p w14:paraId="0501246B" w14:textId="1F59A6A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37.5</w:t>
            </w:r>
          </w:p>
        </w:tc>
        <w:tc>
          <w:tcPr>
            <w:tcW w:w="1233" w:type="dxa"/>
            <w:hideMark/>
          </w:tcPr>
          <w:p w14:paraId="17DECFC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59D4B90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p>
        </w:tc>
        <w:tc>
          <w:tcPr>
            <w:tcW w:w="554" w:type="dxa"/>
            <w:gridSpan w:val="2"/>
            <w:hideMark/>
          </w:tcPr>
          <w:p w14:paraId="50CB88A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425" w:type="dxa"/>
            <w:hideMark/>
          </w:tcPr>
          <w:p w14:paraId="2B4553B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6DA42880" w14:textId="026CA246"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29.4 ± 9.8</w:t>
            </w:r>
            <w:r w:rsidRPr="00ED4865">
              <w:rPr>
                <w:rFonts w:ascii="Arial" w:eastAsia="Times New Roman" w:hAnsi="Arial" w:cs="Arial"/>
                <w:color w:val="000000" w:themeColor="text1"/>
                <w:sz w:val="12"/>
                <w:szCs w:val="12"/>
                <w:vertAlign w:val="superscript"/>
                <w:lang w:eastAsia="en-AU"/>
              </w:rPr>
              <w:t>#</w:t>
            </w:r>
          </w:p>
          <w:p w14:paraId="1DA97B69" w14:textId="57B3FBA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(16 - 44)</w:t>
            </w:r>
          </w:p>
        </w:tc>
        <w:tc>
          <w:tcPr>
            <w:tcW w:w="673" w:type="dxa"/>
            <w:gridSpan w:val="3"/>
            <w:hideMark/>
          </w:tcPr>
          <w:p w14:paraId="09F01C27" w14:textId="4F3F2B9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5B74AFB3" w14:textId="460421D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6855453" w14:textId="0F7708C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6400B603" w14:textId="796ACB0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A538455" w14:textId="08EBC7E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108724B" w14:textId="74A01D4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C1570AC" w14:textId="776995A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50" w:type="dxa"/>
            <w:hideMark/>
          </w:tcPr>
          <w:p w14:paraId="5D9076FC" w14:textId="4BC8030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A318F2C" w14:textId="0A3562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083095F" w14:textId="77777777" w:rsidTr="008B36A4">
        <w:trPr>
          <w:cantSplit/>
          <w:trHeight w:val="368"/>
        </w:trPr>
        <w:tc>
          <w:tcPr>
            <w:tcW w:w="410" w:type="dxa"/>
            <w:noWrap/>
            <w:hideMark/>
          </w:tcPr>
          <w:p w14:paraId="6ED5B21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w:t>
            </w:r>
          </w:p>
        </w:tc>
        <w:tc>
          <w:tcPr>
            <w:tcW w:w="437" w:type="dxa"/>
            <w:noWrap/>
            <w:hideMark/>
          </w:tcPr>
          <w:p w14:paraId="171CF8F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D86E308" w14:textId="30BF9A0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Del Negro et al., 2017</w:t>
            </w:r>
            <w:r w:rsidR="00510946">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[45]</w:t>
            </w:r>
          </w:p>
        </w:tc>
        <w:tc>
          <w:tcPr>
            <w:tcW w:w="575" w:type="dxa"/>
            <w:gridSpan w:val="2"/>
            <w:hideMark/>
          </w:tcPr>
          <w:p w14:paraId="4AC08D8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2012</w:t>
            </w:r>
          </w:p>
        </w:tc>
        <w:tc>
          <w:tcPr>
            <w:tcW w:w="1030" w:type="dxa"/>
            <w:gridSpan w:val="2"/>
            <w:hideMark/>
          </w:tcPr>
          <w:p w14:paraId="5803971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Brasilia, Brazil</w:t>
            </w:r>
          </w:p>
        </w:tc>
        <w:tc>
          <w:tcPr>
            <w:tcW w:w="918" w:type="dxa"/>
            <w:gridSpan w:val="2"/>
          </w:tcPr>
          <w:p w14:paraId="744DE96B" w14:textId="5156EF3A" w:rsidR="00F62694" w:rsidRPr="00C77BDD" w:rsidRDefault="006324A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79.39</w:t>
            </w:r>
          </w:p>
        </w:tc>
        <w:tc>
          <w:tcPr>
            <w:tcW w:w="918" w:type="dxa"/>
            <w:gridSpan w:val="2"/>
            <w:hideMark/>
          </w:tcPr>
          <w:p w14:paraId="6D5710E4" w14:textId="4AA6992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402FEBF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097C6DB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Subjects for whom AQP4 antibody testing requested</w:t>
            </w:r>
          </w:p>
        </w:tc>
        <w:tc>
          <w:tcPr>
            <w:tcW w:w="1193" w:type="dxa"/>
            <w:hideMark/>
          </w:tcPr>
          <w:p w14:paraId="058A29E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20753DC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M1 AQP4 ELISA-R kit</w:t>
            </w:r>
          </w:p>
        </w:tc>
        <w:tc>
          <w:tcPr>
            <w:tcW w:w="893" w:type="dxa"/>
            <w:hideMark/>
          </w:tcPr>
          <w:p w14:paraId="628861F4" w14:textId="4D5BCF8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73.5</w:t>
            </w:r>
          </w:p>
        </w:tc>
        <w:tc>
          <w:tcPr>
            <w:tcW w:w="1233" w:type="dxa"/>
            <w:hideMark/>
          </w:tcPr>
          <w:p w14:paraId="2522B2C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F31F7D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w:t>
            </w:r>
          </w:p>
        </w:tc>
        <w:tc>
          <w:tcPr>
            <w:tcW w:w="554" w:type="dxa"/>
            <w:gridSpan w:val="2"/>
            <w:hideMark/>
          </w:tcPr>
          <w:p w14:paraId="7AFD50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w:t>
            </w:r>
          </w:p>
        </w:tc>
        <w:tc>
          <w:tcPr>
            <w:tcW w:w="425" w:type="dxa"/>
            <w:hideMark/>
          </w:tcPr>
          <w:p w14:paraId="6316E79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1279" w:type="dxa"/>
            <w:gridSpan w:val="2"/>
            <w:hideMark/>
          </w:tcPr>
          <w:p w14:paraId="6794F25F"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34.6 ± 17.2</w:t>
            </w:r>
          </w:p>
          <w:p w14:paraId="00C08FEA" w14:textId="7634EDD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(4 - 68)</w:t>
            </w:r>
          </w:p>
        </w:tc>
        <w:tc>
          <w:tcPr>
            <w:tcW w:w="673" w:type="dxa"/>
            <w:gridSpan w:val="3"/>
            <w:hideMark/>
          </w:tcPr>
          <w:p w14:paraId="765DAC9E" w14:textId="67D7FB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2B4147A" w14:textId="66FCC5D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1823AB3" w14:textId="14EE8EF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C12CF95" w14:textId="6D88E29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8B2367C" w14:textId="7A07185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77E10517" w14:textId="4D98B3E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E8D3F97" w14:textId="687536F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5BCD3DA0" w14:textId="24EE53D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BC1FEAF" w14:textId="7F3BBAC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56F937D" w14:textId="77777777" w:rsidTr="008B36A4">
        <w:trPr>
          <w:cantSplit/>
          <w:trHeight w:val="127"/>
        </w:trPr>
        <w:tc>
          <w:tcPr>
            <w:tcW w:w="410" w:type="dxa"/>
            <w:noWrap/>
            <w:hideMark/>
          </w:tcPr>
          <w:p w14:paraId="5E0B38F5" w14:textId="19A4B949"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6F94F8B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4116DCB9" w14:textId="5F64D34D"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251E8771"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1F3EB28D"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3B9C9B4B"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1B4E2D8C" w14:textId="4A83C154"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213614D3"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32C9A8A3"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7D5741B7"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1780F4C8"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041EF2C9" w14:textId="56354CF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3254BB73"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77A7E79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w:t>
            </w:r>
          </w:p>
        </w:tc>
        <w:tc>
          <w:tcPr>
            <w:tcW w:w="554" w:type="dxa"/>
            <w:gridSpan w:val="2"/>
            <w:hideMark/>
          </w:tcPr>
          <w:p w14:paraId="7F6D851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23</w:t>
            </w:r>
          </w:p>
        </w:tc>
        <w:tc>
          <w:tcPr>
            <w:tcW w:w="425" w:type="dxa"/>
            <w:hideMark/>
          </w:tcPr>
          <w:p w14:paraId="2798BF5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29F0642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33.8 ± 17.3</w:t>
            </w:r>
          </w:p>
        </w:tc>
        <w:tc>
          <w:tcPr>
            <w:tcW w:w="673" w:type="dxa"/>
            <w:gridSpan w:val="3"/>
            <w:hideMark/>
          </w:tcPr>
          <w:p w14:paraId="063F5BA7" w14:textId="5CFCF99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47ABD894" w14:textId="6C9AF2B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6A08779" w14:textId="2EDA643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77A0166" w14:textId="3D3FE4B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E949B18" w14:textId="6CD733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60EB711" w14:textId="16458B1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D91EEBA" w14:textId="38BF26D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2803076" w14:textId="133E5D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2ACFDF02" w14:textId="75174C3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FAA031C" w14:textId="77777777" w:rsidTr="008B36A4">
        <w:trPr>
          <w:cantSplit/>
          <w:trHeight w:val="394"/>
        </w:trPr>
        <w:tc>
          <w:tcPr>
            <w:tcW w:w="410" w:type="dxa"/>
            <w:noWrap/>
          </w:tcPr>
          <w:p w14:paraId="475D3B1C" w14:textId="464115AF"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19</w:t>
            </w:r>
          </w:p>
        </w:tc>
        <w:tc>
          <w:tcPr>
            <w:tcW w:w="437" w:type="dxa"/>
            <w:noWrap/>
          </w:tcPr>
          <w:p w14:paraId="5EB16C66" w14:textId="49E9B21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w:t>
            </w:r>
          </w:p>
        </w:tc>
        <w:tc>
          <w:tcPr>
            <w:tcW w:w="1705" w:type="dxa"/>
          </w:tcPr>
          <w:p w14:paraId="57986CFB" w14:textId="0FAF7E8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Drulovic et al., 2019</w:t>
            </w:r>
            <w:r w:rsidR="00510946">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[46]</w:t>
            </w:r>
          </w:p>
        </w:tc>
        <w:tc>
          <w:tcPr>
            <w:tcW w:w="575" w:type="dxa"/>
            <w:gridSpan w:val="2"/>
          </w:tcPr>
          <w:p w14:paraId="0D99B08E" w14:textId="7DFA8AC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2017</w:t>
            </w:r>
          </w:p>
        </w:tc>
        <w:tc>
          <w:tcPr>
            <w:tcW w:w="1030" w:type="dxa"/>
            <w:gridSpan w:val="2"/>
          </w:tcPr>
          <w:p w14:paraId="5C16E31E" w14:textId="1807ECE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Belgrade, Serbia</w:t>
            </w:r>
          </w:p>
        </w:tc>
        <w:tc>
          <w:tcPr>
            <w:tcW w:w="918" w:type="dxa"/>
            <w:gridSpan w:val="2"/>
          </w:tcPr>
          <w:p w14:paraId="79BFE4A0" w14:textId="690262DA" w:rsidR="00F62694" w:rsidRDefault="00B53D0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78.28</w:t>
            </w:r>
          </w:p>
        </w:tc>
        <w:tc>
          <w:tcPr>
            <w:tcW w:w="918" w:type="dxa"/>
            <w:gridSpan w:val="2"/>
          </w:tcPr>
          <w:p w14:paraId="7513E431" w14:textId="7A1E5C1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Case series</w:t>
            </w:r>
          </w:p>
        </w:tc>
        <w:tc>
          <w:tcPr>
            <w:tcW w:w="1378" w:type="dxa"/>
          </w:tcPr>
          <w:p w14:paraId="17261407" w14:textId="5F2E76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Single centre</w:t>
            </w:r>
          </w:p>
        </w:tc>
        <w:tc>
          <w:tcPr>
            <w:tcW w:w="1560" w:type="dxa"/>
          </w:tcPr>
          <w:p w14:paraId="2ADB1D7F" w14:textId="44E9D73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Retrospective casenote review</w:t>
            </w:r>
          </w:p>
        </w:tc>
        <w:tc>
          <w:tcPr>
            <w:tcW w:w="1193" w:type="dxa"/>
          </w:tcPr>
          <w:p w14:paraId="33075985" w14:textId="14533C2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IPND 2015</w:t>
            </w:r>
          </w:p>
        </w:tc>
        <w:tc>
          <w:tcPr>
            <w:tcW w:w="1358" w:type="dxa"/>
          </w:tcPr>
          <w:p w14:paraId="3C0208A0" w14:textId="4B26E85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AQP4 transfected fixed cell-based assay</w:t>
            </w:r>
          </w:p>
        </w:tc>
        <w:tc>
          <w:tcPr>
            <w:tcW w:w="893" w:type="dxa"/>
          </w:tcPr>
          <w:p w14:paraId="3511BCA4" w14:textId="3C53657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89.2</w:t>
            </w:r>
          </w:p>
        </w:tc>
        <w:tc>
          <w:tcPr>
            <w:tcW w:w="1233" w:type="dxa"/>
          </w:tcPr>
          <w:p w14:paraId="047EA33E" w14:textId="2642C1E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Not estimated</w:t>
            </w:r>
          </w:p>
        </w:tc>
        <w:tc>
          <w:tcPr>
            <w:tcW w:w="584" w:type="dxa"/>
            <w:gridSpan w:val="2"/>
          </w:tcPr>
          <w:p w14:paraId="094935D4" w14:textId="33A0164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74</w:t>
            </w:r>
          </w:p>
        </w:tc>
        <w:tc>
          <w:tcPr>
            <w:tcW w:w="554" w:type="dxa"/>
            <w:gridSpan w:val="2"/>
          </w:tcPr>
          <w:p w14:paraId="58A2B140" w14:textId="1F3CB0F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63</w:t>
            </w:r>
          </w:p>
        </w:tc>
        <w:tc>
          <w:tcPr>
            <w:tcW w:w="425" w:type="dxa"/>
          </w:tcPr>
          <w:p w14:paraId="7476B6AB" w14:textId="29D7E1C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11</w:t>
            </w:r>
          </w:p>
        </w:tc>
        <w:tc>
          <w:tcPr>
            <w:tcW w:w="1279" w:type="dxa"/>
            <w:gridSpan w:val="2"/>
          </w:tcPr>
          <w:p w14:paraId="3F5A0C02" w14:textId="06FDE732"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 xml:space="preserve">38.8 </w:t>
            </w:r>
            <w:r w:rsidRPr="00C77BDD">
              <w:rPr>
                <w:rFonts w:ascii="Arial" w:eastAsia="Times New Roman" w:hAnsi="Arial" w:cs="Arial"/>
                <w:color w:val="000000" w:themeColor="text1"/>
                <w:sz w:val="12"/>
                <w:szCs w:val="12"/>
                <w:lang w:eastAsia="en-AU"/>
              </w:rPr>
              <w:t>±</w:t>
            </w:r>
            <w:r>
              <w:rPr>
                <w:rFonts w:ascii="Arial" w:eastAsia="Times New Roman" w:hAnsi="Arial" w:cs="Arial"/>
                <w:color w:val="000000" w:themeColor="text1"/>
                <w:sz w:val="12"/>
                <w:szCs w:val="12"/>
                <w:lang w:eastAsia="en-AU"/>
              </w:rPr>
              <w:t xml:space="preserve"> 12.8</w:t>
            </w:r>
            <w:r w:rsidRPr="00913D62">
              <w:rPr>
                <w:rFonts w:ascii="Arial" w:hAnsi="Arial" w:cs="Arial"/>
                <w:sz w:val="12"/>
                <w:szCs w:val="12"/>
                <w:vertAlign w:val="superscript"/>
              </w:rPr>
              <w:t>‡</w:t>
            </w:r>
          </w:p>
          <w:p w14:paraId="094AB6D6" w14:textId="1B6220A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40 (7 – 68)</w:t>
            </w:r>
          </w:p>
        </w:tc>
        <w:tc>
          <w:tcPr>
            <w:tcW w:w="673" w:type="dxa"/>
            <w:gridSpan w:val="3"/>
          </w:tcPr>
          <w:p w14:paraId="1254D4D6" w14:textId="64FB9B8F"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tcPr>
          <w:p w14:paraId="5B75C5D8" w14:textId="7A779F19"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tcPr>
          <w:p w14:paraId="5033E0D6" w14:textId="5F995A45"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tcPr>
          <w:p w14:paraId="714544C3" w14:textId="40CCF160"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tcPr>
          <w:p w14:paraId="096BD093" w14:textId="1C7EB13D"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tcPr>
          <w:p w14:paraId="082D41E4" w14:textId="64440E2D"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tcPr>
          <w:p w14:paraId="4B457AEE" w14:textId="36F21317"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tcPr>
          <w:p w14:paraId="4389D1A8" w14:textId="671CD0AA"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tcPr>
          <w:p w14:paraId="193CE1AA" w14:textId="38D07BD3"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21993CA" w14:textId="77777777" w:rsidTr="008B36A4">
        <w:trPr>
          <w:cantSplit/>
          <w:trHeight w:val="394"/>
        </w:trPr>
        <w:tc>
          <w:tcPr>
            <w:tcW w:w="410" w:type="dxa"/>
            <w:noWrap/>
            <w:hideMark/>
          </w:tcPr>
          <w:p w14:paraId="220D63D7" w14:textId="5C3BAAF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20</w:t>
            </w:r>
          </w:p>
        </w:tc>
        <w:tc>
          <w:tcPr>
            <w:tcW w:w="437" w:type="dxa"/>
            <w:noWrap/>
            <w:hideMark/>
          </w:tcPr>
          <w:p w14:paraId="76BBE32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1073EC5" w14:textId="76F5137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Eskandarieh et al., 2017</w:t>
            </w:r>
            <w:r w:rsidR="00510946">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[47]</w:t>
            </w:r>
            <w:r>
              <w:rPr>
                <w:rFonts w:ascii="Arial" w:eastAsia="Times New Roman" w:hAnsi="Arial" w:cs="Arial"/>
                <w:color w:val="000000" w:themeColor="text1"/>
                <w:sz w:val="12"/>
                <w:szCs w:val="12"/>
                <w:lang w:eastAsia="en-AU"/>
              </w:rPr>
              <w:t>*</w:t>
            </w:r>
          </w:p>
        </w:tc>
        <w:tc>
          <w:tcPr>
            <w:tcW w:w="575" w:type="dxa"/>
            <w:gridSpan w:val="2"/>
            <w:hideMark/>
          </w:tcPr>
          <w:p w14:paraId="2DFFC42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2016</w:t>
            </w:r>
          </w:p>
        </w:tc>
        <w:tc>
          <w:tcPr>
            <w:tcW w:w="1030" w:type="dxa"/>
            <w:gridSpan w:val="2"/>
            <w:hideMark/>
          </w:tcPr>
          <w:p w14:paraId="481451E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Tehran, Iran</w:t>
            </w:r>
          </w:p>
        </w:tc>
        <w:tc>
          <w:tcPr>
            <w:tcW w:w="918" w:type="dxa"/>
            <w:gridSpan w:val="2"/>
          </w:tcPr>
          <w:p w14:paraId="410F1939" w14:textId="04BDC2AC" w:rsidR="00F62694" w:rsidRPr="00C77BDD" w:rsidRDefault="00B53D0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79.09</w:t>
            </w:r>
          </w:p>
        </w:tc>
        <w:tc>
          <w:tcPr>
            <w:tcW w:w="918" w:type="dxa"/>
            <w:gridSpan w:val="2"/>
            <w:hideMark/>
          </w:tcPr>
          <w:p w14:paraId="63C2DC9A" w14:textId="4BD18CB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4595E8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230FABD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Hospital diagnosed cases and register of cases</w:t>
            </w:r>
          </w:p>
        </w:tc>
        <w:tc>
          <w:tcPr>
            <w:tcW w:w="1193" w:type="dxa"/>
            <w:hideMark/>
          </w:tcPr>
          <w:p w14:paraId="2B3FAAD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44892D1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ELISA</w:t>
            </w:r>
          </w:p>
        </w:tc>
        <w:tc>
          <w:tcPr>
            <w:tcW w:w="893" w:type="dxa"/>
            <w:hideMark/>
          </w:tcPr>
          <w:p w14:paraId="7488755F" w14:textId="5CEB80C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46.8</w:t>
            </w:r>
          </w:p>
        </w:tc>
        <w:tc>
          <w:tcPr>
            <w:tcW w:w="1233" w:type="dxa"/>
            <w:hideMark/>
          </w:tcPr>
          <w:p w14:paraId="320BBBC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72F2A9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103</w:t>
            </w:r>
          </w:p>
        </w:tc>
        <w:tc>
          <w:tcPr>
            <w:tcW w:w="554" w:type="dxa"/>
            <w:gridSpan w:val="2"/>
            <w:hideMark/>
          </w:tcPr>
          <w:p w14:paraId="3781BB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86</w:t>
            </w:r>
          </w:p>
        </w:tc>
        <w:tc>
          <w:tcPr>
            <w:tcW w:w="425" w:type="dxa"/>
            <w:hideMark/>
          </w:tcPr>
          <w:p w14:paraId="06FA2CC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w:t>
            </w:r>
          </w:p>
        </w:tc>
        <w:tc>
          <w:tcPr>
            <w:tcW w:w="1279" w:type="dxa"/>
            <w:gridSpan w:val="2"/>
            <w:hideMark/>
          </w:tcPr>
          <w:p w14:paraId="25D02544" w14:textId="5ECEDEDD"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31.5 ± 12.0</w:t>
            </w:r>
            <w:r w:rsidRPr="008D1DC2">
              <w:rPr>
                <w:rFonts w:ascii="Arial" w:eastAsia="Times New Roman" w:hAnsi="Arial" w:cs="Arial"/>
                <w:color w:val="000000" w:themeColor="text1"/>
                <w:sz w:val="12"/>
                <w:szCs w:val="12"/>
                <w:vertAlign w:val="superscript"/>
                <w:lang w:eastAsia="en-AU"/>
              </w:rPr>
              <w:t>#</w:t>
            </w:r>
          </w:p>
          <w:p w14:paraId="469542B5" w14:textId="586EBED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(8 - 68)</w:t>
            </w:r>
          </w:p>
        </w:tc>
        <w:tc>
          <w:tcPr>
            <w:tcW w:w="673" w:type="dxa"/>
            <w:gridSpan w:val="3"/>
            <w:hideMark/>
          </w:tcPr>
          <w:p w14:paraId="672D0739" w14:textId="30FA4B9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457AFE02" w14:textId="12A2ADD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A6F6693" w14:textId="1B74F0E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EBED2B2" w14:textId="6C8256E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9A5C078" w14:textId="01F89B5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6D59236" w14:textId="11017C0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A56FA8E" w14:textId="14E347A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5D70ABB" w14:textId="1D1520A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5C3660D" w14:textId="13E70A7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69A180B" w14:textId="77777777" w:rsidTr="008B36A4">
        <w:trPr>
          <w:cantSplit/>
          <w:trHeight w:val="291"/>
        </w:trPr>
        <w:tc>
          <w:tcPr>
            <w:tcW w:w="410" w:type="dxa"/>
            <w:noWrap/>
            <w:hideMark/>
          </w:tcPr>
          <w:p w14:paraId="6A478984" w14:textId="4771802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1</w:t>
            </w:r>
          </w:p>
        </w:tc>
        <w:tc>
          <w:tcPr>
            <w:tcW w:w="437" w:type="dxa"/>
            <w:noWrap/>
            <w:hideMark/>
          </w:tcPr>
          <w:p w14:paraId="557384B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BB637D1" w14:textId="00B1AF6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Espiritu et al., 2019</w:t>
            </w:r>
            <w:r w:rsidR="00CD011A">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[48]</w:t>
            </w:r>
          </w:p>
        </w:tc>
        <w:tc>
          <w:tcPr>
            <w:tcW w:w="575" w:type="dxa"/>
            <w:gridSpan w:val="2"/>
            <w:hideMark/>
          </w:tcPr>
          <w:p w14:paraId="28882BA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0AFED67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Manila, Phillippines</w:t>
            </w:r>
          </w:p>
        </w:tc>
        <w:tc>
          <w:tcPr>
            <w:tcW w:w="918" w:type="dxa"/>
            <w:gridSpan w:val="2"/>
          </w:tcPr>
          <w:p w14:paraId="44B1BA02" w14:textId="5E4C6EA4" w:rsidR="00F62694" w:rsidRPr="00C77BDD" w:rsidRDefault="007B11E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73.6</w:t>
            </w:r>
          </w:p>
        </w:tc>
        <w:tc>
          <w:tcPr>
            <w:tcW w:w="918" w:type="dxa"/>
            <w:gridSpan w:val="2"/>
            <w:hideMark/>
          </w:tcPr>
          <w:p w14:paraId="790B7A9B" w14:textId="433789E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486B7FC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F11A55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Consecutive cases at tertiary hospital</w:t>
            </w:r>
          </w:p>
        </w:tc>
        <w:tc>
          <w:tcPr>
            <w:tcW w:w="1193" w:type="dxa"/>
            <w:hideMark/>
          </w:tcPr>
          <w:p w14:paraId="4300253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358" w:type="dxa"/>
            <w:hideMark/>
          </w:tcPr>
          <w:p w14:paraId="779F799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transfected EU90 cells (Eurofins Biomnis)</w:t>
            </w:r>
          </w:p>
        </w:tc>
        <w:tc>
          <w:tcPr>
            <w:tcW w:w="893" w:type="dxa"/>
            <w:hideMark/>
          </w:tcPr>
          <w:p w14:paraId="1ADFA7B5" w14:textId="51B9214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44.4</w:t>
            </w:r>
          </w:p>
        </w:tc>
        <w:tc>
          <w:tcPr>
            <w:tcW w:w="1233" w:type="dxa"/>
            <w:hideMark/>
          </w:tcPr>
          <w:p w14:paraId="1131996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6D7E02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w:t>
            </w:r>
          </w:p>
        </w:tc>
        <w:tc>
          <w:tcPr>
            <w:tcW w:w="554" w:type="dxa"/>
            <w:gridSpan w:val="2"/>
            <w:hideMark/>
          </w:tcPr>
          <w:p w14:paraId="12BF5E8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w:t>
            </w:r>
          </w:p>
        </w:tc>
        <w:tc>
          <w:tcPr>
            <w:tcW w:w="425" w:type="dxa"/>
            <w:hideMark/>
          </w:tcPr>
          <w:p w14:paraId="5299845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1279" w:type="dxa"/>
            <w:gridSpan w:val="2"/>
            <w:hideMark/>
          </w:tcPr>
          <w:p w14:paraId="0861D940"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27.8 ± 9.1</w:t>
            </w:r>
          </w:p>
          <w:p w14:paraId="66777CCF" w14:textId="4043E98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 (12 - 47)</w:t>
            </w:r>
          </w:p>
        </w:tc>
        <w:tc>
          <w:tcPr>
            <w:tcW w:w="673" w:type="dxa"/>
            <w:gridSpan w:val="3"/>
            <w:hideMark/>
          </w:tcPr>
          <w:p w14:paraId="10FC04AB" w14:textId="3AA7F89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2F4BC414" w14:textId="5B362B3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8ADF056" w14:textId="289FD93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13E9C825" w14:textId="66162D4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0AAFF010" w14:textId="5509D39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71" w:type="dxa"/>
            <w:gridSpan w:val="2"/>
            <w:hideMark/>
          </w:tcPr>
          <w:p w14:paraId="1A994745" w14:textId="5E572A7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03" w:type="dxa"/>
            <w:hideMark/>
          </w:tcPr>
          <w:p w14:paraId="054FD10D" w14:textId="4CFABB1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62138EED" w14:textId="4DCEA86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235F0493" w14:textId="212D8D7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6AE5459" w14:textId="77777777" w:rsidTr="008B36A4">
        <w:trPr>
          <w:cantSplit/>
          <w:trHeight w:val="149"/>
        </w:trPr>
        <w:tc>
          <w:tcPr>
            <w:tcW w:w="410" w:type="dxa"/>
            <w:noWrap/>
            <w:hideMark/>
          </w:tcPr>
          <w:p w14:paraId="60990C4D" w14:textId="5A05553E"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6A79C98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5D360F6C" w14:textId="19A40C09"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7DFA7CF8"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0D993507"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5FCCBB13"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4C430225" w14:textId="05EC92E9"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41B62B6B"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04AC89E2"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6A3246B1"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25CED8DB"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4D962181" w14:textId="463F3ED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13902F4D"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1D7363D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p>
        </w:tc>
        <w:tc>
          <w:tcPr>
            <w:tcW w:w="554" w:type="dxa"/>
            <w:gridSpan w:val="2"/>
            <w:hideMark/>
          </w:tcPr>
          <w:p w14:paraId="6ECA9BF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425" w:type="dxa"/>
            <w:hideMark/>
          </w:tcPr>
          <w:p w14:paraId="6DCDBFD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279" w:type="dxa"/>
            <w:gridSpan w:val="2"/>
            <w:hideMark/>
          </w:tcPr>
          <w:p w14:paraId="4EE62D1F"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26.9 ± 9.6</w:t>
            </w:r>
          </w:p>
          <w:p w14:paraId="0945CA5E" w14:textId="7B96451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 (17 - 47)</w:t>
            </w:r>
          </w:p>
        </w:tc>
        <w:tc>
          <w:tcPr>
            <w:tcW w:w="673" w:type="dxa"/>
            <w:gridSpan w:val="3"/>
            <w:hideMark/>
          </w:tcPr>
          <w:p w14:paraId="5571263A" w14:textId="52AF7CA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0D4741B" w14:textId="05ECBBE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1772560" w14:textId="175D55B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72E18733" w14:textId="2F37935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510C99A0" w14:textId="1A70AC3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71" w:type="dxa"/>
            <w:gridSpan w:val="2"/>
            <w:hideMark/>
          </w:tcPr>
          <w:p w14:paraId="6B6E70C1" w14:textId="6EE2C86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03" w:type="dxa"/>
            <w:hideMark/>
          </w:tcPr>
          <w:p w14:paraId="06E88FF5" w14:textId="600CD18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2E75697" w14:textId="15B1AA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1FF19541" w14:textId="0D8ECE1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89BF0EE" w14:textId="77777777" w:rsidTr="008B36A4">
        <w:trPr>
          <w:cantSplit/>
          <w:trHeight w:val="149"/>
        </w:trPr>
        <w:tc>
          <w:tcPr>
            <w:tcW w:w="410" w:type="dxa"/>
            <w:noWrap/>
            <w:hideMark/>
          </w:tcPr>
          <w:p w14:paraId="48E6B72B" w14:textId="2CD8797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lastRenderedPageBreak/>
              <w:t>2</w:t>
            </w:r>
            <w:r>
              <w:rPr>
                <w:rFonts w:ascii="Arial" w:eastAsia="Times New Roman" w:hAnsi="Arial" w:cs="Arial"/>
                <w:color w:val="000000" w:themeColor="text1"/>
                <w:sz w:val="12"/>
                <w:szCs w:val="12"/>
                <w:lang w:eastAsia="en-AU"/>
              </w:rPr>
              <w:t>2</w:t>
            </w:r>
          </w:p>
        </w:tc>
        <w:tc>
          <w:tcPr>
            <w:tcW w:w="437" w:type="dxa"/>
            <w:noWrap/>
            <w:hideMark/>
          </w:tcPr>
          <w:p w14:paraId="560DC87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9D10B0C" w14:textId="0EF2133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Etemadifar et al., 2020</w:t>
            </w:r>
            <w:r w:rsidR="0076060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[49]</w:t>
            </w:r>
          </w:p>
        </w:tc>
        <w:tc>
          <w:tcPr>
            <w:tcW w:w="575" w:type="dxa"/>
            <w:gridSpan w:val="2"/>
            <w:hideMark/>
          </w:tcPr>
          <w:p w14:paraId="13A1A89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3BCCC16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Isfahan, Iran</w:t>
            </w:r>
          </w:p>
        </w:tc>
        <w:tc>
          <w:tcPr>
            <w:tcW w:w="918" w:type="dxa"/>
            <w:gridSpan w:val="2"/>
          </w:tcPr>
          <w:p w14:paraId="3662E15D" w14:textId="235DE554" w:rsidR="00F62694" w:rsidRPr="00C77BDD" w:rsidRDefault="007B11E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79.09</w:t>
            </w:r>
          </w:p>
        </w:tc>
        <w:tc>
          <w:tcPr>
            <w:tcW w:w="918" w:type="dxa"/>
            <w:gridSpan w:val="2"/>
            <w:hideMark/>
          </w:tcPr>
          <w:p w14:paraId="22D866B9" w14:textId="607CFF8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 for MRI analysis</w:t>
            </w:r>
          </w:p>
        </w:tc>
        <w:tc>
          <w:tcPr>
            <w:tcW w:w="1378" w:type="dxa"/>
            <w:hideMark/>
          </w:tcPr>
          <w:p w14:paraId="62E98D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34F71C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p>
        </w:tc>
        <w:tc>
          <w:tcPr>
            <w:tcW w:w="1193" w:type="dxa"/>
            <w:hideMark/>
          </w:tcPr>
          <w:p w14:paraId="06FA612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4E6EDD2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AQP4 transfected fixed cell-based assay</w:t>
            </w:r>
          </w:p>
        </w:tc>
        <w:tc>
          <w:tcPr>
            <w:tcW w:w="893" w:type="dxa"/>
            <w:hideMark/>
          </w:tcPr>
          <w:p w14:paraId="663637F8" w14:textId="035BB7D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48.1</w:t>
            </w:r>
          </w:p>
        </w:tc>
        <w:tc>
          <w:tcPr>
            <w:tcW w:w="1233" w:type="dxa"/>
            <w:hideMark/>
          </w:tcPr>
          <w:p w14:paraId="490E1B0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D2FD80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108</w:t>
            </w:r>
          </w:p>
        </w:tc>
        <w:tc>
          <w:tcPr>
            <w:tcW w:w="554" w:type="dxa"/>
            <w:gridSpan w:val="2"/>
            <w:hideMark/>
          </w:tcPr>
          <w:p w14:paraId="6F7E468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89</w:t>
            </w:r>
          </w:p>
        </w:tc>
        <w:tc>
          <w:tcPr>
            <w:tcW w:w="425" w:type="dxa"/>
            <w:hideMark/>
          </w:tcPr>
          <w:p w14:paraId="5A646A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19</w:t>
            </w:r>
          </w:p>
        </w:tc>
        <w:tc>
          <w:tcPr>
            <w:tcW w:w="1279" w:type="dxa"/>
            <w:gridSpan w:val="2"/>
            <w:hideMark/>
          </w:tcPr>
          <w:p w14:paraId="594F1444" w14:textId="31E0D1D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Not stated</w:t>
            </w:r>
          </w:p>
        </w:tc>
        <w:tc>
          <w:tcPr>
            <w:tcW w:w="673" w:type="dxa"/>
            <w:gridSpan w:val="3"/>
            <w:hideMark/>
          </w:tcPr>
          <w:p w14:paraId="49C95E0D" w14:textId="3791D47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4D2A0166" w14:textId="26648E3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F847660" w14:textId="3A13A8C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7BE3649" w14:textId="49F2049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5735808F" w14:textId="5079436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3A91D979" w14:textId="0AB2235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850C38A" w14:textId="51731E8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D6A2AAD" w14:textId="2354275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CF3E267" w14:textId="2562F17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8A60B3D" w14:textId="77777777" w:rsidTr="008B36A4">
        <w:trPr>
          <w:cantSplit/>
          <w:trHeight w:val="439"/>
        </w:trPr>
        <w:tc>
          <w:tcPr>
            <w:tcW w:w="410" w:type="dxa"/>
            <w:noWrap/>
            <w:hideMark/>
          </w:tcPr>
          <w:p w14:paraId="1176CF6E" w14:textId="63610A1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3</w:t>
            </w:r>
          </w:p>
        </w:tc>
        <w:tc>
          <w:tcPr>
            <w:tcW w:w="437" w:type="dxa"/>
            <w:noWrap/>
            <w:hideMark/>
          </w:tcPr>
          <w:p w14:paraId="160067D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89C2B0D" w14:textId="0CFD882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Flanagan et al., 2016a</w:t>
            </w:r>
            <w:r w:rsidR="0076060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[50]</w:t>
            </w:r>
          </w:p>
        </w:tc>
        <w:tc>
          <w:tcPr>
            <w:tcW w:w="575" w:type="dxa"/>
            <w:gridSpan w:val="2"/>
            <w:hideMark/>
          </w:tcPr>
          <w:p w14:paraId="0A2C4EF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2012</w:t>
            </w:r>
          </w:p>
        </w:tc>
        <w:tc>
          <w:tcPr>
            <w:tcW w:w="1030" w:type="dxa"/>
            <w:gridSpan w:val="2"/>
            <w:hideMark/>
          </w:tcPr>
          <w:p w14:paraId="60DD366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Olmstead County, Minnesota, US</w:t>
            </w:r>
          </w:p>
        </w:tc>
        <w:tc>
          <w:tcPr>
            <w:tcW w:w="918" w:type="dxa"/>
            <w:gridSpan w:val="2"/>
          </w:tcPr>
          <w:p w14:paraId="2330C2D9" w14:textId="111DF20F" w:rsidR="00F62694" w:rsidRPr="00C77BDD" w:rsidRDefault="006F7995"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80.73</w:t>
            </w:r>
          </w:p>
        </w:tc>
        <w:tc>
          <w:tcPr>
            <w:tcW w:w="918" w:type="dxa"/>
            <w:gridSpan w:val="2"/>
            <w:hideMark/>
          </w:tcPr>
          <w:p w14:paraId="38E427F5" w14:textId="12996E7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23DDB0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Population-based survey</w:t>
            </w:r>
          </w:p>
        </w:tc>
        <w:tc>
          <w:tcPr>
            <w:tcW w:w="1560" w:type="dxa"/>
            <w:hideMark/>
          </w:tcPr>
          <w:p w14:paraId="0AC1730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 of subjects with CNS demyelinating disease</w:t>
            </w:r>
          </w:p>
        </w:tc>
        <w:tc>
          <w:tcPr>
            <w:tcW w:w="1193" w:type="dxa"/>
            <w:hideMark/>
          </w:tcPr>
          <w:p w14:paraId="3A67CE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3B62679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Mayo Clinic live M1 AQP4 transfected cell-based assay</w:t>
            </w:r>
          </w:p>
        </w:tc>
        <w:tc>
          <w:tcPr>
            <w:tcW w:w="893" w:type="dxa"/>
            <w:hideMark/>
          </w:tcPr>
          <w:p w14:paraId="5EE13C61" w14:textId="70A7BFB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83.3</w:t>
            </w:r>
          </w:p>
        </w:tc>
        <w:tc>
          <w:tcPr>
            <w:tcW w:w="1233" w:type="dxa"/>
            <w:hideMark/>
          </w:tcPr>
          <w:p w14:paraId="01D6488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14AA37F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554" w:type="dxa"/>
            <w:gridSpan w:val="2"/>
            <w:hideMark/>
          </w:tcPr>
          <w:p w14:paraId="6131EA6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425" w:type="dxa"/>
            <w:hideMark/>
          </w:tcPr>
          <w:p w14:paraId="52FA62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279" w:type="dxa"/>
            <w:gridSpan w:val="2"/>
            <w:hideMark/>
          </w:tcPr>
          <w:p w14:paraId="1870980F" w14:textId="70105B7B"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34.8 ± 17.8</w:t>
            </w:r>
            <w:r w:rsidRPr="008D1DC2">
              <w:rPr>
                <w:rFonts w:ascii="Arial" w:eastAsia="Times New Roman" w:hAnsi="Arial" w:cs="Arial"/>
                <w:color w:val="000000" w:themeColor="text1"/>
                <w:sz w:val="12"/>
                <w:szCs w:val="12"/>
                <w:vertAlign w:val="superscript"/>
                <w:lang w:eastAsia="en-AU"/>
              </w:rPr>
              <w:t>‡</w:t>
            </w:r>
          </w:p>
          <w:p w14:paraId="6AB24BC7" w14:textId="217173B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 (10 - 55)</w:t>
            </w:r>
          </w:p>
        </w:tc>
        <w:tc>
          <w:tcPr>
            <w:tcW w:w="673" w:type="dxa"/>
            <w:gridSpan w:val="3"/>
            <w:hideMark/>
          </w:tcPr>
          <w:p w14:paraId="55121325" w14:textId="16E5AE7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17543F7" w14:textId="6D3DA7F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ABD262E" w14:textId="72AE50E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hideMark/>
          </w:tcPr>
          <w:p w14:paraId="456EAF8B" w14:textId="666DE27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25132A6" w14:textId="13DDEE4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010EB43" w14:textId="5E884D7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41E44D3" w14:textId="6AC018A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78434A89" w14:textId="4185962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88F5B96" w14:textId="22AC8EF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E519E25" w14:textId="77777777" w:rsidTr="008B36A4">
        <w:trPr>
          <w:cantSplit/>
          <w:trHeight w:val="446"/>
        </w:trPr>
        <w:tc>
          <w:tcPr>
            <w:tcW w:w="410" w:type="dxa"/>
            <w:noWrap/>
            <w:hideMark/>
          </w:tcPr>
          <w:p w14:paraId="450A186C" w14:textId="58F7E32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4</w:t>
            </w:r>
          </w:p>
        </w:tc>
        <w:tc>
          <w:tcPr>
            <w:tcW w:w="437" w:type="dxa"/>
            <w:noWrap/>
            <w:hideMark/>
          </w:tcPr>
          <w:p w14:paraId="2F57CB5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562095DB" w14:textId="3807B4E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Flanagan et al., 2016b</w:t>
            </w:r>
            <w:r w:rsidR="00D91285">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[50]</w:t>
            </w:r>
          </w:p>
        </w:tc>
        <w:tc>
          <w:tcPr>
            <w:tcW w:w="575" w:type="dxa"/>
            <w:gridSpan w:val="2"/>
            <w:hideMark/>
          </w:tcPr>
          <w:p w14:paraId="3B21D6D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2012</w:t>
            </w:r>
          </w:p>
        </w:tc>
        <w:tc>
          <w:tcPr>
            <w:tcW w:w="1030" w:type="dxa"/>
            <w:gridSpan w:val="2"/>
            <w:hideMark/>
          </w:tcPr>
          <w:p w14:paraId="1C3AC4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Martinque, Carribean</w:t>
            </w:r>
          </w:p>
        </w:tc>
        <w:tc>
          <w:tcPr>
            <w:tcW w:w="918" w:type="dxa"/>
            <w:gridSpan w:val="2"/>
          </w:tcPr>
          <w:p w14:paraId="212CF9BF" w14:textId="59AFF2A4" w:rsidR="00F62694" w:rsidRPr="00C77BDD" w:rsidRDefault="006F7995"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77.96</w:t>
            </w:r>
          </w:p>
        </w:tc>
        <w:tc>
          <w:tcPr>
            <w:tcW w:w="918" w:type="dxa"/>
            <w:gridSpan w:val="2"/>
            <w:hideMark/>
          </w:tcPr>
          <w:p w14:paraId="700775C6" w14:textId="47DA6A4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693E284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Population-based survey</w:t>
            </w:r>
          </w:p>
        </w:tc>
        <w:tc>
          <w:tcPr>
            <w:tcW w:w="1560" w:type="dxa"/>
            <w:hideMark/>
          </w:tcPr>
          <w:p w14:paraId="109B6B9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 of subjects with CNS demyelinating disease</w:t>
            </w:r>
          </w:p>
        </w:tc>
        <w:tc>
          <w:tcPr>
            <w:tcW w:w="1193" w:type="dxa"/>
            <w:hideMark/>
          </w:tcPr>
          <w:p w14:paraId="357AF36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48D923D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Mayo Clinic live M1 AQP4 transfected live cell-based assay</w:t>
            </w:r>
          </w:p>
        </w:tc>
        <w:tc>
          <w:tcPr>
            <w:tcW w:w="893" w:type="dxa"/>
            <w:hideMark/>
          </w:tcPr>
          <w:p w14:paraId="6F77674C" w14:textId="6E72B3C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79.5</w:t>
            </w:r>
          </w:p>
        </w:tc>
        <w:tc>
          <w:tcPr>
            <w:tcW w:w="1233" w:type="dxa"/>
            <w:hideMark/>
          </w:tcPr>
          <w:p w14:paraId="52C2CC5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1625F7A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w:t>
            </w:r>
          </w:p>
        </w:tc>
        <w:tc>
          <w:tcPr>
            <w:tcW w:w="554" w:type="dxa"/>
            <w:gridSpan w:val="2"/>
            <w:hideMark/>
          </w:tcPr>
          <w:p w14:paraId="499A978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w:t>
            </w:r>
          </w:p>
        </w:tc>
        <w:tc>
          <w:tcPr>
            <w:tcW w:w="425" w:type="dxa"/>
            <w:hideMark/>
          </w:tcPr>
          <w:p w14:paraId="4AB442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1279" w:type="dxa"/>
            <w:gridSpan w:val="2"/>
            <w:hideMark/>
          </w:tcPr>
          <w:p w14:paraId="4BDA40DF" w14:textId="11006CBD"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41.5 ± 15.8</w:t>
            </w:r>
            <w:r w:rsidRPr="00ED4865">
              <w:rPr>
                <w:rFonts w:ascii="Arial" w:eastAsia="Times New Roman" w:hAnsi="Arial" w:cs="Arial"/>
                <w:color w:val="000000" w:themeColor="text1"/>
                <w:sz w:val="12"/>
                <w:szCs w:val="12"/>
                <w:vertAlign w:val="superscript"/>
                <w:lang w:eastAsia="en-AU"/>
              </w:rPr>
              <w:t>‡</w:t>
            </w:r>
          </w:p>
          <w:p w14:paraId="0071B3BE" w14:textId="6326355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 (14 - 82)</w:t>
            </w:r>
          </w:p>
        </w:tc>
        <w:tc>
          <w:tcPr>
            <w:tcW w:w="673" w:type="dxa"/>
            <w:gridSpan w:val="3"/>
            <w:hideMark/>
          </w:tcPr>
          <w:p w14:paraId="25093A65" w14:textId="125A453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6E11FB46" w14:textId="6FC7D00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42E195D1" w14:textId="700A781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633D4C04" w14:textId="72CD9A4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19A0E2B" w14:textId="6F23136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E1E63DB" w14:textId="26F6544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EE9B966" w14:textId="14F9CCB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677A6D05" w14:textId="080A35E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EB55977" w14:textId="0DDF488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EDE5987" w14:textId="77777777" w:rsidTr="008B36A4">
        <w:trPr>
          <w:cantSplit/>
          <w:trHeight w:val="57"/>
        </w:trPr>
        <w:tc>
          <w:tcPr>
            <w:tcW w:w="410" w:type="dxa"/>
            <w:noWrap/>
            <w:hideMark/>
          </w:tcPr>
          <w:p w14:paraId="0C2CC1FE" w14:textId="7EC1AA8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5</w:t>
            </w:r>
          </w:p>
        </w:tc>
        <w:tc>
          <w:tcPr>
            <w:tcW w:w="437" w:type="dxa"/>
            <w:noWrap/>
            <w:hideMark/>
          </w:tcPr>
          <w:p w14:paraId="2C1AEAD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FB105F7" w14:textId="6949C93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Fukuda et al., 2022</w:t>
            </w:r>
            <w:r w:rsidR="00D91285">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[51]</w:t>
            </w:r>
          </w:p>
        </w:tc>
        <w:tc>
          <w:tcPr>
            <w:tcW w:w="575" w:type="dxa"/>
            <w:gridSpan w:val="2"/>
            <w:hideMark/>
          </w:tcPr>
          <w:p w14:paraId="653E9AD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2DC7EAB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Bahai, Brazil</w:t>
            </w:r>
          </w:p>
        </w:tc>
        <w:tc>
          <w:tcPr>
            <w:tcW w:w="918" w:type="dxa"/>
            <w:gridSpan w:val="2"/>
          </w:tcPr>
          <w:p w14:paraId="4B9265AA" w14:textId="4E06AB4B" w:rsidR="00F62694" w:rsidRPr="00C77BDD" w:rsidRDefault="006F7995"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79.39</w:t>
            </w:r>
          </w:p>
        </w:tc>
        <w:tc>
          <w:tcPr>
            <w:tcW w:w="918" w:type="dxa"/>
            <w:gridSpan w:val="2"/>
            <w:hideMark/>
          </w:tcPr>
          <w:p w14:paraId="1FB84F20" w14:textId="27538E9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CC04FD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78C40DC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Consecutive clinic attendees at tertiary clinic</w:t>
            </w:r>
          </w:p>
        </w:tc>
        <w:tc>
          <w:tcPr>
            <w:tcW w:w="1193" w:type="dxa"/>
            <w:hideMark/>
          </w:tcPr>
          <w:p w14:paraId="14514BF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0DDBC68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5FE9EB06" w14:textId="4168EE6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60.4</w:t>
            </w:r>
          </w:p>
        </w:tc>
        <w:tc>
          <w:tcPr>
            <w:tcW w:w="1233" w:type="dxa"/>
            <w:hideMark/>
          </w:tcPr>
          <w:p w14:paraId="2BEA31A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5280944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91</w:t>
            </w:r>
          </w:p>
        </w:tc>
        <w:tc>
          <w:tcPr>
            <w:tcW w:w="554" w:type="dxa"/>
            <w:gridSpan w:val="2"/>
            <w:hideMark/>
          </w:tcPr>
          <w:p w14:paraId="29C5979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72</w:t>
            </w:r>
          </w:p>
        </w:tc>
        <w:tc>
          <w:tcPr>
            <w:tcW w:w="425" w:type="dxa"/>
            <w:hideMark/>
          </w:tcPr>
          <w:p w14:paraId="1C54C13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19</w:t>
            </w:r>
          </w:p>
        </w:tc>
        <w:tc>
          <w:tcPr>
            <w:tcW w:w="1279" w:type="dxa"/>
            <w:gridSpan w:val="2"/>
            <w:hideMark/>
          </w:tcPr>
          <w:p w14:paraId="7A841FA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36.3 ± 13.6</w:t>
            </w:r>
          </w:p>
        </w:tc>
        <w:tc>
          <w:tcPr>
            <w:tcW w:w="673" w:type="dxa"/>
            <w:gridSpan w:val="3"/>
            <w:hideMark/>
          </w:tcPr>
          <w:p w14:paraId="39BF6C57" w14:textId="07AD945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FAC0644" w14:textId="34E6996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579558B" w14:textId="15CC007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AD36C45" w14:textId="0E268B6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BED6470" w14:textId="5641849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D330092" w14:textId="2EBAA88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48A99963" w14:textId="70F81BB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2D6E3538" w14:textId="421ACD8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7FC7F68" w14:textId="2E1BEBF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39313B9" w14:textId="77777777" w:rsidTr="008B36A4">
        <w:trPr>
          <w:cantSplit/>
          <w:trHeight w:val="57"/>
        </w:trPr>
        <w:tc>
          <w:tcPr>
            <w:tcW w:w="410" w:type="dxa"/>
            <w:noWrap/>
            <w:hideMark/>
          </w:tcPr>
          <w:p w14:paraId="031D4000" w14:textId="4151E86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6</w:t>
            </w:r>
          </w:p>
        </w:tc>
        <w:tc>
          <w:tcPr>
            <w:tcW w:w="437" w:type="dxa"/>
            <w:noWrap/>
            <w:hideMark/>
          </w:tcPr>
          <w:p w14:paraId="142CFD1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CF55071" w14:textId="5E79A52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Gao et al., 2019</w:t>
            </w:r>
            <w:r w:rsidR="00D91285">
              <w:rPr>
                <w:rFonts w:ascii="Arial" w:eastAsia="Times New Roman" w:hAnsi="Arial" w:cs="Arial"/>
                <w:noProof/>
                <w:color w:val="000000" w:themeColor="text1"/>
                <w:sz w:val="12"/>
                <w:szCs w:val="12"/>
                <w:vertAlign w:val="superscript"/>
                <w:lang w:eastAsia="en-AU"/>
              </w:rPr>
              <w:t xml:space="preserve"> </w:t>
            </w:r>
            <w:r w:rsidR="001C1BFC">
              <w:rPr>
                <w:rFonts w:ascii="Arial" w:eastAsia="Times New Roman" w:hAnsi="Arial" w:cs="Arial"/>
                <w:noProof/>
                <w:color w:val="000000" w:themeColor="text1"/>
                <w:sz w:val="12"/>
                <w:szCs w:val="12"/>
                <w:lang w:eastAsia="en-AU"/>
              </w:rPr>
              <w:t>[52]</w:t>
            </w:r>
          </w:p>
        </w:tc>
        <w:tc>
          <w:tcPr>
            <w:tcW w:w="575" w:type="dxa"/>
            <w:gridSpan w:val="2"/>
            <w:hideMark/>
          </w:tcPr>
          <w:p w14:paraId="0A1BD2A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686DDF3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Shanghai, China</w:t>
            </w:r>
          </w:p>
        </w:tc>
        <w:tc>
          <w:tcPr>
            <w:tcW w:w="918" w:type="dxa"/>
            <w:gridSpan w:val="2"/>
          </w:tcPr>
          <w:p w14:paraId="1305929D" w14:textId="3E31981E" w:rsidR="00F62694" w:rsidRPr="00C77BDD" w:rsidRDefault="00200D9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80.49</w:t>
            </w:r>
          </w:p>
        </w:tc>
        <w:tc>
          <w:tcPr>
            <w:tcW w:w="918" w:type="dxa"/>
            <w:gridSpan w:val="2"/>
            <w:hideMark/>
          </w:tcPr>
          <w:p w14:paraId="2C58973A" w14:textId="23D3E50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DAE493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023B7ED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review of demyelinating disease registry</w:t>
            </w:r>
          </w:p>
        </w:tc>
        <w:tc>
          <w:tcPr>
            <w:tcW w:w="1193" w:type="dxa"/>
            <w:hideMark/>
          </w:tcPr>
          <w:p w14:paraId="3F7E29B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6612437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transfected fixed cell-based assay</w:t>
            </w:r>
          </w:p>
        </w:tc>
        <w:tc>
          <w:tcPr>
            <w:tcW w:w="893" w:type="dxa"/>
            <w:hideMark/>
          </w:tcPr>
          <w:p w14:paraId="4A79C8D7" w14:textId="718FD0E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70.2</w:t>
            </w:r>
          </w:p>
        </w:tc>
        <w:tc>
          <w:tcPr>
            <w:tcW w:w="1233" w:type="dxa"/>
            <w:hideMark/>
          </w:tcPr>
          <w:p w14:paraId="3D1ACD4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841E93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84</w:t>
            </w:r>
          </w:p>
        </w:tc>
        <w:tc>
          <w:tcPr>
            <w:tcW w:w="554" w:type="dxa"/>
            <w:gridSpan w:val="2"/>
            <w:hideMark/>
          </w:tcPr>
          <w:p w14:paraId="239CEDA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74</w:t>
            </w:r>
          </w:p>
        </w:tc>
        <w:tc>
          <w:tcPr>
            <w:tcW w:w="425" w:type="dxa"/>
            <w:hideMark/>
          </w:tcPr>
          <w:p w14:paraId="5656C1A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1279" w:type="dxa"/>
            <w:gridSpan w:val="2"/>
            <w:hideMark/>
          </w:tcPr>
          <w:p w14:paraId="594F8878" w14:textId="4A627D5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673" w:type="dxa"/>
            <w:gridSpan w:val="3"/>
            <w:hideMark/>
          </w:tcPr>
          <w:p w14:paraId="5B333FE7" w14:textId="704CFB0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582778BA" w14:textId="7210276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D4F626A" w14:textId="2ADDBB6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697F7D75" w14:textId="24629EB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3" w:type="dxa"/>
            <w:gridSpan w:val="3"/>
            <w:hideMark/>
          </w:tcPr>
          <w:p w14:paraId="5AFCE292" w14:textId="028BC50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328CD88D" w14:textId="0208CE1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05C6712" w14:textId="40461E7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53EB132D" w14:textId="08D9B44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C4B85ED" w14:textId="1F6BF65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10D155C" w14:textId="77777777" w:rsidTr="008B36A4">
        <w:trPr>
          <w:cantSplit/>
          <w:trHeight w:val="350"/>
        </w:trPr>
        <w:tc>
          <w:tcPr>
            <w:tcW w:w="410" w:type="dxa"/>
            <w:noWrap/>
            <w:hideMark/>
          </w:tcPr>
          <w:p w14:paraId="7C6869DC" w14:textId="65D4B92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7</w:t>
            </w:r>
          </w:p>
        </w:tc>
        <w:tc>
          <w:tcPr>
            <w:tcW w:w="437" w:type="dxa"/>
            <w:noWrap/>
            <w:hideMark/>
          </w:tcPr>
          <w:p w14:paraId="4CB20BF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581E40F" w14:textId="4647618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Gracia et al., 2022</w:t>
            </w:r>
            <w:r w:rsidR="00D91285">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[53]</w:t>
            </w:r>
          </w:p>
        </w:tc>
        <w:tc>
          <w:tcPr>
            <w:tcW w:w="575" w:type="dxa"/>
            <w:gridSpan w:val="2"/>
            <w:hideMark/>
          </w:tcPr>
          <w:p w14:paraId="431711C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6711E29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Central America and Caribbean</w:t>
            </w:r>
          </w:p>
        </w:tc>
        <w:tc>
          <w:tcPr>
            <w:tcW w:w="918" w:type="dxa"/>
            <w:gridSpan w:val="2"/>
          </w:tcPr>
          <w:p w14:paraId="07A311D9" w14:textId="3DD09EA2" w:rsidR="00F62694" w:rsidRPr="00C77BDD" w:rsidRDefault="00B36016"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76.19</w:t>
            </w:r>
          </w:p>
        </w:tc>
        <w:tc>
          <w:tcPr>
            <w:tcW w:w="918" w:type="dxa"/>
            <w:gridSpan w:val="2"/>
            <w:hideMark/>
          </w:tcPr>
          <w:p w14:paraId="612C40CA" w14:textId="011B193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9BE82C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 multinational</w:t>
            </w:r>
          </w:p>
        </w:tc>
        <w:tc>
          <w:tcPr>
            <w:tcW w:w="1560" w:type="dxa"/>
            <w:hideMark/>
          </w:tcPr>
          <w:p w14:paraId="1CAD41F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study of cases across centres</w:t>
            </w:r>
          </w:p>
        </w:tc>
        <w:tc>
          <w:tcPr>
            <w:tcW w:w="1193" w:type="dxa"/>
            <w:hideMark/>
          </w:tcPr>
          <w:p w14:paraId="3DC7DF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 and Wingerchuk 2006</w:t>
            </w:r>
          </w:p>
        </w:tc>
        <w:tc>
          <w:tcPr>
            <w:tcW w:w="1358" w:type="dxa"/>
            <w:hideMark/>
          </w:tcPr>
          <w:p w14:paraId="37E04FE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Cell-based assay (not further specified)</w:t>
            </w:r>
          </w:p>
        </w:tc>
        <w:tc>
          <w:tcPr>
            <w:tcW w:w="893" w:type="dxa"/>
            <w:hideMark/>
          </w:tcPr>
          <w:p w14:paraId="6B506D89" w14:textId="354DC05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52.7</w:t>
            </w:r>
          </w:p>
        </w:tc>
        <w:tc>
          <w:tcPr>
            <w:tcW w:w="1233" w:type="dxa"/>
            <w:hideMark/>
          </w:tcPr>
          <w:p w14:paraId="0787058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1ECB18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186</w:t>
            </w:r>
          </w:p>
        </w:tc>
        <w:tc>
          <w:tcPr>
            <w:tcW w:w="554" w:type="dxa"/>
            <w:gridSpan w:val="2"/>
            <w:hideMark/>
          </w:tcPr>
          <w:p w14:paraId="5063C14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158</w:t>
            </w:r>
          </w:p>
        </w:tc>
        <w:tc>
          <w:tcPr>
            <w:tcW w:w="425" w:type="dxa"/>
            <w:hideMark/>
          </w:tcPr>
          <w:p w14:paraId="1DFA282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28</w:t>
            </w:r>
          </w:p>
        </w:tc>
        <w:tc>
          <w:tcPr>
            <w:tcW w:w="1279" w:type="dxa"/>
            <w:gridSpan w:val="2"/>
            <w:hideMark/>
          </w:tcPr>
          <w:p w14:paraId="4FFA8364" w14:textId="4CD42B8D"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37.5 ± 3.7</w:t>
            </w:r>
            <w:r w:rsidRPr="008D1DC2">
              <w:rPr>
                <w:rFonts w:ascii="Arial" w:eastAsia="Times New Roman" w:hAnsi="Arial" w:cs="Arial"/>
                <w:color w:val="000000" w:themeColor="text1"/>
                <w:sz w:val="12"/>
                <w:szCs w:val="12"/>
                <w:vertAlign w:val="superscript"/>
                <w:lang w:eastAsia="en-AU"/>
              </w:rPr>
              <w:t>‡</w:t>
            </w:r>
          </w:p>
          <w:p w14:paraId="20E2D023" w14:textId="2A7E727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 (28 - 48)</w:t>
            </w:r>
          </w:p>
        </w:tc>
        <w:tc>
          <w:tcPr>
            <w:tcW w:w="673" w:type="dxa"/>
            <w:gridSpan w:val="3"/>
            <w:hideMark/>
          </w:tcPr>
          <w:p w14:paraId="38578723" w14:textId="68E28BF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0E81AF1" w14:textId="218662C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35E3F22" w14:textId="698C270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41A8BBF1" w14:textId="1CF4AA0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13ED60F" w14:textId="1154CBF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2A6B831" w14:textId="0309573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0F5193A" w14:textId="26A775E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45D59AD0" w14:textId="6CAF1D3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2EA1081D" w14:textId="603EE74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DDE4986" w14:textId="77777777" w:rsidTr="008B36A4">
        <w:trPr>
          <w:cantSplit/>
          <w:trHeight w:val="358"/>
        </w:trPr>
        <w:tc>
          <w:tcPr>
            <w:tcW w:w="410" w:type="dxa"/>
            <w:noWrap/>
            <w:hideMark/>
          </w:tcPr>
          <w:p w14:paraId="1DF965D5" w14:textId="49D94AE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8</w:t>
            </w:r>
          </w:p>
        </w:tc>
        <w:tc>
          <w:tcPr>
            <w:tcW w:w="437" w:type="dxa"/>
            <w:noWrap/>
            <w:hideMark/>
          </w:tcPr>
          <w:p w14:paraId="03C456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E29CB5F" w14:textId="67E0321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Holroyd et al., 2018</w:t>
            </w:r>
            <w:r w:rsidR="004B4FA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[54]</w:t>
            </w:r>
          </w:p>
        </w:tc>
        <w:tc>
          <w:tcPr>
            <w:tcW w:w="575" w:type="dxa"/>
            <w:gridSpan w:val="2"/>
            <w:hideMark/>
          </w:tcPr>
          <w:p w14:paraId="446BADA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2016</w:t>
            </w:r>
          </w:p>
        </w:tc>
        <w:tc>
          <w:tcPr>
            <w:tcW w:w="1030" w:type="dxa"/>
            <w:gridSpan w:val="2"/>
            <w:hideMark/>
          </w:tcPr>
          <w:p w14:paraId="71F133E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Abu Dhabi, United Arab Emirates</w:t>
            </w:r>
          </w:p>
        </w:tc>
        <w:tc>
          <w:tcPr>
            <w:tcW w:w="918" w:type="dxa"/>
            <w:gridSpan w:val="2"/>
          </w:tcPr>
          <w:p w14:paraId="03DE057D" w14:textId="6B920720" w:rsidR="00F62694" w:rsidRPr="00C77BDD" w:rsidRDefault="00AD456D"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78.42</w:t>
            </w:r>
          </w:p>
        </w:tc>
        <w:tc>
          <w:tcPr>
            <w:tcW w:w="918" w:type="dxa"/>
            <w:gridSpan w:val="2"/>
            <w:hideMark/>
          </w:tcPr>
          <w:p w14:paraId="2826AAF8" w14:textId="1EDF9ED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6E79B17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Four hospital sites</w:t>
            </w:r>
          </w:p>
        </w:tc>
        <w:tc>
          <w:tcPr>
            <w:tcW w:w="1560" w:type="dxa"/>
            <w:hideMark/>
          </w:tcPr>
          <w:p w14:paraId="4D9A76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chart review of patients with CNS demyelinating disease identified by ICD codes</w:t>
            </w:r>
          </w:p>
        </w:tc>
        <w:tc>
          <w:tcPr>
            <w:tcW w:w="1193" w:type="dxa"/>
            <w:hideMark/>
          </w:tcPr>
          <w:p w14:paraId="39CC7C7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74CF29C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1724AE17" w14:textId="02D90A8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80.0</w:t>
            </w:r>
          </w:p>
        </w:tc>
        <w:tc>
          <w:tcPr>
            <w:tcW w:w="1233" w:type="dxa"/>
            <w:hideMark/>
          </w:tcPr>
          <w:p w14:paraId="753759A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7776F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554" w:type="dxa"/>
            <w:gridSpan w:val="2"/>
            <w:hideMark/>
          </w:tcPr>
          <w:p w14:paraId="6C08E95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425" w:type="dxa"/>
            <w:hideMark/>
          </w:tcPr>
          <w:p w14:paraId="2CED38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p>
        </w:tc>
        <w:tc>
          <w:tcPr>
            <w:tcW w:w="1279" w:type="dxa"/>
            <w:gridSpan w:val="2"/>
            <w:hideMark/>
          </w:tcPr>
          <w:p w14:paraId="137C58AE"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43.0 ± 18.7</w:t>
            </w:r>
          </w:p>
          <w:p w14:paraId="23A6FEC9" w14:textId="146F78D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43 (8 - 74)</w:t>
            </w:r>
          </w:p>
        </w:tc>
        <w:tc>
          <w:tcPr>
            <w:tcW w:w="673" w:type="dxa"/>
            <w:gridSpan w:val="3"/>
            <w:hideMark/>
          </w:tcPr>
          <w:p w14:paraId="5889211C" w14:textId="5770A41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FC822F0" w14:textId="68423B1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BF11D03" w14:textId="11A523D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4BF2F566" w14:textId="42D1A30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2BD26D1" w14:textId="388F171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D86F4D1" w14:textId="2203726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D6AEE68" w14:textId="67EC453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3A490EFB" w14:textId="555C29D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1FD08F1F" w14:textId="6070DFF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C0F4886" w14:textId="77777777" w:rsidTr="008B36A4">
        <w:trPr>
          <w:cantSplit/>
          <w:trHeight w:val="240"/>
        </w:trPr>
        <w:tc>
          <w:tcPr>
            <w:tcW w:w="410" w:type="dxa"/>
            <w:noWrap/>
            <w:hideMark/>
          </w:tcPr>
          <w:p w14:paraId="43B77265" w14:textId="3AE6B4F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r>
              <w:rPr>
                <w:rFonts w:ascii="Arial" w:eastAsia="Times New Roman" w:hAnsi="Arial" w:cs="Arial"/>
                <w:color w:val="000000" w:themeColor="text1"/>
                <w:sz w:val="12"/>
                <w:szCs w:val="12"/>
                <w:lang w:eastAsia="en-AU"/>
              </w:rPr>
              <w:t>9</w:t>
            </w:r>
          </w:p>
        </w:tc>
        <w:tc>
          <w:tcPr>
            <w:tcW w:w="437" w:type="dxa"/>
            <w:noWrap/>
            <w:hideMark/>
          </w:tcPr>
          <w:p w14:paraId="6FAC68E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4423CF1" w14:textId="0A3C629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Hor et al., 2018</w:t>
            </w:r>
            <w:r w:rsidR="00E877D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[55]</w:t>
            </w:r>
          </w:p>
        </w:tc>
        <w:tc>
          <w:tcPr>
            <w:tcW w:w="575" w:type="dxa"/>
            <w:gridSpan w:val="2"/>
            <w:hideMark/>
          </w:tcPr>
          <w:p w14:paraId="3C28B2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2017</w:t>
            </w:r>
          </w:p>
        </w:tc>
        <w:tc>
          <w:tcPr>
            <w:tcW w:w="1030" w:type="dxa"/>
            <w:gridSpan w:val="2"/>
            <w:hideMark/>
          </w:tcPr>
          <w:p w14:paraId="004D427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Penang, Malaysia</w:t>
            </w:r>
          </w:p>
        </w:tc>
        <w:tc>
          <w:tcPr>
            <w:tcW w:w="918" w:type="dxa"/>
            <w:gridSpan w:val="2"/>
          </w:tcPr>
          <w:p w14:paraId="7380890A" w14:textId="70CF6B09" w:rsidR="00F62694" w:rsidRPr="00C77BDD" w:rsidRDefault="00AD456D"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77.08</w:t>
            </w:r>
          </w:p>
        </w:tc>
        <w:tc>
          <w:tcPr>
            <w:tcW w:w="918" w:type="dxa"/>
            <w:gridSpan w:val="2"/>
            <w:hideMark/>
          </w:tcPr>
          <w:p w14:paraId="2713BE53" w14:textId="79C7728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3B794D9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37A29916" w14:textId="1695B4A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 xml:space="preserve">Retrospective chart review of hospital clinic attendees and referrals </w:t>
            </w:r>
            <w:r>
              <w:rPr>
                <w:rFonts w:ascii="Arial" w:eastAsia="Times New Roman" w:hAnsi="Arial" w:cs="Arial"/>
                <w:color w:val="000000" w:themeColor="text1"/>
                <w:sz w:val="12"/>
                <w:szCs w:val="12"/>
                <w:lang w:eastAsia="en-AU"/>
              </w:rPr>
              <w:t>f</w:t>
            </w:r>
            <w:r w:rsidRPr="00C77BDD">
              <w:rPr>
                <w:rFonts w:ascii="Arial" w:eastAsia="Times New Roman" w:hAnsi="Arial" w:cs="Arial"/>
                <w:color w:val="000000" w:themeColor="text1"/>
                <w:sz w:val="12"/>
                <w:szCs w:val="12"/>
                <w:lang w:eastAsia="en-AU"/>
              </w:rPr>
              <w:t>rom neurologists in privat</w:t>
            </w:r>
            <w:r>
              <w:rPr>
                <w:rFonts w:ascii="Arial" w:eastAsia="Times New Roman" w:hAnsi="Arial" w:cs="Arial"/>
                <w:color w:val="000000" w:themeColor="text1"/>
                <w:sz w:val="12"/>
                <w:szCs w:val="12"/>
                <w:lang w:eastAsia="en-AU"/>
              </w:rPr>
              <w:t>e</w:t>
            </w:r>
            <w:r w:rsidRPr="00C77BDD">
              <w:rPr>
                <w:rFonts w:ascii="Arial" w:eastAsia="Times New Roman" w:hAnsi="Arial" w:cs="Arial"/>
                <w:color w:val="000000" w:themeColor="text1"/>
                <w:sz w:val="12"/>
                <w:szCs w:val="12"/>
                <w:lang w:eastAsia="en-AU"/>
              </w:rPr>
              <w:t xml:space="preserve"> practice</w:t>
            </w:r>
          </w:p>
        </w:tc>
        <w:tc>
          <w:tcPr>
            <w:tcW w:w="1193" w:type="dxa"/>
            <w:hideMark/>
          </w:tcPr>
          <w:p w14:paraId="73D7A4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2DA351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transfected fixed cell-based assay</w:t>
            </w:r>
          </w:p>
        </w:tc>
        <w:tc>
          <w:tcPr>
            <w:tcW w:w="893" w:type="dxa"/>
            <w:hideMark/>
          </w:tcPr>
          <w:p w14:paraId="53452E25" w14:textId="5B766C2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2008334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5A3417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w:t>
            </w:r>
          </w:p>
        </w:tc>
        <w:tc>
          <w:tcPr>
            <w:tcW w:w="554" w:type="dxa"/>
            <w:gridSpan w:val="2"/>
            <w:hideMark/>
          </w:tcPr>
          <w:p w14:paraId="13127D6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w:t>
            </w:r>
          </w:p>
        </w:tc>
        <w:tc>
          <w:tcPr>
            <w:tcW w:w="425" w:type="dxa"/>
            <w:hideMark/>
          </w:tcPr>
          <w:p w14:paraId="476244F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79" w:type="dxa"/>
            <w:gridSpan w:val="2"/>
            <w:hideMark/>
          </w:tcPr>
          <w:p w14:paraId="6988A47F" w14:textId="1E33F1C4" w:rsidR="00F62694" w:rsidRPr="008E4E40" w:rsidRDefault="00F62694" w:rsidP="00C77BDD">
            <w:pPr>
              <w:rPr>
                <w:rFonts w:ascii="Arial" w:eastAsia="Times New Roman" w:hAnsi="Arial" w:cs="Arial"/>
                <w:b/>
                <w:bCs/>
                <w:color w:val="000000" w:themeColor="text1"/>
                <w:sz w:val="12"/>
                <w:szCs w:val="12"/>
                <w:lang w:eastAsia="en-AU"/>
              </w:rPr>
            </w:pPr>
            <w:r w:rsidRPr="00C77BDD">
              <w:rPr>
                <w:rFonts w:ascii="Arial" w:eastAsia="Times New Roman" w:hAnsi="Arial" w:cs="Arial"/>
                <w:color w:val="000000" w:themeColor="text1"/>
                <w:sz w:val="12"/>
                <w:szCs w:val="12"/>
                <w:lang w:eastAsia="en-AU"/>
              </w:rPr>
              <w:t>43.1 ± 22.3</w:t>
            </w:r>
            <w:r w:rsidRPr="008D1DC2">
              <w:rPr>
                <w:rFonts w:ascii="Arial" w:eastAsia="Times New Roman" w:hAnsi="Arial" w:cs="Arial"/>
                <w:color w:val="000000" w:themeColor="text1"/>
                <w:sz w:val="12"/>
                <w:szCs w:val="12"/>
                <w:vertAlign w:val="superscript"/>
                <w:lang w:eastAsia="en-AU"/>
              </w:rPr>
              <w:t>#</w:t>
            </w:r>
          </w:p>
          <w:p w14:paraId="1FFCA26E" w14:textId="0CA1364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(18 - 94)</w:t>
            </w:r>
          </w:p>
        </w:tc>
        <w:tc>
          <w:tcPr>
            <w:tcW w:w="673" w:type="dxa"/>
            <w:gridSpan w:val="3"/>
            <w:hideMark/>
          </w:tcPr>
          <w:p w14:paraId="39F0229D" w14:textId="763B4F0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4C6CB3E8" w14:textId="00B0F1C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13EA114" w14:textId="633BF53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5AB62EEA" w14:textId="695FA0A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A32BF1F" w14:textId="7634DAA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7DACDB9" w14:textId="2ABAB54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1012F44C" w14:textId="6756583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4232C307" w14:textId="2E5BD52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070BEF5" w14:textId="2E08690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9929B84" w14:textId="77777777" w:rsidTr="008B36A4">
        <w:trPr>
          <w:cantSplit/>
          <w:trHeight w:val="123"/>
        </w:trPr>
        <w:tc>
          <w:tcPr>
            <w:tcW w:w="410" w:type="dxa"/>
            <w:noWrap/>
            <w:hideMark/>
          </w:tcPr>
          <w:p w14:paraId="515E12EC" w14:textId="49224E8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30</w:t>
            </w:r>
          </w:p>
        </w:tc>
        <w:tc>
          <w:tcPr>
            <w:tcW w:w="437" w:type="dxa"/>
            <w:noWrap/>
            <w:hideMark/>
          </w:tcPr>
          <w:p w14:paraId="2108C43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85B918C" w14:textId="69B709D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Ibis et al., 2021</w:t>
            </w:r>
            <w:r w:rsidR="00E877D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[56]</w:t>
            </w:r>
          </w:p>
        </w:tc>
        <w:tc>
          <w:tcPr>
            <w:tcW w:w="575" w:type="dxa"/>
            <w:gridSpan w:val="2"/>
            <w:hideMark/>
          </w:tcPr>
          <w:p w14:paraId="1BEB8A7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362BD29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Venezuela</w:t>
            </w:r>
          </w:p>
        </w:tc>
        <w:tc>
          <w:tcPr>
            <w:tcW w:w="918" w:type="dxa"/>
            <w:gridSpan w:val="2"/>
          </w:tcPr>
          <w:p w14:paraId="05D09BD5" w14:textId="07AC763A" w:rsidR="00F62694" w:rsidRPr="00C77BDD" w:rsidRDefault="00DA6A4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78.17</w:t>
            </w:r>
          </w:p>
        </w:tc>
        <w:tc>
          <w:tcPr>
            <w:tcW w:w="918" w:type="dxa"/>
            <w:gridSpan w:val="2"/>
            <w:hideMark/>
          </w:tcPr>
          <w:p w14:paraId="2B8443D2" w14:textId="069B106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0C2AA5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5B090FC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database</w:t>
            </w:r>
          </w:p>
        </w:tc>
        <w:tc>
          <w:tcPr>
            <w:tcW w:w="1193" w:type="dxa"/>
            <w:hideMark/>
          </w:tcPr>
          <w:p w14:paraId="05AEF4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23F2161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Mayo Clinic live cell-based assay</w:t>
            </w:r>
          </w:p>
        </w:tc>
        <w:tc>
          <w:tcPr>
            <w:tcW w:w="893" w:type="dxa"/>
            <w:hideMark/>
          </w:tcPr>
          <w:p w14:paraId="3C8464B4" w14:textId="691F34E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31.3</w:t>
            </w:r>
          </w:p>
        </w:tc>
        <w:tc>
          <w:tcPr>
            <w:tcW w:w="1233" w:type="dxa"/>
            <w:hideMark/>
          </w:tcPr>
          <w:p w14:paraId="3E1813F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CC3155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249</w:t>
            </w:r>
          </w:p>
        </w:tc>
        <w:tc>
          <w:tcPr>
            <w:tcW w:w="554" w:type="dxa"/>
            <w:gridSpan w:val="2"/>
            <w:hideMark/>
          </w:tcPr>
          <w:p w14:paraId="23169B4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206</w:t>
            </w:r>
          </w:p>
        </w:tc>
        <w:tc>
          <w:tcPr>
            <w:tcW w:w="425" w:type="dxa"/>
            <w:hideMark/>
          </w:tcPr>
          <w:p w14:paraId="355093A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43</w:t>
            </w:r>
          </w:p>
        </w:tc>
        <w:tc>
          <w:tcPr>
            <w:tcW w:w="1279" w:type="dxa"/>
            <w:gridSpan w:val="2"/>
            <w:hideMark/>
          </w:tcPr>
          <w:p w14:paraId="643F0B6B" w14:textId="77777777" w:rsidR="00F62694"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34.0 ± 14.8</w:t>
            </w:r>
          </w:p>
          <w:p w14:paraId="6F3CDD08" w14:textId="4F0A2FC3" w:rsidR="00F62694" w:rsidRPr="00C77BDD" w:rsidRDefault="00F62694" w:rsidP="00481D1A">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w:t>
            </w:r>
            <w:r>
              <w:rPr>
                <w:rFonts w:ascii="Arial" w:eastAsia="Times New Roman" w:hAnsi="Arial" w:cs="Arial"/>
                <w:color w:val="000000" w:themeColor="text1"/>
                <w:sz w:val="12"/>
                <w:szCs w:val="12"/>
                <w:lang w:eastAsia="en-AU"/>
              </w:rPr>
              <w:t xml:space="preserve"> </w:t>
            </w:r>
            <w:r w:rsidRPr="00C77BDD">
              <w:rPr>
                <w:rFonts w:ascii="Arial" w:eastAsia="Times New Roman" w:hAnsi="Arial" w:cs="Arial"/>
                <w:color w:val="000000" w:themeColor="text1"/>
                <w:sz w:val="12"/>
                <w:szCs w:val="12"/>
                <w:lang w:eastAsia="en-AU"/>
              </w:rPr>
              <w:t>(5 - 71)</w:t>
            </w:r>
          </w:p>
        </w:tc>
        <w:tc>
          <w:tcPr>
            <w:tcW w:w="673" w:type="dxa"/>
            <w:gridSpan w:val="3"/>
            <w:hideMark/>
          </w:tcPr>
          <w:p w14:paraId="0CF86FAD" w14:textId="54C183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1E0E563" w14:textId="5B81ED1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BCCE0E2" w14:textId="599328B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DDBF062" w14:textId="5F9C75A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9A18E82" w14:textId="6EAD625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5E4DFD3" w14:textId="6A5E688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186B9040" w14:textId="260B583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71899E9F" w14:textId="21301B0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7971C84" w14:textId="55D5515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D4664F6" w14:textId="77777777" w:rsidTr="008B36A4">
        <w:trPr>
          <w:cantSplit/>
          <w:trHeight w:val="268"/>
        </w:trPr>
        <w:tc>
          <w:tcPr>
            <w:tcW w:w="410" w:type="dxa"/>
            <w:noWrap/>
            <w:hideMark/>
          </w:tcPr>
          <w:p w14:paraId="08650986" w14:textId="284CA2F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1</w:t>
            </w:r>
          </w:p>
        </w:tc>
        <w:tc>
          <w:tcPr>
            <w:tcW w:w="437" w:type="dxa"/>
            <w:noWrap/>
            <w:hideMark/>
          </w:tcPr>
          <w:p w14:paraId="272B02D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817DB0D" w14:textId="00CDFD7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Jagtap et al., 2015</w:t>
            </w:r>
            <w:r w:rsidR="00E877D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[57]</w:t>
            </w:r>
          </w:p>
        </w:tc>
        <w:tc>
          <w:tcPr>
            <w:tcW w:w="575" w:type="dxa"/>
            <w:gridSpan w:val="2"/>
            <w:hideMark/>
          </w:tcPr>
          <w:p w14:paraId="063B545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2012</w:t>
            </w:r>
          </w:p>
        </w:tc>
        <w:tc>
          <w:tcPr>
            <w:tcW w:w="1030" w:type="dxa"/>
            <w:gridSpan w:val="2"/>
            <w:hideMark/>
          </w:tcPr>
          <w:p w14:paraId="2D20816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Kerala, India</w:t>
            </w:r>
          </w:p>
        </w:tc>
        <w:tc>
          <w:tcPr>
            <w:tcW w:w="918" w:type="dxa"/>
            <w:gridSpan w:val="2"/>
          </w:tcPr>
          <w:p w14:paraId="22B32BE2" w14:textId="3E74D090" w:rsidR="00F62694" w:rsidRPr="00C77BDD" w:rsidRDefault="00DA6A4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72.17</w:t>
            </w:r>
          </w:p>
        </w:tc>
        <w:tc>
          <w:tcPr>
            <w:tcW w:w="918" w:type="dxa"/>
            <w:gridSpan w:val="2"/>
            <w:hideMark/>
          </w:tcPr>
          <w:p w14:paraId="4FF071F2" w14:textId="275FD67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6503BD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F14624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Local database</w:t>
            </w:r>
          </w:p>
        </w:tc>
        <w:tc>
          <w:tcPr>
            <w:tcW w:w="1193" w:type="dxa"/>
            <w:hideMark/>
          </w:tcPr>
          <w:p w14:paraId="2C0BEA7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Miller 2008</w:t>
            </w:r>
          </w:p>
        </w:tc>
        <w:tc>
          <w:tcPr>
            <w:tcW w:w="1358" w:type="dxa"/>
            <w:hideMark/>
          </w:tcPr>
          <w:p w14:paraId="602F479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303ADC5A" w14:textId="6D3EAAD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30.8</w:t>
            </w:r>
          </w:p>
        </w:tc>
        <w:tc>
          <w:tcPr>
            <w:tcW w:w="1233" w:type="dxa"/>
            <w:hideMark/>
          </w:tcPr>
          <w:p w14:paraId="5D2428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F2B40B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w:t>
            </w:r>
          </w:p>
        </w:tc>
        <w:tc>
          <w:tcPr>
            <w:tcW w:w="554" w:type="dxa"/>
            <w:gridSpan w:val="2"/>
            <w:hideMark/>
          </w:tcPr>
          <w:p w14:paraId="495E29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21</w:t>
            </w:r>
          </w:p>
        </w:tc>
        <w:tc>
          <w:tcPr>
            <w:tcW w:w="425" w:type="dxa"/>
            <w:hideMark/>
          </w:tcPr>
          <w:p w14:paraId="3C72E9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1279" w:type="dxa"/>
            <w:gridSpan w:val="2"/>
            <w:hideMark/>
          </w:tcPr>
          <w:p w14:paraId="12E6B959" w14:textId="1BAD4FE3"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27.0 ± 12.4</w:t>
            </w:r>
            <w:r w:rsidRPr="008D1DC2">
              <w:rPr>
                <w:rFonts w:ascii="Arial" w:eastAsia="Times New Roman" w:hAnsi="Arial" w:cs="Arial"/>
                <w:color w:val="000000" w:themeColor="text1"/>
                <w:sz w:val="12"/>
                <w:szCs w:val="12"/>
                <w:vertAlign w:val="superscript"/>
                <w:lang w:eastAsia="en-AU"/>
              </w:rPr>
              <w:t>#</w:t>
            </w:r>
          </w:p>
          <w:p w14:paraId="1F6D4C66" w14:textId="7B611C4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(9 - 58)</w:t>
            </w:r>
          </w:p>
        </w:tc>
        <w:tc>
          <w:tcPr>
            <w:tcW w:w="673" w:type="dxa"/>
            <w:gridSpan w:val="3"/>
            <w:hideMark/>
          </w:tcPr>
          <w:p w14:paraId="3F18B095" w14:textId="44098C2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13B2191" w14:textId="7C7011E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44837E8F" w14:textId="7F33834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039B0759" w14:textId="496E471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D759B2D" w14:textId="024F680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3CEEFE1" w14:textId="17E2B9B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44D55F2F" w14:textId="47FADA4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48B15CC0" w14:textId="7056F51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74000F3" w14:textId="3895E82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AD8CEB0" w14:textId="77777777" w:rsidTr="008B36A4">
        <w:trPr>
          <w:cantSplit/>
          <w:trHeight w:val="522"/>
        </w:trPr>
        <w:tc>
          <w:tcPr>
            <w:tcW w:w="410" w:type="dxa"/>
            <w:noWrap/>
            <w:hideMark/>
          </w:tcPr>
          <w:p w14:paraId="609BF0C1" w14:textId="6F89F8A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2</w:t>
            </w:r>
          </w:p>
        </w:tc>
        <w:tc>
          <w:tcPr>
            <w:tcW w:w="437" w:type="dxa"/>
            <w:noWrap/>
            <w:hideMark/>
          </w:tcPr>
          <w:p w14:paraId="59700F9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B127715" w14:textId="5D17204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Jiao et al., 2013</w:t>
            </w:r>
            <w:r w:rsidR="00E877D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[58]</w:t>
            </w:r>
          </w:p>
        </w:tc>
        <w:tc>
          <w:tcPr>
            <w:tcW w:w="575" w:type="dxa"/>
            <w:gridSpan w:val="2"/>
            <w:hideMark/>
          </w:tcPr>
          <w:p w14:paraId="4E6F440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2011</w:t>
            </w:r>
          </w:p>
        </w:tc>
        <w:tc>
          <w:tcPr>
            <w:tcW w:w="1030" w:type="dxa"/>
            <w:gridSpan w:val="2"/>
            <w:hideMark/>
          </w:tcPr>
          <w:p w14:paraId="1D92CEB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US</w:t>
            </w:r>
          </w:p>
        </w:tc>
        <w:tc>
          <w:tcPr>
            <w:tcW w:w="918" w:type="dxa"/>
            <w:gridSpan w:val="2"/>
          </w:tcPr>
          <w:p w14:paraId="7A56AD5D" w14:textId="1576F71F" w:rsidR="00F62694" w:rsidRPr="00C77BDD" w:rsidRDefault="00DA6A4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80.73</w:t>
            </w:r>
          </w:p>
        </w:tc>
        <w:tc>
          <w:tcPr>
            <w:tcW w:w="918" w:type="dxa"/>
            <w:gridSpan w:val="2"/>
            <w:hideMark/>
          </w:tcPr>
          <w:p w14:paraId="3B1739E6" w14:textId="3961DC8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51501E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Central referral laboratory</w:t>
            </w:r>
          </w:p>
        </w:tc>
        <w:tc>
          <w:tcPr>
            <w:tcW w:w="1560" w:type="dxa"/>
            <w:hideMark/>
          </w:tcPr>
          <w:p w14:paraId="11F6AA2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Cases referred for AQP4  antibody testing</w:t>
            </w:r>
          </w:p>
        </w:tc>
        <w:tc>
          <w:tcPr>
            <w:tcW w:w="1193" w:type="dxa"/>
            <w:hideMark/>
          </w:tcPr>
          <w:p w14:paraId="3EE951B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 plus AQP4 antibody positivity</w:t>
            </w:r>
          </w:p>
        </w:tc>
        <w:tc>
          <w:tcPr>
            <w:tcW w:w="1358" w:type="dxa"/>
            <w:hideMark/>
          </w:tcPr>
          <w:p w14:paraId="17F1776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Mayo Clinic tissue (mouse) immunofluorescence, ELISA, Euroimmun fixed cell-based and FACS live cell-based assays</w:t>
            </w:r>
          </w:p>
        </w:tc>
        <w:tc>
          <w:tcPr>
            <w:tcW w:w="893" w:type="dxa"/>
            <w:hideMark/>
          </w:tcPr>
          <w:p w14:paraId="08335E20" w14:textId="182CB0C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88.1</w:t>
            </w:r>
          </w:p>
        </w:tc>
        <w:tc>
          <w:tcPr>
            <w:tcW w:w="1233" w:type="dxa"/>
            <w:hideMark/>
          </w:tcPr>
          <w:p w14:paraId="35AEAED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97657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159</w:t>
            </w:r>
          </w:p>
        </w:tc>
        <w:tc>
          <w:tcPr>
            <w:tcW w:w="554" w:type="dxa"/>
            <w:gridSpan w:val="2"/>
            <w:hideMark/>
          </w:tcPr>
          <w:p w14:paraId="1C00261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136</w:t>
            </w:r>
          </w:p>
        </w:tc>
        <w:tc>
          <w:tcPr>
            <w:tcW w:w="425" w:type="dxa"/>
            <w:hideMark/>
          </w:tcPr>
          <w:p w14:paraId="4CC17F7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23</w:t>
            </w:r>
          </w:p>
        </w:tc>
        <w:tc>
          <w:tcPr>
            <w:tcW w:w="1279" w:type="dxa"/>
            <w:gridSpan w:val="2"/>
            <w:hideMark/>
          </w:tcPr>
          <w:p w14:paraId="485F5522" w14:textId="0CBC0C76"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38.6 ± 13.2</w:t>
            </w:r>
            <w:r w:rsidRPr="008D1DC2">
              <w:rPr>
                <w:rFonts w:ascii="Arial" w:eastAsia="Times New Roman" w:hAnsi="Arial" w:cs="Arial"/>
                <w:color w:val="000000" w:themeColor="text1"/>
                <w:sz w:val="12"/>
                <w:szCs w:val="12"/>
                <w:vertAlign w:val="superscript"/>
                <w:lang w:eastAsia="en-AU"/>
              </w:rPr>
              <w:t>‡</w:t>
            </w:r>
          </w:p>
          <w:p w14:paraId="3643ECE5" w14:textId="468A72B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(5 -71)</w:t>
            </w:r>
          </w:p>
        </w:tc>
        <w:tc>
          <w:tcPr>
            <w:tcW w:w="673" w:type="dxa"/>
            <w:gridSpan w:val="3"/>
            <w:hideMark/>
          </w:tcPr>
          <w:p w14:paraId="66E3DFE9" w14:textId="6B6990C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4F11DBDD" w14:textId="76D5F11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B2C8E8A" w14:textId="6436154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7653B7E" w14:textId="534ACF7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1A83841" w14:textId="7049222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D82C33F" w14:textId="1ED4538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C89131F" w14:textId="2F97948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01AF32F7" w14:textId="316417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942ED62" w14:textId="4B274AF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51E3898" w14:textId="77777777" w:rsidTr="008B36A4">
        <w:trPr>
          <w:cantSplit/>
          <w:trHeight w:val="147"/>
        </w:trPr>
        <w:tc>
          <w:tcPr>
            <w:tcW w:w="410" w:type="dxa"/>
            <w:noWrap/>
            <w:hideMark/>
          </w:tcPr>
          <w:p w14:paraId="2A7DFAF3" w14:textId="456E66F2"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3E10FAE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2C76DD84" w14:textId="37703C2A"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671CEA1E"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5B4E6095"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727698A2"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CCE97BD" w14:textId="650B02C8"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7CA0191B"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24F00CC8"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282724C2"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00B9E0A0"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5530A1B9" w14:textId="0587996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45B90AF3"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66E5F6D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140</w:t>
            </w:r>
          </w:p>
        </w:tc>
        <w:tc>
          <w:tcPr>
            <w:tcW w:w="554" w:type="dxa"/>
            <w:gridSpan w:val="2"/>
            <w:hideMark/>
          </w:tcPr>
          <w:p w14:paraId="1F3AE1B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126</w:t>
            </w:r>
          </w:p>
        </w:tc>
        <w:tc>
          <w:tcPr>
            <w:tcW w:w="425" w:type="dxa"/>
            <w:hideMark/>
          </w:tcPr>
          <w:p w14:paraId="30F29E0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w:t>
            </w:r>
          </w:p>
        </w:tc>
        <w:tc>
          <w:tcPr>
            <w:tcW w:w="1279" w:type="dxa"/>
            <w:gridSpan w:val="2"/>
            <w:hideMark/>
          </w:tcPr>
          <w:p w14:paraId="7F98766E" w14:textId="42D4A03E"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38.5 ± 12.6</w:t>
            </w:r>
            <w:r w:rsidRPr="008D1DC2">
              <w:rPr>
                <w:rFonts w:ascii="Arial" w:eastAsia="Times New Roman" w:hAnsi="Arial" w:cs="Arial"/>
                <w:color w:val="000000" w:themeColor="text1"/>
                <w:sz w:val="12"/>
                <w:szCs w:val="12"/>
                <w:vertAlign w:val="superscript"/>
                <w:lang w:eastAsia="en-AU"/>
              </w:rPr>
              <w:t>‡</w:t>
            </w:r>
          </w:p>
          <w:p w14:paraId="66A60767" w14:textId="3893225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 (5 -71)</w:t>
            </w:r>
          </w:p>
        </w:tc>
        <w:tc>
          <w:tcPr>
            <w:tcW w:w="673" w:type="dxa"/>
            <w:gridSpan w:val="3"/>
            <w:hideMark/>
          </w:tcPr>
          <w:p w14:paraId="0A76DA7B" w14:textId="02CC58E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CA84EEB" w14:textId="2471430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FE8439F" w14:textId="63F3EC7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C76F1B7" w14:textId="2FBCFDD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7A23FA34" w14:textId="523001E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1429F7D" w14:textId="595041B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3ED6F55" w14:textId="42D3829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46D4B917" w14:textId="6B26080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9CD7D72" w14:textId="44150E3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88C1589" w14:textId="77777777" w:rsidTr="008B36A4">
        <w:trPr>
          <w:cantSplit/>
          <w:trHeight w:val="130"/>
        </w:trPr>
        <w:tc>
          <w:tcPr>
            <w:tcW w:w="410" w:type="dxa"/>
            <w:noWrap/>
            <w:hideMark/>
          </w:tcPr>
          <w:p w14:paraId="236E2771" w14:textId="2BC7CF5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3</w:t>
            </w:r>
          </w:p>
        </w:tc>
        <w:tc>
          <w:tcPr>
            <w:tcW w:w="437" w:type="dxa"/>
            <w:noWrap/>
            <w:hideMark/>
          </w:tcPr>
          <w:p w14:paraId="53EBD63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985F6B7" w14:textId="40F2616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Jonsson et al., 2019</w:t>
            </w:r>
            <w:r w:rsidR="00E877D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[59]</w:t>
            </w:r>
          </w:p>
        </w:tc>
        <w:tc>
          <w:tcPr>
            <w:tcW w:w="575" w:type="dxa"/>
            <w:gridSpan w:val="2"/>
            <w:hideMark/>
          </w:tcPr>
          <w:p w14:paraId="4356923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2013</w:t>
            </w:r>
          </w:p>
        </w:tc>
        <w:tc>
          <w:tcPr>
            <w:tcW w:w="1030" w:type="dxa"/>
            <w:gridSpan w:val="2"/>
            <w:hideMark/>
          </w:tcPr>
          <w:p w14:paraId="6B330E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Sweden</w:t>
            </w:r>
          </w:p>
        </w:tc>
        <w:tc>
          <w:tcPr>
            <w:tcW w:w="918" w:type="dxa"/>
            <w:gridSpan w:val="2"/>
          </w:tcPr>
          <w:p w14:paraId="2ECC6529" w14:textId="159813AD" w:rsidR="00F62694" w:rsidRPr="00C77BDD" w:rsidRDefault="00985A3C"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83.97</w:t>
            </w:r>
          </w:p>
        </w:tc>
        <w:tc>
          <w:tcPr>
            <w:tcW w:w="918" w:type="dxa"/>
            <w:gridSpan w:val="2"/>
            <w:hideMark/>
          </w:tcPr>
          <w:p w14:paraId="00B0B036" w14:textId="0738F2E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1564BC3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Population-based survey</w:t>
            </w:r>
          </w:p>
        </w:tc>
        <w:tc>
          <w:tcPr>
            <w:tcW w:w="1560" w:type="dxa"/>
            <w:hideMark/>
          </w:tcPr>
          <w:p w14:paraId="5495777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registry of hospitalisations</w:t>
            </w:r>
          </w:p>
        </w:tc>
        <w:tc>
          <w:tcPr>
            <w:tcW w:w="1193" w:type="dxa"/>
            <w:hideMark/>
          </w:tcPr>
          <w:p w14:paraId="05146A9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7B49923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Immunoblot or cell-based assay</w:t>
            </w:r>
          </w:p>
        </w:tc>
        <w:tc>
          <w:tcPr>
            <w:tcW w:w="893" w:type="dxa"/>
            <w:hideMark/>
          </w:tcPr>
          <w:p w14:paraId="286F981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5C29EAD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F222C9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92</w:t>
            </w:r>
          </w:p>
        </w:tc>
        <w:tc>
          <w:tcPr>
            <w:tcW w:w="554" w:type="dxa"/>
            <w:gridSpan w:val="2"/>
            <w:hideMark/>
          </w:tcPr>
          <w:p w14:paraId="6D148BF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68</w:t>
            </w:r>
          </w:p>
        </w:tc>
        <w:tc>
          <w:tcPr>
            <w:tcW w:w="425" w:type="dxa"/>
            <w:hideMark/>
          </w:tcPr>
          <w:p w14:paraId="4849918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w:t>
            </w:r>
          </w:p>
        </w:tc>
        <w:tc>
          <w:tcPr>
            <w:tcW w:w="1279" w:type="dxa"/>
            <w:gridSpan w:val="2"/>
            <w:hideMark/>
          </w:tcPr>
          <w:p w14:paraId="49603D4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673" w:type="dxa"/>
            <w:gridSpan w:val="3"/>
            <w:hideMark/>
          </w:tcPr>
          <w:p w14:paraId="0C1AF1AF" w14:textId="359BA96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0B67ED9" w14:textId="5D2289C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42D0E1D" w14:textId="0667FB9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F837315" w14:textId="35F8423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70E2DE71" w14:textId="1AC31C6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A7C91F5" w14:textId="3A0DA63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7F8360D" w14:textId="7E32A79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783E6696" w14:textId="3310938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CF28ED8" w14:textId="1457739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63464E1" w14:textId="77777777" w:rsidTr="008B36A4">
        <w:trPr>
          <w:cantSplit/>
          <w:trHeight w:val="149"/>
        </w:trPr>
        <w:tc>
          <w:tcPr>
            <w:tcW w:w="410" w:type="dxa"/>
            <w:noWrap/>
            <w:hideMark/>
          </w:tcPr>
          <w:p w14:paraId="11231199" w14:textId="07E759B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4</w:t>
            </w:r>
          </w:p>
        </w:tc>
        <w:tc>
          <w:tcPr>
            <w:tcW w:w="437" w:type="dxa"/>
            <w:noWrap/>
            <w:hideMark/>
          </w:tcPr>
          <w:p w14:paraId="0966D27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8A57F7E" w14:textId="6FA0EE6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Joshi et al., 2022</w:t>
            </w:r>
            <w:r w:rsidR="0075205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[60]</w:t>
            </w:r>
          </w:p>
        </w:tc>
        <w:tc>
          <w:tcPr>
            <w:tcW w:w="575" w:type="dxa"/>
            <w:gridSpan w:val="2"/>
            <w:hideMark/>
          </w:tcPr>
          <w:p w14:paraId="1018D13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2016</w:t>
            </w:r>
          </w:p>
        </w:tc>
        <w:tc>
          <w:tcPr>
            <w:tcW w:w="1030" w:type="dxa"/>
            <w:gridSpan w:val="2"/>
            <w:hideMark/>
          </w:tcPr>
          <w:p w14:paraId="231E75D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Gujarat, India</w:t>
            </w:r>
          </w:p>
        </w:tc>
        <w:tc>
          <w:tcPr>
            <w:tcW w:w="918" w:type="dxa"/>
            <w:gridSpan w:val="2"/>
          </w:tcPr>
          <w:p w14:paraId="1517936B" w14:textId="1A67A56B" w:rsidR="00F62694" w:rsidRPr="00C77BDD" w:rsidRDefault="00985A3C"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72.17</w:t>
            </w:r>
          </w:p>
        </w:tc>
        <w:tc>
          <w:tcPr>
            <w:tcW w:w="918" w:type="dxa"/>
            <w:gridSpan w:val="2"/>
            <w:hideMark/>
          </w:tcPr>
          <w:p w14:paraId="1D9F2860" w14:textId="6970527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DDCA0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1412901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CNS inflammatory diseases clinic survey</w:t>
            </w:r>
          </w:p>
        </w:tc>
        <w:tc>
          <w:tcPr>
            <w:tcW w:w="1193" w:type="dxa"/>
            <w:hideMark/>
          </w:tcPr>
          <w:p w14:paraId="272EFA0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5039D9E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transfected cell-based FACS assay</w:t>
            </w:r>
          </w:p>
        </w:tc>
        <w:tc>
          <w:tcPr>
            <w:tcW w:w="893" w:type="dxa"/>
            <w:hideMark/>
          </w:tcPr>
          <w:p w14:paraId="3A8B9671" w14:textId="3E1460E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56.6</w:t>
            </w:r>
          </w:p>
        </w:tc>
        <w:tc>
          <w:tcPr>
            <w:tcW w:w="1233" w:type="dxa"/>
            <w:hideMark/>
          </w:tcPr>
          <w:p w14:paraId="18173B8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E527E2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46</w:t>
            </w:r>
          </w:p>
        </w:tc>
        <w:tc>
          <w:tcPr>
            <w:tcW w:w="554" w:type="dxa"/>
            <w:gridSpan w:val="2"/>
            <w:hideMark/>
          </w:tcPr>
          <w:p w14:paraId="4DBEAA8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w:t>
            </w:r>
          </w:p>
        </w:tc>
        <w:tc>
          <w:tcPr>
            <w:tcW w:w="425" w:type="dxa"/>
            <w:hideMark/>
          </w:tcPr>
          <w:p w14:paraId="26A01F3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hideMark/>
          </w:tcPr>
          <w:p w14:paraId="233AB680" w14:textId="0C73F1CD"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28.8 ± 8.3</w:t>
            </w:r>
            <w:r w:rsidRPr="008D1DC2">
              <w:rPr>
                <w:rFonts w:ascii="Arial" w:eastAsia="Times New Roman" w:hAnsi="Arial" w:cs="Arial"/>
                <w:color w:val="000000" w:themeColor="text1"/>
                <w:sz w:val="12"/>
                <w:szCs w:val="12"/>
                <w:vertAlign w:val="superscript"/>
                <w:lang w:eastAsia="en-AU"/>
              </w:rPr>
              <w:t>#</w:t>
            </w:r>
          </w:p>
          <w:p w14:paraId="67DB0AC0" w14:textId="5168240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(13 - 50)</w:t>
            </w:r>
          </w:p>
        </w:tc>
        <w:tc>
          <w:tcPr>
            <w:tcW w:w="673" w:type="dxa"/>
            <w:gridSpan w:val="3"/>
            <w:hideMark/>
          </w:tcPr>
          <w:p w14:paraId="59384C4D" w14:textId="0AA87B9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5FD41D08" w14:textId="61C8AC8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676AADCC" w14:textId="415D07B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29A488D" w14:textId="0D50ADA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73DDE9BD" w14:textId="37E7122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35CF16C" w14:textId="2E82DA1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FA68D15" w14:textId="04D399E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737F3817" w14:textId="53BCA67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297C5E9" w14:textId="1859C3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0FC1A7B" w14:textId="77777777" w:rsidTr="008B36A4">
        <w:trPr>
          <w:cantSplit/>
          <w:trHeight w:val="152"/>
        </w:trPr>
        <w:tc>
          <w:tcPr>
            <w:tcW w:w="410" w:type="dxa"/>
            <w:noWrap/>
            <w:hideMark/>
          </w:tcPr>
          <w:p w14:paraId="730EC595" w14:textId="67C0E076"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18BEC7A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69FE72D6" w14:textId="6D6FFA76"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618870C7"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4A5B77DB"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3192DA6C"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3B8091D" w14:textId="03676B7A"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76428349"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70B37B22"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3087ABAF"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5FD21471"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2226EFD6" w14:textId="2ED6540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4ACBB690"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042799A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w:t>
            </w:r>
          </w:p>
        </w:tc>
        <w:tc>
          <w:tcPr>
            <w:tcW w:w="554" w:type="dxa"/>
            <w:gridSpan w:val="2"/>
            <w:hideMark/>
          </w:tcPr>
          <w:p w14:paraId="7E3DEE8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23</w:t>
            </w:r>
          </w:p>
        </w:tc>
        <w:tc>
          <w:tcPr>
            <w:tcW w:w="425" w:type="dxa"/>
            <w:hideMark/>
          </w:tcPr>
          <w:p w14:paraId="28F5D6D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p>
        </w:tc>
        <w:tc>
          <w:tcPr>
            <w:tcW w:w="1279" w:type="dxa"/>
            <w:gridSpan w:val="2"/>
            <w:hideMark/>
          </w:tcPr>
          <w:p w14:paraId="64A2D7CE" w14:textId="1A24BB95"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36.8 ± 12.1</w:t>
            </w:r>
            <w:r w:rsidRPr="008D1DC2">
              <w:rPr>
                <w:rFonts w:ascii="Arial" w:eastAsia="Times New Roman" w:hAnsi="Arial" w:cs="Arial"/>
                <w:color w:val="000000" w:themeColor="text1"/>
                <w:sz w:val="12"/>
                <w:szCs w:val="12"/>
                <w:vertAlign w:val="superscript"/>
                <w:lang w:eastAsia="en-AU"/>
              </w:rPr>
              <w:t>#</w:t>
            </w:r>
          </w:p>
          <w:p w14:paraId="7A3ED4EE" w14:textId="7A0BE3A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(17 - 65)</w:t>
            </w:r>
          </w:p>
        </w:tc>
        <w:tc>
          <w:tcPr>
            <w:tcW w:w="673" w:type="dxa"/>
            <w:gridSpan w:val="3"/>
            <w:hideMark/>
          </w:tcPr>
          <w:p w14:paraId="577BB9D4" w14:textId="443F8DC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4094CE29" w14:textId="5F92343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7B5D410" w14:textId="52F103B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5952323" w14:textId="3944218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571A778" w14:textId="1CC1558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34327173" w14:textId="6FE4328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E370DDD" w14:textId="6A0795B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711B9CE4" w14:textId="6EE404B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B5ECD37" w14:textId="7BD45DB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DBDFFAF" w14:textId="77777777" w:rsidTr="008B36A4">
        <w:trPr>
          <w:cantSplit/>
          <w:trHeight w:val="312"/>
        </w:trPr>
        <w:tc>
          <w:tcPr>
            <w:tcW w:w="410" w:type="dxa"/>
            <w:noWrap/>
            <w:hideMark/>
          </w:tcPr>
          <w:p w14:paraId="5290A431" w14:textId="5A1C9A1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5</w:t>
            </w:r>
          </w:p>
        </w:tc>
        <w:tc>
          <w:tcPr>
            <w:tcW w:w="437" w:type="dxa"/>
            <w:noWrap/>
            <w:hideMark/>
          </w:tcPr>
          <w:p w14:paraId="11F7DEE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D2EAAAA" w14:textId="28F755C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Kashipazha et al., 2015</w:t>
            </w:r>
            <w:r w:rsidR="0075205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[61]</w:t>
            </w:r>
          </w:p>
        </w:tc>
        <w:tc>
          <w:tcPr>
            <w:tcW w:w="575" w:type="dxa"/>
            <w:gridSpan w:val="2"/>
            <w:hideMark/>
          </w:tcPr>
          <w:p w14:paraId="325633C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300DCC4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Khuzestan, Iran</w:t>
            </w:r>
          </w:p>
        </w:tc>
        <w:tc>
          <w:tcPr>
            <w:tcW w:w="918" w:type="dxa"/>
            <w:gridSpan w:val="2"/>
          </w:tcPr>
          <w:p w14:paraId="6D9CCE66" w14:textId="3160BE81" w:rsidR="00F62694" w:rsidRPr="00C77BDD" w:rsidRDefault="00985A3C"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79.09</w:t>
            </w:r>
          </w:p>
        </w:tc>
        <w:tc>
          <w:tcPr>
            <w:tcW w:w="918" w:type="dxa"/>
            <w:gridSpan w:val="2"/>
            <w:hideMark/>
          </w:tcPr>
          <w:p w14:paraId="19854516" w14:textId="5EA1509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28B829B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Population-based survey</w:t>
            </w:r>
          </w:p>
        </w:tc>
        <w:tc>
          <w:tcPr>
            <w:tcW w:w="1560" w:type="dxa"/>
            <w:hideMark/>
          </w:tcPr>
          <w:p w14:paraId="3C2551A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MS registry, neurology clinic referrals and private neurologist clinics with ON, TM or NMO</w:t>
            </w:r>
          </w:p>
        </w:tc>
        <w:tc>
          <w:tcPr>
            <w:tcW w:w="1193" w:type="dxa"/>
            <w:hideMark/>
          </w:tcPr>
          <w:p w14:paraId="7EBB783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7900E2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340C4784" w14:textId="6F61C59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38.0</w:t>
            </w:r>
          </w:p>
        </w:tc>
        <w:tc>
          <w:tcPr>
            <w:tcW w:w="1233" w:type="dxa"/>
            <w:hideMark/>
          </w:tcPr>
          <w:p w14:paraId="562061C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353EC6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50</w:t>
            </w:r>
          </w:p>
        </w:tc>
        <w:tc>
          <w:tcPr>
            <w:tcW w:w="554" w:type="dxa"/>
            <w:gridSpan w:val="2"/>
            <w:hideMark/>
          </w:tcPr>
          <w:p w14:paraId="35A2095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44</w:t>
            </w:r>
          </w:p>
        </w:tc>
        <w:tc>
          <w:tcPr>
            <w:tcW w:w="425" w:type="dxa"/>
            <w:hideMark/>
          </w:tcPr>
          <w:p w14:paraId="244CE5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1279" w:type="dxa"/>
            <w:gridSpan w:val="2"/>
            <w:hideMark/>
          </w:tcPr>
          <w:p w14:paraId="35172230" w14:textId="292A905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29.2 ± 11.1</w:t>
            </w:r>
            <w:r>
              <w:rPr>
                <w:rFonts w:ascii="Arial" w:eastAsia="Times New Roman" w:hAnsi="Arial" w:cs="Arial"/>
                <w:color w:val="000000" w:themeColor="text1"/>
                <w:sz w:val="12"/>
                <w:szCs w:val="12"/>
                <w:vertAlign w:val="superscript"/>
                <w:lang w:eastAsia="en-AU"/>
              </w:rPr>
              <w:t>#</w:t>
            </w:r>
          </w:p>
        </w:tc>
        <w:tc>
          <w:tcPr>
            <w:tcW w:w="673" w:type="dxa"/>
            <w:gridSpan w:val="3"/>
            <w:hideMark/>
          </w:tcPr>
          <w:p w14:paraId="538755B1" w14:textId="7B4FEC6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9EF415E" w14:textId="749E4D4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AAB735D" w14:textId="4B575C1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5E7583CF" w14:textId="72EB2CD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5D4E91E9" w14:textId="5402938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A407F32" w14:textId="6D9126E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075C7C0E" w14:textId="4D73563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020FE53B" w14:textId="146FA59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6D9A821" w14:textId="417FD7A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C4BC7BC" w14:textId="77777777" w:rsidTr="008B36A4">
        <w:trPr>
          <w:cantSplit/>
          <w:trHeight w:val="188"/>
        </w:trPr>
        <w:tc>
          <w:tcPr>
            <w:tcW w:w="410" w:type="dxa"/>
            <w:noWrap/>
            <w:hideMark/>
          </w:tcPr>
          <w:p w14:paraId="6D06B1EA" w14:textId="3C196BA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6</w:t>
            </w:r>
          </w:p>
        </w:tc>
        <w:tc>
          <w:tcPr>
            <w:tcW w:w="437" w:type="dxa"/>
            <w:noWrap/>
            <w:hideMark/>
          </w:tcPr>
          <w:p w14:paraId="34E459F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75B36D0" w14:textId="32A93B9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Kim et al., 2012</w:t>
            </w:r>
            <w:r w:rsidR="00672A7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[62]</w:t>
            </w:r>
          </w:p>
        </w:tc>
        <w:tc>
          <w:tcPr>
            <w:tcW w:w="575" w:type="dxa"/>
            <w:gridSpan w:val="2"/>
            <w:hideMark/>
          </w:tcPr>
          <w:p w14:paraId="41528F3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2010</w:t>
            </w:r>
          </w:p>
        </w:tc>
        <w:tc>
          <w:tcPr>
            <w:tcW w:w="1030" w:type="dxa"/>
            <w:gridSpan w:val="2"/>
            <w:hideMark/>
          </w:tcPr>
          <w:p w14:paraId="174E3AE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Goyang, Korea</w:t>
            </w:r>
          </w:p>
        </w:tc>
        <w:tc>
          <w:tcPr>
            <w:tcW w:w="918" w:type="dxa"/>
            <w:gridSpan w:val="2"/>
          </w:tcPr>
          <w:p w14:paraId="3D646BA0" w14:textId="13410685" w:rsidR="00F62694" w:rsidRPr="00C77BDD" w:rsidRDefault="00F204C1"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86.09</w:t>
            </w:r>
          </w:p>
        </w:tc>
        <w:tc>
          <w:tcPr>
            <w:tcW w:w="918" w:type="dxa"/>
            <w:gridSpan w:val="2"/>
            <w:hideMark/>
          </w:tcPr>
          <w:p w14:paraId="37279E12" w14:textId="5735936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5E7D88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2A6A9187" w14:textId="5B3839B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Consecutive attendees at national referral centre</w:t>
            </w:r>
          </w:p>
        </w:tc>
        <w:tc>
          <w:tcPr>
            <w:tcW w:w="1193" w:type="dxa"/>
            <w:hideMark/>
          </w:tcPr>
          <w:p w14:paraId="555DC3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antibody positive</w:t>
            </w:r>
          </w:p>
        </w:tc>
        <w:tc>
          <w:tcPr>
            <w:tcW w:w="1358" w:type="dxa"/>
            <w:hideMark/>
          </w:tcPr>
          <w:p w14:paraId="092BA98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ELISA and Euroimmun fixed cell-based assay</w:t>
            </w:r>
          </w:p>
        </w:tc>
        <w:tc>
          <w:tcPr>
            <w:tcW w:w="893" w:type="dxa"/>
            <w:hideMark/>
          </w:tcPr>
          <w:p w14:paraId="78346A15" w14:textId="14E6FFA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0DD68E8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B25D3D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106</w:t>
            </w:r>
          </w:p>
        </w:tc>
        <w:tc>
          <w:tcPr>
            <w:tcW w:w="554" w:type="dxa"/>
            <w:gridSpan w:val="2"/>
            <w:hideMark/>
          </w:tcPr>
          <w:p w14:paraId="753CA4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97</w:t>
            </w:r>
          </w:p>
        </w:tc>
        <w:tc>
          <w:tcPr>
            <w:tcW w:w="425" w:type="dxa"/>
            <w:hideMark/>
          </w:tcPr>
          <w:p w14:paraId="3290701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1279" w:type="dxa"/>
            <w:gridSpan w:val="2"/>
            <w:hideMark/>
          </w:tcPr>
          <w:p w14:paraId="6D35A59E" w14:textId="5DD6B7ED"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32.5 ± 10.3</w:t>
            </w:r>
            <w:r w:rsidRPr="008D1DC2">
              <w:rPr>
                <w:rFonts w:ascii="Arial" w:eastAsia="Times New Roman" w:hAnsi="Arial" w:cs="Arial"/>
                <w:color w:val="000000" w:themeColor="text1"/>
                <w:sz w:val="12"/>
                <w:szCs w:val="12"/>
                <w:vertAlign w:val="superscript"/>
                <w:lang w:eastAsia="en-AU"/>
              </w:rPr>
              <w:t>‡</w:t>
            </w:r>
          </w:p>
          <w:p w14:paraId="6A29FC26" w14:textId="17F355F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32 (7 - 59)</w:t>
            </w:r>
          </w:p>
        </w:tc>
        <w:tc>
          <w:tcPr>
            <w:tcW w:w="673" w:type="dxa"/>
            <w:gridSpan w:val="3"/>
            <w:hideMark/>
          </w:tcPr>
          <w:p w14:paraId="67BB220F" w14:textId="6FA3611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11674A4" w14:textId="29617A4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5856D3B" w14:textId="74F12B9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ABC2603" w14:textId="5ACBB27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F0AEFB1" w14:textId="67BC743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19A58C2" w14:textId="4DB0EF6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94BBCE7" w14:textId="7ABC594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99ACD20" w14:textId="32EBEE2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2BC0AFB" w14:textId="5173C26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6C34DEC" w14:textId="77777777" w:rsidTr="008B36A4">
        <w:trPr>
          <w:cantSplit/>
          <w:trHeight w:val="57"/>
        </w:trPr>
        <w:tc>
          <w:tcPr>
            <w:tcW w:w="410" w:type="dxa"/>
            <w:noWrap/>
            <w:hideMark/>
          </w:tcPr>
          <w:p w14:paraId="123A5735" w14:textId="7597583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7</w:t>
            </w:r>
          </w:p>
        </w:tc>
        <w:tc>
          <w:tcPr>
            <w:tcW w:w="437" w:type="dxa"/>
            <w:noWrap/>
            <w:hideMark/>
          </w:tcPr>
          <w:p w14:paraId="633052E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FE9997F" w14:textId="5211284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Kishk et al., 2021</w:t>
            </w:r>
            <w:r w:rsidR="00F0719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[63]</w:t>
            </w:r>
          </w:p>
        </w:tc>
        <w:tc>
          <w:tcPr>
            <w:tcW w:w="575" w:type="dxa"/>
            <w:gridSpan w:val="2"/>
            <w:hideMark/>
          </w:tcPr>
          <w:p w14:paraId="4FB289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0F59C62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Cairo, Egypt</w:t>
            </w:r>
          </w:p>
        </w:tc>
        <w:tc>
          <w:tcPr>
            <w:tcW w:w="918" w:type="dxa"/>
            <w:gridSpan w:val="2"/>
          </w:tcPr>
          <w:p w14:paraId="64302494" w14:textId="102703BA" w:rsidR="00F62694" w:rsidRPr="00C77BDD" w:rsidRDefault="007D284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74.14</w:t>
            </w:r>
          </w:p>
        </w:tc>
        <w:tc>
          <w:tcPr>
            <w:tcW w:w="918" w:type="dxa"/>
            <w:gridSpan w:val="2"/>
            <w:hideMark/>
          </w:tcPr>
          <w:p w14:paraId="5231312C" w14:textId="442F432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4438590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40BD201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 of cases with NMO/NMOSD</w:t>
            </w:r>
          </w:p>
        </w:tc>
        <w:tc>
          <w:tcPr>
            <w:tcW w:w="1193" w:type="dxa"/>
            <w:hideMark/>
          </w:tcPr>
          <w:p w14:paraId="3283E59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090AF12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ELISA or cell-based assay (specific assay not stated)</w:t>
            </w:r>
          </w:p>
        </w:tc>
        <w:tc>
          <w:tcPr>
            <w:tcW w:w="893" w:type="dxa"/>
            <w:hideMark/>
          </w:tcPr>
          <w:p w14:paraId="08ACD1E2" w14:textId="7CEAD85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50.0</w:t>
            </w:r>
          </w:p>
        </w:tc>
        <w:tc>
          <w:tcPr>
            <w:tcW w:w="1233" w:type="dxa"/>
            <w:hideMark/>
          </w:tcPr>
          <w:p w14:paraId="68FC8D3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BC14C3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70</w:t>
            </w:r>
          </w:p>
        </w:tc>
        <w:tc>
          <w:tcPr>
            <w:tcW w:w="554" w:type="dxa"/>
            <w:gridSpan w:val="2"/>
            <w:hideMark/>
          </w:tcPr>
          <w:p w14:paraId="0195DB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58</w:t>
            </w:r>
          </w:p>
        </w:tc>
        <w:tc>
          <w:tcPr>
            <w:tcW w:w="425" w:type="dxa"/>
            <w:hideMark/>
          </w:tcPr>
          <w:p w14:paraId="6D1C6C0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hideMark/>
          </w:tcPr>
          <w:p w14:paraId="76693E7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28.9 ± 10.5</w:t>
            </w:r>
          </w:p>
        </w:tc>
        <w:tc>
          <w:tcPr>
            <w:tcW w:w="673" w:type="dxa"/>
            <w:gridSpan w:val="3"/>
            <w:hideMark/>
          </w:tcPr>
          <w:p w14:paraId="3E8ED651" w14:textId="5F4F2BB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8C0AEFB" w14:textId="301A1C2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63058695" w14:textId="0BEFF59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6608F332" w14:textId="275982D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066A2AE" w14:textId="34ECCA1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7C7B94B2" w14:textId="46BD64D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C04664E" w14:textId="151AA6B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3FD586F1" w14:textId="40B0034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DA6A5C3" w14:textId="6B0F6D1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D5611F1" w14:textId="77777777" w:rsidTr="008B36A4">
        <w:trPr>
          <w:cantSplit/>
          <w:trHeight w:val="57"/>
        </w:trPr>
        <w:tc>
          <w:tcPr>
            <w:tcW w:w="410" w:type="dxa"/>
            <w:noWrap/>
            <w:hideMark/>
          </w:tcPr>
          <w:p w14:paraId="0D910784" w14:textId="7BE87AC6"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0FDA0FF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3BA28B35" w14:textId="20BAEC27"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65C3575A" w14:textId="562A24E2"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11FB1581"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17A10F20"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E6BE1F5" w14:textId="14804343"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6BC85C9A"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00956FAB"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7FE9A000"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40AC18A3"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3B7F1ED4" w14:textId="5879D18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16CE8B4D"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0CC2CC1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w:t>
            </w:r>
          </w:p>
        </w:tc>
        <w:tc>
          <w:tcPr>
            <w:tcW w:w="554" w:type="dxa"/>
            <w:gridSpan w:val="2"/>
            <w:hideMark/>
          </w:tcPr>
          <w:p w14:paraId="281D1E6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29</w:t>
            </w:r>
          </w:p>
        </w:tc>
        <w:tc>
          <w:tcPr>
            <w:tcW w:w="425" w:type="dxa"/>
            <w:hideMark/>
          </w:tcPr>
          <w:p w14:paraId="0024DD5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1279" w:type="dxa"/>
            <w:gridSpan w:val="2"/>
            <w:hideMark/>
          </w:tcPr>
          <w:p w14:paraId="214B3C3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30.1 ± 9.3</w:t>
            </w:r>
          </w:p>
        </w:tc>
        <w:tc>
          <w:tcPr>
            <w:tcW w:w="673" w:type="dxa"/>
            <w:gridSpan w:val="3"/>
            <w:hideMark/>
          </w:tcPr>
          <w:p w14:paraId="5E5241B4" w14:textId="5FA943F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4AF8D4E" w14:textId="0EBC108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DCCA6EE" w14:textId="5B8971D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F2CB7C7" w14:textId="40DFFA3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193136E" w14:textId="60D01B7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25D1709" w14:textId="3833D6B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58499753" w14:textId="1075877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1A3F29F0" w14:textId="604B5D0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438AD6A" w14:textId="1885C0E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55BE792" w14:textId="77777777" w:rsidTr="008B36A4">
        <w:trPr>
          <w:cantSplit/>
          <w:trHeight w:val="188"/>
        </w:trPr>
        <w:tc>
          <w:tcPr>
            <w:tcW w:w="410" w:type="dxa"/>
            <w:noWrap/>
            <w:hideMark/>
          </w:tcPr>
          <w:p w14:paraId="19FB3A6C" w14:textId="6F1F7D6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8</w:t>
            </w:r>
          </w:p>
        </w:tc>
        <w:tc>
          <w:tcPr>
            <w:tcW w:w="437" w:type="dxa"/>
            <w:noWrap/>
            <w:hideMark/>
          </w:tcPr>
          <w:p w14:paraId="55FCFC0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55E6F1D" w14:textId="6033148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Kitley et al., 2014</w:t>
            </w:r>
            <w:r w:rsidR="00F0719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[64]</w:t>
            </w:r>
          </w:p>
        </w:tc>
        <w:tc>
          <w:tcPr>
            <w:tcW w:w="575" w:type="dxa"/>
            <w:gridSpan w:val="2"/>
            <w:hideMark/>
          </w:tcPr>
          <w:p w14:paraId="72D9970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2013</w:t>
            </w:r>
          </w:p>
        </w:tc>
        <w:tc>
          <w:tcPr>
            <w:tcW w:w="1030" w:type="dxa"/>
            <w:gridSpan w:val="2"/>
            <w:hideMark/>
          </w:tcPr>
          <w:p w14:paraId="2084E70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Oxford, UK</w:t>
            </w:r>
          </w:p>
        </w:tc>
        <w:tc>
          <w:tcPr>
            <w:tcW w:w="918" w:type="dxa"/>
            <w:gridSpan w:val="2"/>
          </w:tcPr>
          <w:p w14:paraId="5D167448" w14:textId="0E305AD2" w:rsidR="00F62694" w:rsidRPr="00C77BDD" w:rsidRDefault="007D284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82.99</w:t>
            </w:r>
          </w:p>
        </w:tc>
        <w:tc>
          <w:tcPr>
            <w:tcW w:w="918" w:type="dxa"/>
            <w:gridSpan w:val="2"/>
            <w:hideMark/>
          </w:tcPr>
          <w:p w14:paraId="7D1F8611" w14:textId="1E311C4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3D6730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3ACD3D4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Prospective clinical NMO database</w:t>
            </w:r>
          </w:p>
        </w:tc>
        <w:tc>
          <w:tcPr>
            <w:tcW w:w="1193" w:type="dxa"/>
            <w:hideMark/>
          </w:tcPr>
          <w:p w14:paraId="6EB4C1A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antibody positive</w:t>
            </w:r>
          </w:p>
        </w:tc>
        <w:tc>
          <w:tcPr>
            <w:tcW w:w="1358" w:type="dxa"/>
            <w:hideMark/>
          </w:tcPr>
          <w:p w14:paraId="277717D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Oxford, M23 AQP4 transfected HEK live cell-based assay</w:t>
            </w:r>
          </w:p>
        </w:tc>
        <w:tc>
          <w:tcPr>
            <w:tcW w:w="893" w:type="dxa"/>
            <w:hideMark/>
          </w:tcPr>
          <w:p w14:paraId="380905D6" w14:textId="5467045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4D31A50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495DA6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w:t>
            </w:r>
          </w:p>
        </w:tc>
        <w:tc>
          <w:tcPr>
            <w:tcW w:w="554" w:type="dxa"/>
            <w:gridSpan w:val="2"/>
            <w:hideMark/>
          </w:tcPr>
          <w:p w14:paraId="03E8BD3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w:t>
            </w:r>
          </w:p>
        </w:tc>
        <w:tc>
          <w:tcPr>
            <w:tcW w:w="425" w:type="dxa"/>
            <w:hideMark/>
          </w:tcPr>
          <w:p w14:paraId="12AEF2D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5CA70D7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44.9 ± 14.8</w:t>
            </w:r>
          </w:p>
        </w:tc>
        <w:tc>
          <w:tcPr>
            <w:tcW w:w="673" w:type="dxa"/>
            <w:gridSpan w:val="3"/>
            <w:hideMark/>
          </w:tcPr>
          <w:p w14:paraId="0FBCE654" w14:textId="058D51E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5CDCD24C" w14:textId="2005C68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E7C86C7" w14:textId="6E92E49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2A4B399D" w14:textId="75E0688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22EE1427" w14:textId="1BA6D36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287E706" w14:textId="502CE1C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52B69643" w14:textId="736906A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41AF7450" w14:textId="55DBEB4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30DF117" w14:textId="6831FEE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FDF59B7" w14:textId="77777777" w:rsidTr="008B36A4">
        <w:trPr>
          <w:cantSplit/>
          <w:trHeight w:val="71"/>
        </w:trPr>
        <w:tc>
          <w:tcPr>
            <w:tcW w:w="410" w:type="dxa"/>
            <w:noWrap/>
            <w:hideMark/>
          </w:tcPr>
          <w:p w14:paraId="41CFA68D" w14:textId="1C0A365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r>
              <w:rPr>
                <w:rFonts w:ascii="Arial" w:eastAsia="Times New Roman" w:hAnsi="Arial" w:cs="Arial"/>
                <w:color w:val="000000" w:themeColor="text1"/>
                <w:sz w:val="12"/>
                <w:szCs w:val="12"/>
                <w:lang w:eastAsia="en-AU"/>
              </w:rPr>
              <w:t>9</w:t>
            </w:r>
          </w:p>
        </w:tc>
        <w:tc>
          <w:tcPr>
            <w:tcW w:w="437" w:type="dxa"/>
            <w:noWrap/>
            <w:hideMark/>
          </w:tcPr>
          <w:p w14:paraId="5635593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57ADA08D" w14:textId="48E72285" w:rsidR="00F62694" w:rsidRPr="003370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Kleiter et al., 2016</w:t>
            </w:r>
            <w:r w:rsidR="00F0719E">
              <w:rPr>
                <w:rFonts w:ascii="Arial" w:eastAsia="Times New Roman" w:hAnsi="Arial" w:cs="Arial"/>
                <w:noProof/>
                <w:color w:val="000000" w:themeColor="text1"/>
                <w:sz w:val="12"/>
                <w:szCs w:val="12"/>
                <w:vertAlign w:val="superscript"/>
                <w:lang w:eastAsia="en-AU"/>
              </w:rPr>
              <w:t xml:space="preserve"> </w:t>
            </w:r>
            <w:r w:rsidR="001C1BFC">
              <w:rPr>
                <w:rFonts w:ascii="Arial" w:eastAsia="Times New Roman" w:hAnsi="Arial" w:cs="Arial"/>
                <w:noProof/>
                <w:color w:val="000000" w:themeColor="text1"/>
                <w:sz w:val="12"/>
                <w:szCs w:val="12"/>
                <w:lang w:eastAsia="en-AU"/>
              </w:rPr>
              <w:t>[65]</w:t>
            </w:r>
          </w:p>
        </w:tc>
        <w:tc>
          <w:tcPr>
            <w:tcW w:w="575" w:type="dxa"/>
            <w:gridSpan w:val="2"/>
            <w:hideMark/>
          </w:tcPr>
          <w:p w14:paraId="3AF512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2013</w:t>
            </w:r>
          </w:p>
        </w:tc>
        <w:tc>
          <w:tcPr>
            <w:tcW w:w="1030" w:type="dxa"/>
            <w:gridSpan w:val="2"/>
            <w:hideMark/>
          </w:tcPr>
          <w:p w14:paraId="66DFD4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Germany</w:t>
            </w:r>
          </w:p>
        </w:tc>
        <w:tc>
          <w:tcPr>
            <w:tcW w:w="918" w:type="dxa"/>
            <w:gridSpan w:val="2"/>
          </w:tcPr>
          <w:p w14:paraId="03FDFB3C" w14:textId="7323C150" w:rsidR="00F62694" w:rsidRPr="00C77BDD" w:rsidRDefault="007D2848"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84.77</w:t>
            </w:r>
          </w:p>
        </w:tc>
        <w:tc>
          <w:tcPr>
            <w:tcW w:w="918" w:type="dxa"/>
            <w:gridSpan w:val="2"/>
            <w:hideMark/>
          </w:tcPr>
          <w:p w14:paraId="1D80CC9C" w14:textId="186C0B6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1364C2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survey</w:t>
            </w:r>
          </w:p>
        </w:tc>
        <w:tc>
          <w:tcPr>
            <w:tcW w:w="1560" w:type="dxa"/>
            <w:hideMark/>
          </w:tcPr>
          <w:p w14:paraId="4B15031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NEMOS registry</w:t>
            </w:r>
          </w:p>
        </w:tc>
        <w:tc>
          <w:tcPr>
            <w:tcW w:w="1193" w:type="dxa"/>
            <w:hideMark/>
          </w:tcPr>
          <w:p w14:paraId="00251B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 or AQP4 antibody positive</w:t>
            </w:r>
          </w:p>
        </w:tc>
        <w:tc>
          <w:tcPr>
            <w:tcW w:w="1358" w:type="dxa"/>
            <w:hideMark/>
          </w:tcPr>
          <w:p w14:paraId="2AA9082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1D1C3D95" w14:textId="0F1DC26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84.3</w:t>
            </w:r>
          </w:p>
        </w:tc>
        <w:tc>
          <w:tcPr>
            <w:tcW w:w="1233" w:type="dxa"/>
            <w:hideMark/>
          </w:tcPr>
          <w:p w14:paraId="5F733CE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2F3E6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185</w:t>
            </w:r>
          </w:p>
        </w:tc>
        <w:tc>
          <w:tcPr>
            <w:tcW w:w="554" w:type="dxa"/>
            <w:gridSpan w:val="2"/>
            <w:hideMark/>
          </w:tcPr>
          <w:p w14:paraId="41E8FBA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152</w:t>
            </w:r>
          </w:p>
        </w:tc>
        <w:tc>
          <w:tcPr>
            <w:tcW w:w="425" w:type="dxa"/>
            <w:hideMark/>
          </w:tcPr>
          <w:p w14:paraId="220AA7E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33</w:t>
            </w:r>
          </w:p>
        </w:tc>
        <w:tc>
          <w:tcPr>
            <w:tcW w:w="1279" w:type="dxa"/>
            <w:gridSpan w:val="2"/>
            <w:hideMark/>
          </w:tcPr>
          <w:p w14:paraId="0DD752C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40.3 ± 14.9</w:t>
            </w:r>
          </w:p>
        </w:tc>
        <w:tc>
          <w:tcPr>
            <w:tcW w:w="673" w:type="dxa"/>
            <w:gridSpan w:val="3"/>
            <w:hideMark/>
          </w:tcPr>
          <w:p w14:paraId="188EA529" w14:textId="0DAA7EE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362D0B7" w14:textId="102925A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0EDC682" w14:textId="306E8CF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6CE554BF" w14:textId="7171183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4F11667" w14:textId="19D25B1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FF5405E" w14:textId="7FC4027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1EB30C8C" w14:textId="6A1BD8F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55F52BC1" w14:textId="7A68A0A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99C5D3C" w14:textId="5CA8ACC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457AA2B" w14:textId="77777777" w:rsidTr="008B36A4">
        <w:trPr>
          <w:cantSplit/>
          <w:trHeight w:val="57"/>
        </w:trPr>
        <w:tc>
          <w:tcPr>
            <w:tcW w:w="410" w:type="dxa"/>
            <w:noWrap/>
            <w:hideMark/>
          </w:tcPr>
          <w:p w14:paraId="76818F7A" w14:textId="3E024F23"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636A3EE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7DFBAF87" w14:textId="10920B7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Jarius et al., 2012</w:t>
            </w:r>
            <w:r w:rsidR="003370DD">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[114]</w:t>
            </w:r>
          </w:p>
        </w:tc>
        <w:tc>
          <w:tcPr>
            <w:tcW w:w="575" w:type="dxa"/>
            <w:gridSpan w:val="2"/>
            <w:hideMark/>
          </w:tcPr>
          <w:p w14:paraId="3B89D42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2011</w:t>
            </w:r>
          </w:p>
        </w:tc>
        <w:tc>
          <w:tcPr>
            <w:tcW w:w="1030" w:type="dxa"/>
            <w:gridSpan w:val="2"/>
            <w:hideMark/>
          </w:tcPr>
          <w:p w14:paraId="319D2E7E"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6D5F0340"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C060EA1" w14:textId="7A8C2471"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0F6C1FC4"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420B5D9F"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4913782D"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0AF620E8"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366770DE" w14:textId="03B8235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3961C32D"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7689569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137</w:t>
            </w:r>
          </w:p>
        </w:tc>
        <w:tc>
          <w:tcPr>
            <w:tcW w:w="554" w:type="dxa"/>
            <w:gridSpan w:val="2"/>
            <w:hideMark/>
          </w:tcPr>
          <w:p w14:paraId="0DCC808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125</w:t>
            </w:r>
          </w:p>
        </w:tc>
        <w:tc>
          <w:tcPr>
            <w:tcW w:w="425" w:type="dxa"/>
            <w:hideMark/>
          </w:tcPr>
          <w:p w14:paraId="796B9D9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hideMark/>
          </w:tcPr>
          <w:p w14:paraId="153090CE" w14:textId="67CAE3A1"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42.8 ± 13.6</w:t>
            </w:r>
            <w:r w:rsidRPr="008D1DC2">
              <w:rPr>
                <w:rFonts w:ascii="Arial" w:eastAsia="Times New Roman" w:hAnsi="Arial" w:cs="Arial"/>
                <w:color w:val="000000" w:themeColor="text1"/>
                <w:sz w:val="12"/>
                <w:szCs w:val="12"/>
                <w:vertAlign w:val="superscript"/>
                <w:lang w:eastAsia="en-AU"/>
              </w:rPr>
              <w:t>‡</w:t>
            </w:r>
          </w:p>
          <w:p w14:paraId="3088E4C6" w14:textId="5A0F39F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 (10 - 81)</w:t>
            </w:r>
          </w:p>
        </w:tc>
        <w:tc>
          <w:tcPr>
            <w:tcW w:w="673" w:type="dxa"/>
            <w:gridSpan w:val="3"/>
            <w:hideMark/>
          </w:tcPr>
          <w:p w14:paraId="0EBD47CA" w14:textId="50237BA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E77CB48" w14:textId="081E3B0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4BE33CB" w14:textId="1900EB8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2FD5B3C9" w14:textId="11AAD24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45EF2F9" w14:textId="0FE490F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399C02D7" w14:textId="5D11A63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125B76A" w14:textId="1C76A76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0EFA3806" w14:textId="14D7A32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04401D7" w14:textId="17F686A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88B6907" w14:textId="77777777" w:rsidTr="008B36A4">
        <w:trPr>
          <w:cantSplit/>
          <w:trHeight w:val="57"/>
        </w:trPr>
        <w:tc>
          <w:tcPr>
            <w:tcW w:w="410" w:type="dxa"/>
            <w:noWrap/>
            <w:hideMark/>
          </w:tcPr>
          <w:p w14:paraId="3227DFAE" w14:textId="7F72484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40</w:t>
            </w:r>
          </w:p>
        </w:tc>
        <w:tc>
          <w:tcPr>
            <w:tcW w:w="437" w:type="dxa"/>
            <w:noWrap/>
            <w:hideMark/>
          </w:tcPr>
          <w:p w14:paraId="3EBCE88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70328153" w14:textId="1AA2FCD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Mealy et al., 2018</w:t>
            </w:r>
            <w:r w:rsidR="0092704B">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[66]</w:t>
            </w:r>
          </w:p>
        </w:tc>
        <w:tc>
          <w:tcPr>
            <w:tcW w:w="575" w:type="dxa"/>
            <w:gridSpan w:val="2"/>
            <w:hideMark/>
          </w:tcPr>
          <w:p w14:paraId="5C9843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584FBFA7" w14:textId="73C15A7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 xml:space="preserve">Baltimore and New </w:t>
            </w:r>
            <w:r>
              <w:rPr>
                <w:rFonts w:ascii="Arial" w:eastAsia="Times New Roman" w:hAnsi="Arial" w:cs="Arial"/>
                <w:color w:val="000000" w:themeColor="text1"/>
                <w:sz w:val="12"/>
                <w:szCs w:val="12"/>
                <w:lang w:eastAsia="en-AU"/>
              </w:rPr>
              <w:t>Y</w:t>
            </w:r>
            <w:r w:rsidRPr="00C77BDD">
              <w:rPr>
                <w:rFonts w:ascii="Arial" w:eastAsia="Times New Roman" w:hAnsi="Arial" w:cs="Arial"/>
                <w:color w:val="000000" w:themeColor="text1"/>
                <w:sz w:val="12"/>
                <w:szCs w:val="12"/>
                <w:lang w:eastAsia="en-AU"/>
              </w:rPr>
              <w:t>ork, US</w:t>
            </w:r>
          </w:p>
        </w:tc>
        <w:tc>
          <w:tcPr>
            <w:tcW w:w="918" w:type="dxa"/>
            <w:gridSpan w:val="2"/>
          </w:tcPr>
          <w:p w14:paraId="376AB7BB" w14:textId="6ACEC5BE" w:rsidR="00F62694" w:rsidRPr="00C77BDD" w:rsidRDefault="00E25B49"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80.73</w:t>
            </w:r>
          </w:p>
        </w:tc>
        <w:tc>
          <w:tcPr>
            <w:tcW w:w="918" w:type="dxa"/>
            <w:gridSpan w:val="2"/>
            <w:hideMark/>
          </w:tcPr>
          <w:p w14:paraId="4EBA0449" w14:textId="5C6F5DB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 for mortality study</w:t>
            </w:r>
          </w:p>
        </w:tc>
        <w:tc>
          <w:tcPr>
            <w:tcW w:w="1378" w:type="dxa"/>
            <w:hideMark/>
          </w:tcPr>
          <w:p w14:paraId="51434A4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Two centres</w:t>
            </w:r>
          </w:p>
        </w:tc>
        <w:tc>
          <w:tcPr>
            <w:tcW w:w="1560" w:type="dxa"/>
            <w:hideMark/>
          </w:tcPr>
          <w:p w14:paraId="1D852C8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clinic-based survey</w:t>
            </w:r>
          </w:p>
        </w:tc>
        <w:tc>
          <w:tcPr>
            <w:tcW w:w="1193" w:type="dxa"/>
            <w:hideMark/>
          </w:tcPr>
          <w:p w14:paraId="190A33B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76F23A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3073CE4D" w14:textId="4A2FA6D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79.6</w:t>
            </w:r>
          </w:p>
        </w:tc>
        <w:tc>
          <w:tcPr>
            <w:tcW w:w="1233" w:type="dxa"/>
            <w:hideMark/>
          </w:tcPr>
          <w:p w14:paraId="65BE37C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D6F15B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427</w:t>
            </w:r>
          </w:p>
        </w:tc>
        <w:tc>
          <w:tcPr>
            <w:tcW w:w="554" w:type="dxa"/>
            <w:gridSpan w:val="2"/>
            <w:hideMark/>
          </w:tcPr>
          <w:p w14:paraId="39A1562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367</w:t>
            </w:r>
          </w:p>
        </w:tc>
        <w:tc>
          <w:tcPr>
            <w:tcW w:w="425" w:type="dxa"/>
            <w:hideMark/>
          </w:tcPr>
          <w:p w14:paraId="7D72672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60</w:t>
            </w:r>
          </w:p>
        </w:tc>
        <w:tc>
          <w:tcPr>
            <w:tcW w:w="1279" w:type="dxa"/>
            <w:gridSpan w:val="2"/>
            <w:hideMark/>
          </w:tcPr>
          <w:p w14:paraId="28ED7A8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39.9 ± 16.7</w:t>
            </w:r>
          </w:p>
        </w:tc>
        <w:tc>
          <w:tcPr>
            <w:tcW w:w="673" w:type="dxa"/>
            <w:gridSpan w:val="3"/>
            <w:hideMark/>
          </w:tcPr>
          <w:p w14:paraId="39832C18" w14:textId="20AD449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83F6962" w14:textId="7C11595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3BADE8C" w14:textId="01E0726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22F863C6" w14:textId="3A4721D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2E185E46" w14:textId="7F07D51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77E577DF" w14:textId="2BFF55D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9349B0D" w14:textId="09D44A9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322D1113" w14:textId="4D5DFB4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5F4C718" w14:textId="52D378D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2A62039" w14:textId="77777777" w:rsidTr="008B36A4">
        <w:trPr>
          <w:cantSplit/>
          <w:trHeight w:val="57"/>
        </w:trPr>
        <w:tc>
          <w:tcPr>
            <w:tcW w:w="410" w:type="dxa"/>
            <w:noWrap/>
            <w:hideMark/>
          </w:tcPr>
          <w:p w14:paraId="5748F79A" w14:textId="1C00156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1</w:t>
            </w:r>
          </w:p>
        </w:tc>
        <w:tc>
          <w:tcPr>
            <w:tcW w:w="437" w:type="dxa"/>
            <w:noWrap/>
            <w:hideMark/>
          </w:tcPr>
          <w:p w14:paraId="254FA26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7B16A3AE" w14:textId="4BF9818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Mireles-Ramirez et al., 2022</w:t>
            </w:r>
            <w:r w:rsidR="0092704B">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[67]</w:t>
            </w:r>
          </w:p>
        </w:tc>
        <w:tc>
          <w:tcPr>
            <w:tcW w:w="575" w:type="dxa"/>
            <w:gridSpan w:val="2"/>
            <w:hideMark/>
          </w:tcPr>
          <w:p w14:paraId="2E924EF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3DECEE4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Western Mexico</w:t>
            </w:r>
          </w:p>
        </w:tc>
        <w:tc>
          <w:tcPr>
            <w:tcW w:w="918" w:type="dxa"/>
            <w:gridSpan w:val="2"/>
          </w:tcPr>
          <w:p w14:paraId="70AE5849" w14:textId="571F78B1" w:rsidR="00F62694" w:rsidRPr="00C77BDD" w:rsidRDefault="00F44CB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78.86</w:t>
            </w:r>
          </w:p>
        </w:tc>
        <w:tc>
          <w:tcPr>
            <w:tcW w:w="918" w:type="dxa"/>
            <w:gridSpan w:val="2"/>
            <w:hideMark/>
          </w:tcPr>
          <w:p w14:paraId="1FB89C0B" w14:textId="78585B2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084706C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regional referral centre</w:t>
            </w:r>
          </w:p>
        </w:tc>
        <w:tc>
          <w:tcPr>
            <w:tcW w:w="1560" w:type="dxa"/>
            <w:hideMark/>
          </w:tcPr>
          <w:p w14:paraId="27DAA26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Consecutive cases at tertiary hospital</w:t>
            </w:r>
          </w:p>
        </w:tc>
        <w:tc>
          <w:tcPr>
            <w:tcW w:w="1193" w:type="dxa"/>
            <w:hideMark/>
          </w:tcPr>
          <w:p w14:paraId="0996360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62A3326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6F29536E" w14:textId="2120DD8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55.2</w:t>
            </w:r>
          </w:p>
        </w:tc>
        <w:tc>
          <w:tcPr>
            <w:tcW w:w="1233" w:type="dxa"/>
            <w:hideMark/>
          </w:tcPr>
          <w:p w14:paraId="1F72A3B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BFE732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67</w:t>
            </w:r>
          </w:p>
        </w:tc>
        <w:tc>
          <w:tcPr>
            <w:tcW w:w="554" w:type="dxa"/>
            <w:gridSpan w:val="2"/>
            <w:hideMark/>
          </w:tcPr>
          <w:p w14:paraId="3B954FD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50</w:t>
            </w:r>
          </w:p>
        </w:tc>
        <w:tc>
          <w:tcPr>
            <w:tcW w:w="425" w:type="dxa"/>
            <w:hideMark/>
          </w:tcPr>
          <w:p w14:paraId="6A24409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w:t>
            </w:r>
          </w:p>
        </w:tc>
        <w:tc>
          <w:tcPr>
            <w:tcW w:w="1279" w:type="dxa"/>
            <w:gridSpan w:val="2"/>
            <w:hideMark/>
          </w:tcPr>
          <w:p w14:paraId="47662871" w14:textId="352A47E6"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36.0 ±</w:t>
            </w:r>
          </w:p>
          <w:p w14:paraId="0BCFEDFB" w14:textId="5F93E28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 - 65)</w:t>
            </w:r>
          </w:p>
        </w:tc>
        <w:tc>
          <w:tcPr>
            <w:tcW w:w="673" w:type="dxa"/>
            <w:gridSpan w:val="3"/>
            <w:hideMark/>
          </w:tcPr>
          <w:p w14:paraId="42E95DF8" w14:textId="3C95318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DC6DE3F" w14:textId="5103ABD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148C0A0" w14:textId="392FB93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F127444" w14:textId="1190922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203531C" w14:textId="4D1D67F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4981D22" w14:textId="08C5554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AA27186" w14:textId="42B6039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74EA2028" w14:textId="3FB1C77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4E08FBF" w14:textId="7836C6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6E6F698" w14:textId="77777777" w:rsidTr="008B36A4">
        <w:trPr>
          <w:cantSplit/>
          <w:trHeight w:val="57"/>
        </w:trPr>
        <w:tc>
          <w:tcPr>
            <w:tcW w:w="410" w:type="dxa"/>
            <w:noWrap/>
            <w:hideMark/>
          </w:tcPr>
          <w:p w14:paraId="7A2EF69B" w14:textId="5205FEE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2</w:t>
            </w:r>
          </w:p>
        </w:tc>
        <w:tc>
          <w:tcPr>
            <w:tcW w:w="437" w:type="dxa"/>
            <w:noWrap/>
            <w:hideMark/>
          </w:tcPr>
          <w:p w14:paraId="76B7989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7C658B21" w14:textId="05B68DD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Mirmosayyeb et al., 2021</w:t>
            </w:r>
            <w:r w:rsidR="0092704B">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[68]</w:t>
            </w:r>
          </w:p>
        </w:tc>
        <w:tc>
          <w:tcPr>
            <w:tcW w:w="575" w:type="dxa"/>
            <w:gridSpan w:val="2"/>
            <w:hideMark/>
          </w:tcPr>
          <w:p w14:paraId="5E976CB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2021</w:t>
            </w:r>
          </w:p>
        </w:tc>
        <w:tc>
          <w:tcPr>
            <w:tcW w:w="1030" w:type="dxa"/>
            <w:gridSpan w:val="2"/>
            <w:hideMark/>
          </w:tcPr>
          <w:p w14:paraId="7231BE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Isfahan, Iran</w:t>
            </w:r>
          </w:p>
        </w:tc>
        <w:tc>
          <w:tcPr>
            <w:tcW w:w="918" w:type="dxa"/>
            <w:gridSpan w:val="2"/>
          </w:tcPr>
          <w:p w14:paraId="137B2781" w14:textId="5BCF17B0" w:rsidR="00F62694" w:rsidRPr="00C77BDD" w:rsidRDefault="00F44CB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79.09</w:t>
            </w:r>
          </w:p>
        </w:tc>
        <w:tc>
          <w:tcPr>
            <w:tcW w:w="918" w:type="dxa"/>
            <w:gridSpan w:val="2"/>
            <w:hideMark/>
          </w:tcPr>
          <w:p w14:paraId="3F57576F" w14:textId="546DCDC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14C2049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7236980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CND demyelinating disease clinic survey</w:t>
            </w:r>
          </w:p>
        </w:tc>
        <w:tc>
          <w:tcPr>
            <w:tcW w:w="1193" w:type="dxa"/>
            <w:hideMark/>
          </w:tcPr>
          <w:p w14:paraId="337229F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DC0CD3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51CFD7F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2D9D953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11735C4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220</w:t>
            </w:r>
          </w:p>
        </w:tc>
        <w:tc>
          <w:tcPr>
            <w:tcW w:w="554" w:type="dxa"/>
            <w:gridSpan w:val="2"/>
            <w:hideMark/>
          </w:tcPr>
          <w:p w14:paraId="11A86AE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167</w:t>
            </w:r>
          </w:p>
        </w:tc>
        <w:tc>
          <w:tcPr>
            <w:tcW w:w="425" w:type="dxa"/>
            <w:hideMark/>
          </w:tcPr>
          <w:p w14:paraId="05193E7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53</w:t>
            </w:r>
          </w:p>
        </w:tc>
        <w:tc>
          <w:tcPr>
            <w:tcW w:w="1279" w:type="dxa"/>
            <w:gridSpan w:val="2"/>
            <w:hideMark/>
          </w:tcPr>
          <w:p w14:paraId="347D1C7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673" w:type="dxa"/>
            <w:gridSpan w:val="3"/>
            <w:hideMark/>
          </w:tcPr>
          <w:p w14:paraId="3EB9C989" w14:textId="25DEB4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8757178" w14:textId="68CACDD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4C8F0D97" w14:textId="1BD5D82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27094395" w14:textId="766E87A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3" w:type="dxa"/>
            <w:gridSpan w:val="3"/>
            <w:hideMark/>
          </w:tcPr>
          <w:p w14:paraId="297269EC" w14:textId="3D770F3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5563E74" w14:textId="027372A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8A6B90F" w14:textId="29F83B9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2F167B3F" w14:textId="1E4108A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C82F10A" w14:textId="4291A1F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1CE2CCB" w14:textId="77777777" w:rsidTr="008B36A4">
        <w:trPr>
          <w:cantSplit/>
          <w:trHeight w:val="271"/>
        </w:trPr>
        <w:tc>
          <w:tcPr>
            <w:tcW w:w="410" w:type="dxa"/>
            <w:noWrap/>
            <w:hideMark/>
          </w:tcPr>
          <w:p w14:paraId="758F14B6" w14:textId="7B10AAC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3</w:t>
            </w:r>
          </w:p>
        </w:tc>
        <w:tc>
          <w:tcPr>
            <w:tcW w:w="437" w:type="dxa"/>
            <w:noWrap/>
            <w:hideMark/>
          </w:tcPr>
          <w:p w14:paraId="0D1A6EC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A176D21" w14:textId="4A68B51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Miyamoto et al., 201</w:t>
            </w:r>
            <w:r>
              <w:rPr>
                <w:rFonts w:ascii="Arial" w:eastAsia="Times New Roman" w:hAnsi="Arial" w:cs="Arial"/>
                <w:color w:val="000000" w:themeColor="text1"/>
                <w:sz w:val="12"/>
                <w:szCs w:val="12"/>
                <w:lang w:eastAsia="en-AU"/>
              </w:rPr>
              <w:t>8</w:t>
            </w:r>
            <w:r w:rsidR="00BB7DA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[69]</w:t>
            </w:r>
          </w:p>
        </w:tc>
        <w:tc>
          <w:tcPr>
            <w:tcW w:w="575" w:type="dxa"/>
            <w:gridSpan w:val="2"/>
            <w:hideMark/>
          </w:tcPr>
          <w:p w14:paraId="7FC2595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2011</w:t>
            </w:r>
          </w:p>
        </w:tc>
        <w:tc>
          <w:tcPr>
            <w:tcW w:w="1030" w:type="dxa"/>
            <w:gridSpan w:val="2"/>
            <w:hideMark/>
          </w:tcPr>
          <w:p w14:paraId="5DEB1E7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Japan</w:t>
            </w:r>
          </w:p>
        </w:tc>
        <w:tc>
          <w:tcPr>
            <w:tcW w:w="918" w:type="dxa"/>
            <w:gridSpan w:val="2"/>
          </w:tcPr>
          <w:p w14:paraId="3C1F8D68" w14:textId="168C0481" w:rsidR="00F62694" w:rsidRPr="00C77BDD" w:rsidRDefault="00126DB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86.94</w:t>
            </w:r>
          </w:p>
        </w:tc>
        <w:tc>
          <w:tcPr>
            <w:tcW w:w="918" w:type="dxa"/>
            <w:gridSpan w:val="2"/>
            <w:hideMark/>
          </w:tcPr>
          <w:p w14:paraId="45E1C497" w14:textId="4B9206E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013F9E3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Nationwide survey</w:t>
            </w:r>
          </w:p>
        </w:tc>
        <w:tc>
          <w:tcPr>
            <w:tcW w:w="1560" w:type="dxa"/>
            <w:hideMark/>
          </w:tcPr>
          <w:p w14:paraId="00A550C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Clinic-based random sampling</w:t>
            </w:r>
          </w:p>
        </w:tc>
        <w:tc>
          <w:tcPr>
            <w:tcW w:w="1193" w:type="dxa"/>
            <w:hideMark/>
          </w:tcPr>
          <w:p w14:paraId="611920A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1C07D3F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1C7D5E3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1094E55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B2FD1C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1042</w:t>
            </w:r>
          </w:p>
        </w:tc>
        <w:tc>
          <w:tcPr>
            <w:tcW w:w="554" w:type="dxa"/>
            <w:gridSpan w:val="2"/>
            <w:hideMark/>
          </w:tcPr>
          <w:p w14:paraId="3490044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901</w:t>
            </w:r>
          </w:p>
        </w:tc>
        <w:tc>
          <w:tcPr>
            <w:tcW w:w="425" w:type="dxa"/>
            <w:hideMark/>
          </w:tcPr>
          <w:p w14:paraId="1401061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141</w:t>
            </w:r>
          </w:p>
        </w:tc>
        <w:tc>
          <w:tcPr>
            <w:tcW w:w="1279" w:type="dxa"/>
            <w:gridSpan w:val="2"/>
            <w:hideMark/>
          </w:tcPr>
          <w:p w14:paraId="29C68F80" w14:textId="77777777" w:rsidR="00F62694"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42.2 ±</w:t>
            </w:r>
          </w:p>
          <w:p w14:paraId="06536239" w14:textId="49F9D147" w:rsidR="00F62694" w:rsidRPr="00C77BDD" w:rsidRDefault="00F62694" w:rsidP="00C77BDD">
            <w:pPr>
              <w:rPr>
                <w:rFonts w:ascii="Arial" w:eastAsia="Times New Roman" w:hAnsi="Arial" w:cs="Arial"/>
                <w:color w:val="000000" w:themeColor="text1"/>
                <w:sz w:val="12"/>
                <w:szCs w:val="12"/>
                <w:lang w:eastAsia="en-AU"/>
              </w:rPr>
            </w:pPr>
          </w:p>
        </w:tc>
        <w:tc>
          <w:tcPr>
            <w:tcW w:w="673" w:type="dxa"/>
            <w:gridSpan w:val="3"/>
            <w:hideMark/>
          </w:tcPr>
          <w:p w14:paraId="47EBCB38" w14:textId="3D880D5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BE00B1F" w14:textId="361FE0A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D176DB2" w14:textId="1625FE1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26D7F971" w14:textId="445C04A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6892B3C" w14:textId="38375F1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74C65B4" w14:textId="4385249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8E67A1D" w14:textId="10EE1FB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6CE78E90" w14:textId="4E6AA7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A5516F6" w14:textId="7546954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08965AA" w14:textId="77777777" w:rsidTr="008B36A4">
        <w:trPr>
          <w:cantSplit/>
          <w:trHeight w:val="132"/>
        </w:trPr>
        <w:tc>
          <w:tcPr>
            <w:tcW w:w="410" w:type="dxa"/>
            <w:noWrap/>
            <w:hideMark/>
          </w:tcPr>
          <w:p w14:paraId="4D993F30" w14:textId="79A2C9AD"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0B19ED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7CB18D25" w14:textId="2347B1F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Nagaishi et al., 2011</w:t>
            </w:r>
            <w:r w:rsidR="00BB7DA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[115]</w:t>
            </w:r>
          </w:p>
        </w:tc>
        <w:tc>
          <w:tcPr>
            <w:tcW w:w="575" w:type="dxa"/>
            <w:gridSpan w:val="2"/>
            <w:hideMark/>
          </w:tcPr>
          <w:p w14:paraId="4280AD0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2011</w:t>
            </w:r>
          </w:p>
        </w:tc>
        <w:tc>
          <w:tcPr>
            <w:tcW w:w="1030" w:type="dxa"/>
            <w:gridSpan w:val="2"/>
            <w:hideMark/>
          </w:tcPr>
          <w:p w14:paraId="5D7B485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50EA4528"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D6A4AF3" w14:textId="434F367E"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71CA3B2B"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764CDA3A"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7D5CDBC7"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6E68531B"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19B85188" w14:textId="04DF3FD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4F1C7DE9"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131733A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549</w:t>
            </w:r>
          </w:p>
        </w:tc>
        <w:tc>
          <w:tcPr>
            <w:tcW w:w="554" w:type="dxa"/>
            <w:gridSpan w:val="2"/>
            <w:hideMark/>
          </w:tcPr>
          <w:p w14:paraId="7C24751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502</w:t>
            </w:r>
          </w:p>
        </w:tc>
        <w:tc>
          <w:tcPr>
            <w:tcW w:w="425" w:type="dxa"/>
            <w:hideMark/>
          </w:tcPr>
          <w:p w14:paraId="1DADBA4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47</w:t>
            </w:r>
          </w:p>
        </w:tc>
        <w:tc>
          <w:tcPr>
            <w:tcW w:w="1279" w:type="dxa"/>
            <w:gridSpan w:val="2"/>
            <w:hideMark/>
          </w:tcPr>
          <w:p w14:paraId="3F5957B9" w14:textId="1D9DC61E"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44.3 ± 13.5</w:t>
            </w:r>
            <w:r w:rsidRPr="008D1DC2">
              <w:rPr>
                <w:rFonts w:ascii="Arial" w:eastAsia="Times New Roman" w:hAnsi="Arial" w:cs="Arial"/>
                <w:color w:val="000000" w:themeColor="text1"/>
                <w:sz w:val="12"/>
                <w:szCs w:val="12"/>
                <w:vertAlign w:val="superscript"/>
                <w:lang w:eastAsia="en-AU"/>
              </w:rPr>
              <w:t>‡</w:t>
            </w:r>
          </w:p>
          <w:p w14:paraId="2CCFAFBA" w14:textId="6EE0C10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44 (3 - 86)</w:t>
            </w:r>
          </w:p>
        </w:tc>
        <w:tc>
          <w:tcPr>
            <w:tcW w:w="673" w:type="dxa"/>
            <w:gridSpan w:val="3"/>
            <w:hideMark/>
          </w:tcPr>
          <w:p w14:paraId="36953110" w14:textId="6274A6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487F906" w14:textId="6B18AA8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F691639" w14:textId="6CC3176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D8667A4" w14:textId="49DA99B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842DDBC" w14:textId="70ABB29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841695C" w14:textId="228A60F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073D620" w14:textId="1F0B555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66EA4C16" w14:textId="591DD43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575C641" w14:textId="3646494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1A2747D" w14:textId="77777777" w:rsidTr="008B36A4">
        <w:trPr>
          <w:cantSplit/>
          <w:trHeight w:val="278"/>
        </w:trPr>
        <w:tc>
          <w:tcPr>
            <w:tcW w:w="410" w:type="dxa"/>
            <w:noWrap/>
            <w:hideMark/>
          </w:tcPr>
          <w:p w14:paraId="320DE8BA" w14:textId="2D70EC0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4</w:t>
            </w:r>
          </w:p>
        </w:tc>
        <w:tc>
          <w:tcPr>
            <w:tcW w:w="437" w:type="dxa"/>
            <w:noWrap/>
            <w:hideMark/>
          </w:tcPr>
          <w:p w14:paraId="5AA5E35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9104A2E" w14:textId="5168395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Netravathi et al., 2019</w:t>
            </w:r>
            <w:r w:rsidR="00BB7DA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[70]</w:t>
            </w:r>
          </w:p>
        </w:tc>
        <w:tc>
          <w:tcPr>
            <w:tcW w:w="575" w:type="dxa"/>
            <w:gridSpan w:val="2"/>
            <w:hideMark/>
          </w:tcPr>
          <w:p w14:paraId="70FA8B5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56C0977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Bangalore, India</w:t>
            </w:r>
          </w:p>
        </w:tc>
        <w:tc>
          <w:tcPr>
            <w:tcW w:w="918" w:type="dxa"/>
            <w:gridSpan w:val="2"/>
          </w:tcPr>
          <w:p w14:paraId="224FF724" w14:textId="1C393042" w:rsidR="00F62694" w:rsidRPr="00C77BDD" w:rsidRDefault="00126DB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72.17</w:t>
            </w:r>
          </w:p>
        </w:tc>
        <w:tc>
          <w:tcPr>
            <w:tcW w:w="918" w:type="dxa"/>
            <w:gridSpan w:val="2"/>
            <w:hideMark/>
          </w:tcPr>
          <w:p w14:paraId="235DBCD8" w14:textId="34C91C5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E2271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6A607D3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study at tertiary hospital</w:t>
            </w:r>
          </w:p>
        </w:tc>
        <w:tc>
          <w:tcPr>
            <w:tcW w:w="1193" w:type="dxa"/>
            <w:hideMark/>
          </w:tcPr>
          <w:p w14:paraId="12B0B1A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 + AQP4 antibody positive</w:t>
            </w:r>
          </w:p>
        </w:tc>
        <w:tc>
          <w:tcPr>
            <w:tcW w:w="1358" w:type="dxa"/>
            <w:hideMark/>
          </w:tcPr>
          <w:p w14:paraId="1F9CF5A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03B613E9" w14:textId="03A0CCA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7B267CB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E8BD66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101</w:t>
            </w:r>
          </w:p>
        </w:tc>
        <w:tc>
          <w:tcPr>
            <w:tcW w:w="554" w:type="dxa"/>
            <w:gridSpan w:val="2"/>
            <w:hideMark/>
          </w:tcPr>
          <w:p w14:paraId="25ADA19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90</w:t>
            </w:r>
          </w:p>
        </w:tc>
        <w:tc>
          <w:tcPr>
            <w:tcW w:w="425" w:type="dxa"/>
            <w:hideMark/>
          </w:tcPr>
          <w:p w14:paraId="111DB63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w:t>
            </w:r>
          </w:p>
        </w:tc>
        <w:tc>
          <w:tcPr>
            <w:tcW w:w="1279" w:type="dxa"/>
            <w:gridSpan w:val="2"/>
            <w:hideMark/>
          </w:tcPr>
          <w:p w14:paraId="08CFFCA8"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31.0 ± 12.5</w:t>
            </w:r>
          </w:p>
          <w:p w14:paraId="3BE51076" w14:textId="096F2AF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(9 - 65)</w:t>
            </w:r>
          </w:p>
        </w:tc>
        <w:tc>
          <w:tcPr>
            <w:tcW w:w="673" w:type="dxa"/>
            <w:gridSpan w:val="3"/>
            <w:hideMark/>
          </w:tcPr>
          <w:p w14:paraId="5DB55196" w14:textId="5938B60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007D5B7" w14:textId="3F49210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79E8860" w14:textId="31BC67A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7E29BE0" w14:textId="31D940D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B82A16B" w14:textId="5BD94C3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D772C76" w14:textId="5B5B64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4FF1733F" w14:textId="4F4060D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7CDF238E" w14:textId="0179B83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1763FF77" w14:textId="3ED544B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4C789D4" w14:textId="77777777" w:rsidTr="008B36A4">
        <w:trPr>
          <w:cantSplit/>
          <w:trHeight w:val="57"/>
        </w:trPr>
        <w:tc>
          <w:tcPr>
            <w:tcW w:w="410" w:type="dxa"/>
            <w:noWrap/>
            <w:hideMark/>
          </w:tcPr>
          <w:p w14:paraId="005BD786" w14:textId="37DC9F2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5</w:t>
            </w:r>
          </w:p>
        </w:tc>
        <w:tc>
          <w:tcPr>
            <w:tcW w:w="437" w:type="dxa"/>
            <w:noWrap/>
            <w:hideMark/>
          </w:tcPr>
          <w:p w14:paraId="5E67E9B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537F3BD3" w14:textId="46C9AE9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Pandit &amp; Kundapur., 2014</w:t>
            </w:r>
            <w:r w:rsidR="00197C91">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[71]</w:t>
            </w:r>
          </w:p>
        </w:tc>
        <w:tc>
          <w:tcPr>
            <w:tcW w:w="575" w:type="dxa"/>
            <w:gridSpan w:val="2"/>
            <w:hideMark/>
          </w:tcPr>
          <w:p w14:paraId="5326E40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2013</w:t>
            </w:r>
          </w:p>
        </w:tc>
        <w:tc>
          <w:tcPr>
            <w:tcW w:w="1030" w:type="dxa"/>
            <w:gridSpan w:val="2"/>
            <w:hideMark/>
          </w:tcPr>
          <w:p w14:paraId="1607646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Mangalore, India</w:t>
            </w:r>
          </w:p>
        </w:tc>
        <w:tc>
          <w:tcPr>
            <w:tcW w:w="918" w:type="dxa"/>
            <w:gridSpan w:val="2"/>
          </w:tcPr>
          <w:p w14:paraId="3C8D895B" w14:textId="58FD1C82" w:rsidR="00F62694" w:rsidRPr="00C77BDD" w:rsidRDefault="00126DB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72.17</w:t>
            </w:r>
          </w:p>
        </w:tc>
        <w:tc>
          <w:tcPr>
            <w:tcW w:w="918" w:type="dxa"/>
            <w:gridSpan w:val="2"/>
            <w:hideMark/>
          </w:tcPr>
          <w:p w14:paraId="77EDC7BB" w14:textId="3699924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78144B9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Clinic-based survey</w:t>
            </w:r>
          </w:p>
        </w:tc>
        <w:tc>
          <w:tcPr>
            <w:tcW w:w="1560" w:type="dxa"/>
            <w:hideMark/>
          </w:tcPr>
          <w:p w14:paraId="3DA4C70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Prospectively maintained CNS demyelinating disease registry</w:t>
            </w:r>
          </w:p>
        </w:tc>
        <w:tc>
          <w:tcPr>
            <w:tcW w:w="1193" w:type="dxa"/>
            <w:hideMark/>
          </w:tcPr>
          <w:p w14:paraId="75745C6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2006/2007</w:t>
            </w:r>
          </w:p>
        </w:tc>
        <w:tc>
          <w:tcPr>
            <w:tcW w:w="1358" w:type="dxa"/>
            <w:hideMark/>
          </w:tcPr>
          <w:p w14:paraId="0C09440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18E896E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2DF1F38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617A90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w:t>
            </w:r>
          </w:p>
        </w:tc>
        <w:tc>
          <w:tcPr>
            <w:tcW w:w="554" w:type="dxa"/>
            <w:gridSpan w:val="2"/>
            <w:hideMark/>
          </w:tcPr>
          <w:p w14:paraId="44BC537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425" w:type="dxa"/>
            <w:hideMark/>
          </w:tcPr>
          <w:p w14:paraId="07DB32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1279" w:type="dxa"/>
            <w:gridSpan w:val="2"/>
            <w:hideMark/>
          </w:tcPr>
          <w:p w14:paraId="7F25C302" w14:textId="7333DBC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40.3 ± 12.5</w:t>
            </w:r>
            <w:r w:rsidRPr="008D1DC2">
              <w:rPr>
                <w:rFonts w:ascii="Arial" w:eastAsia="Times New Roman" w:hAnsi="Arial" w:cs="Arial"/>
                <w:color w:val="000000" w:themeColor="text1"/>
                <w:sz w:val="12"/>
                <w:szCs w:val="12"/>
                <w:vertAlign w:val="superscript"/>
                <w:lang w:eastAsia="en-AU"/>
              </w:rPr>
              <w:t>‡</w:t>
            </w:r>
          </w:p>
        </w:tc>
        <w:tc>
          <w:tcPr>
            <w:tcW w:w="673" w:type="dxa"/>
            <w:gridSpan w:val="3"/>
            <w:hideMark/>
          </w:tcPr>
          <w:p w14:paraId="66B71A69" w14:textId="6008243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97D238F" w14:textId="48B63B8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0C9F0A0" w14:textId="5A6CEB7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0E211580" w14:textId="34BD7EA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26428E38" w14:textId="1281D0A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256AF17" w14:textId="7BF3BCD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28800C3" w14:textId="6AAF7C9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269218E6" w14:textId="1FE25DD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DD20426" w14:textId="216A6DC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9064BB3" w14:textId="77777777" w:rsidTr="008B36A4">
        <w:trPr>
          <w:cantSplit/>
          <w:trHeight w:val="57"/>
        </w:trPr>
        <w:tc>
          <w:tcPr>
            <w:tcW w:w="410" w:type="dxa"/>
            <w:noWrap/>
            <w:hideMark/>
          </w:tcPr>
          <w:p w14:paraId="05FF6462" w14:textId="0A4644F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6</w:t>
            </w:r>
          </w:p>
        </w:tc>
        <w:tc>
          <w:tcPr>
            <w:tcW w:w="437" w:type="dxa"/>
            <w:noWrap/>
            <w:hideMark/>
          </w:tcPr>
          <w:p w14:paraId="31BAB95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364880E" w14:textId="355F383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Papais-Alvarenga et al., 2015</w:t>
            </w:r>
            <w:r w:rsidR="00EE5CA7">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[72]</w:t>
            </w:r>
            <w:r>
              <w:rPr>
                <w:rFonts w:ascii="Arial" w:eastAsia="Times New Roman" w:hAnsi="Arial" w:cs="Arial"/>
                <w:color w:val="000000" w:themeColor="text1"/>
                <w:sz w:val="12"/>
                <w:szCs w:val="12"/>
                <w:lang w:eastAsia="en-AU"/>
              </w:rPr>
              <w:t>*</w:t>
            </w:r>
          </w:p>
        </w:tc>
        <w:tc>
          <w:tcPr>
            <w:tcW w:w="575" w:type="dxa"/>
            <w:gridSpan w:val="2"/>
            <w:hideMark/>
          </w:tcPr>
          <w:p w14:paraId="22C4784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2011</w:t>
            </w:r>
          </w:p>
        </w:tc>
        <w:tc>
          <w:tcPr>
            <w:tcW w:w="1030" w:type="dxa"/>
            <w:gridSpan w:val="2"/>
            <w:hideMark/>
          </w:tcPr>
          <w:p w14:paraId="6647D51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South America</w:t>
            </w:r>
          </w:p>
        </w:tc>
        <w:tc>
          <w:tcPr>
            <w:tcW w:w="918" w:type="dxa"/>
            <w:gridSpan w:val="2"/>
          </w:tcPr>
          <w:p w14:paraId="0F259172" w14:textId="745109D7" w:rsidR="00F62694" w:rsidRPr="00C77BDD" w:rsidRDefault="00126DB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79.39</w:t>
            </w:r>
          </w:p>
        </w:tc>
        <w:tc>
          <w:tcPr>
            <w:tcW w:w="918" w:type="dxa"/>
            <w:gridSpan w:val="2"/>
            <w:hideMark/>
          </w:tcPr>
          <w:p w14:paraId="053DF9B8" w14:textId="4548A66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35A1ADD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1696A1B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Cross-sectional survey across MS centres</w:t>
            </w:r>
          </w:p>
        </w:tc>
        <w:tc>
          <w:tcPr>
            <w:tcW w:w="1193" w:type="dxa"/>
            <w:hideMark/>
          </w:tcPr>
          <w:p w14:paraId="2BC7B5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2006/2007</w:t>
            </w:r>
          </w:p>
        </w:tc>
        <w:tc>
          <w:tcPr>
            <w:tcW w:w="1358" w:type="dxa"/>
            <w:hideMark/>
          </w:tcPr>
          <w:p w14:paraId="279B8F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057B8CC3" w14:textId="4AD73F2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42.0</w:t>
            </w:r>
          </w:p>
        </w:tc>
        <w:tc>
          <w:tcPr>
            <w:tcW w:w="1233" w:type="dxa"/>
            <w:hideMark/>
          </w:tcPr>
          <w:p w14:paraId="6FD3D77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2CFD42F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226</w:t>
            </w:r>
          </w:p>
        </w:tc>
        <w:tc>
          <w:tcPr>
            <w:tcW w:w="554" w:type="dxa"/>
            <w:gridSpan w:val="2"/>
            <w:hideMark/>
          </w:tcPr>
          <w:p w14:paraId="0AFF2F6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191</w:t>
            </w:r>
          </w:p>
        </w:tc>
        <w:tc>
          <w:tcPr>
            <w:tcW w:w="425" w:type="dxa"/>
            <w:hideMark/>
          </w:tcPr>
          <w:p w14:paraId="7AC9B62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w:t>
            </w:r>
          </w:p>
        </w:tc>
        <w:tc>
          <w:tcPr>
            <w:tcW w:w="1279" w:type="dxa"/>
            <w:gridSpan w:val="2"/>
            <w:hideMark/>
          </w:tcPr>
          <w:p w14:paraId="7753EAF6"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31.2 ± 13.5</w:t>
            </w:r>
          </w:p>
          <w:p w14:paraId="275D605E" w14:textId="144D5F7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(2 - 68)</w:t>
            </w:r>
          </w:p>
        </w:tc>
        <w:tc>
          <w:tcPr>
            <w:tcW w:w="673" w:type="dxa"/>
            <w:gridSpan w:val="3"/>
            <w:hideMark/>
          </w:tcPr>
          <w:p w14:paraId="4446AF2B" w14:textId="1C7E875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66BAE73A" w14:textId="477D7F2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B457769" w14:textId="5C9EDC3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2302BABB" w14:textId="35C2DF5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AC26BA1" w14:textId="5370BF0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FA7D535" w14:textId="64814B6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4AB244C" w14:textId="2863248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649C73D7" w14:textId="7E298EB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114DF3D" w14:textId="059B2F4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B492ED7" w14:textId="77777777" w:rsidTr="008B36A4">
        <w:trPr>
          <w:cantSplit/>
          <w:trHeight w:val="57"/>
        </w:trPr>
        <w:tc>
          <w:tcPr>
            <w:tcW w:w="410" w:type="dxa"/>
            <w:noWrap/>
            <w:hideMark/>
          </w:tcPr>
          <w:p w14:paraId="4192D96F" w14:textId="3869732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7</w:t>
            </w:r>
          </w:p>
        </w:tc>
        <w:tc>
          <w:tcPr>
            <w:tcW w:w="437" w:type="dxa"/>
            <w:noWrap/>
            <w:hideMark/>
          </w:tcPr>
          <w:p w14:paraId="39AC552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34AE314" w14:textId="48E819B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Papp et al., 2020</w:t>
            </w:r>
            <w:r w:rsidR="00EE5CA7">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[73]</w:t>
            </w:r>
          </w:p>
        </w:tc>
        <w:tc>
          <w:tcPr>
            <w:tcW w:w="575" w:type="dxa"/>
            <w:gridSpan w:val="2"/>
            <w:hideMark/>
          </w:tcPr>
          <w:p w14:paraId="0AF6350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2016</w:t>
            </w:r>
          </w:p>
        </w:tc>
        <w:tc>
          <w:tcPr>
            <w:tcW w:w="1030" w:type="dxa"/>
            <w:gridSpan w:val="2"/>
            <w:hideMark/>
          </w:tcPr>
          <w:p w14:paraId="225E3C2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Budapest, Hungary</w:t>
            </w:r>
          </w:p>
        </w:tc>
        <w:tc>
          <w:tcPr>
            <w:tcW w:w="918" w:type="dxa"/>
            <w:gridSpan w:val="2"/>
          </w:tcPr>
          <w:p w14:paraId="632866A8" w14:textId="3E2F993A" w:rsidR="00F62694" w:rsidRPr="00C77BDD" w:rsidRDefault="00126DB0"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79.59</w:t>
            </w:r>
          </w:p>
        </w:tc>
        <w:tc>
          <w:tcPr>
            <w:tcW w:w="918" w:type="dxa"/>
            <w:gridSpan w:val="2"/>
            <w:hideMark/>
          </w:tcPr>
          <w:p w14:paraId="1F35CAEE" w14:textId="7FCFD4E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6DB6DD8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 population-based survey</w:t>
            </w:r>
          </w:p>
        </w:tc>
        <w:tc>
          <w:tcPr>
            <w:tcW w:w="1560" w:type="dxa"/>
            <w:hideMark/>
          </w:tcPr>
          <w:p w14:paraId="1B5D98C7" w14:textId="5A88AD1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Positive AQP4 antibody result from participating laboratories.</w:t>
            </w:r>
          </w:p>
        </w:tc>
        <w:tc>
          <w:tcPr>
            <w:tcW w:w="1193" w:type="dxa"/>
            <w:hideMark/>
          </w:tcPr>
          <w:p w14:paraId="70BAD33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4A451B4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transfected fixed cell-based assay</w:t>
            </w:r>
          </w:p>
        </w:tc>
        <w:tc>
          <w:tcPr>
            <w:tcW w:w="893" w:type="dxa"/>
            <w:hideMark/>
          </w:tcPr>
          <w:p w14:paraId="42B57270" w14:textId="3E9EFFB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83.1</w:t>
            </w:r>
          </w:p>
        </w:tc>
        <w:tc>
          <w:tcPr>
            <w:tcW w:w="1233" w:type="dxa"/>
            <w:hideMark/>
          </w:tcPr>
          <w:p w14:paraId="45F41B1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0BF0FA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154</w:t>
            </w:r>
          </w:p>
        </w:tc>
        <w:tc>
          <w:tcPr>
            <w:tcW w:w="554" w:type="dxa"/>
            <w:gridSpan w:val="2"/>
            <w:hideMark/>
          </w:tcPr>
          <w:p w14:paraId="7CC74CA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135</w:t>
            </w:r>
          </w:p>
        </w:tc>
        <w:tc>
          <w:tcPr>
            <w:tcW w:w="425" w:type="dxa"/>
            <w:hideMark/>
          </w:tcPr>
          <w:p w14:paraId="04D4B99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19</w:t>
            </w:r>
          </w:p>
        </w:tc>
        <w:tc>
          <w:tcPr>
            <w:tcW w:w="1279" w:type="dxa"/>
            <w:gridSpan w:val="2"/>
            <w:hideMark/>
          </w:tcPr>
          <w:p w14:paraId="54E3D565" w14:textId="01C55233"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42.0 ± 14.5</w:t>
            </w:r>
            <w:r w:rsidRPr="008D1DC2">
              <w:rPr>
                <w:rFonts w:ascii="Arial" w:eastAsia="Times New Roman" w:hAnsi="Arial" w:cs="Arial"/>
                <w:color w:val="000000" w:themeColor="text1"/>
                <w:sz w:val="12"/>
                <w:szCs w:val="12"/>
                <w:vertAlign w:val="superscript"/>
                <w:lang w:eastAsia="en-AU"/>
              </w:rPr>
              <w:t>‡</w:t>
            </w:r>
          </w:p>
          <w:p w14:paraId="6FE00FA5" w14:textId="1A4E9CD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39.5 (6 - 83)</w:t>
            </w:r>
          </w:p>
        </w:tc>
        <w:tc>
          <w:tcPr>
            <w:tcW w:w="673" w:type="dxa"/>
            <w:gridSpan w:val="3"/>
            <w:hideMark/>
          </w:tcPr>
          <w:p w14:paraId="01C52595" w14:textId="104D2E7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33F6354" w14:textId="46C5712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1D248B6" w14:textId="4FB2CBC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6B3C4B9F" w14:textId="56F34DA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32DFF56" w14:textId="166C9BF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6A9415D" w14:textId="5166B2D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63D4C53" w14:textId="421423F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8A5FE32" w14:textId="3D3C132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3158954" w14:textId="62B046E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4973AFB" w14:textId="77777777" w:rsidTr="008B36A4">
        <w:trPr>
          <w:cantSplit/>
          <w:trHeight w:val="57"/>
        </w:trPr>
        <w:tc>
          <w:tcPr>
            <w:tcW w:w="410" w:type="dxa"/>
            <w:noWrap/>
            <w:hideMark/>
          </w:tcPr>
          <w:p w14:paraId="0196B8AA" w14:textId="751FFB7D"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0E36FAF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6E46D22F" w14:textId="592F978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Papp et al., 2021a</w:t>
            </w:r>
            <w:r w:rsidR="00EE5CA7">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[74]</w:t>
            </w:r>
            <w:r w:rsidRPr="00E21582">
              <w:rPr>
                <w:rFonts w:ascii="Arial" w:eastAsia="Times New Roman" w:hAnsi="Arial" w:cs="Arial"/>
                <w:color w:val="000000" w:themeColor="text1"/>
                <w:sz w:val="12"/>
                <w:szCs w:val="12"/>
                <w:vertAlign w:val="superscript"/>
                <w:lang w:eastAsia="en-AU"/>
              </w:rPr>
              <w:t>§</w:t>
            </w:r>
          </w:p>
        </w:tc>
        <w:tc>
          <w:tcPr>
            <w:tcW w:w="575" w:type="dxa"/>
            <w:gridSpan w:val="2"/>
            <w:hideMark/>
          </w:tcPr>
          <w:p w14:paraId="2DFA557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77AD862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Budapest, Hungary</w:t>
            </w:r>
          </w:p>
        </w:tc>
        <w:tc>
          <w:tcPr>
            <w:tcW w:w="918" w:type="dxa"/>
            <w:gridSpan w:val="2"/>
          </w:tcPr>
          <w:p w14:paraId="31E1744A" w14:textId="0E79F78B"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6B975B96" w14:textId="779F35D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28A180E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 population-based survey</w:t>
            </w:r>
          </w:p>
        </w:tc>
        <w:tc>
          <w:tcPr>
            <w:tcW w:w="1560" w:type="dxa"/>
            <w:hideMark/>
          </w:tcPr>
          <w:p w14:paraId="56DBF29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Local registry and laboratory results</w:t>
            </w:r>
          </w:p>
        </w:tc>
        <w:tc>
          <w:tcPr>
            <w:tcW w:w="1193" w:type="dxa"/>
            <w:hideMark/>
          </w:tcPr>
          <w:p w14:paraId="4EF76E2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 plus AQP4 antibody positive</w:t>
            </w:r>
          </w:p>
        </w:tc>
        <w:tc>
          <w:tcPr>
            <w:tcW w:w="1358" w:type="dxa"/>
            <w:hideMark/>
          </w:tcPr>
          <w:p w14:paraId="054A282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transfected fixed cell-based assay or Oxford live cell-based assay</w:t>
            </w:r>
          </w:p>
        </w:tc>
        <w:tc>
          <w:tcPr>
            <w:tcW w:w="893" w:type="dxa"/>
            <w:hideMark/>
          </w:tcPr>
          <w:p w14:paraId="5B88417A" w14:textId="74C4873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1544CE5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BADDF5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99</w:t>
            </w:r>
          </w:p>
        </w:tc>
        <w:tc>
          <w:tcPr>
            <w:tcW w:w="554" w:type="dxa"/>
            <w:gridSpan w:val="2"/>
            <w:hideMark/>
          </w:tcPr>
          <w:p w14:paraId="285CE0D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90</w:t>
            </w:r>
          </w:p>
        </w:tc>
        <w:tc>
          <w:tcPr>
            <w:tcW w:w="425" w:type="dxa"/>
            <w:hideMark/>
          </w:tcPr>
          <w:p w14:paraId="0E2B989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1279" w:type="dxa"/>
            <w:gridSpan w:val="2"/>
            <w:hideMark/>
          </w:tcPr>
          <w:p w14:paraId="59C910CB" w14:textId="35B63503"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42.8 ± 15.4</w:t>
            </w:r>
            <w:r w:rsidRPr="008D1DC2">
              <w:rPr>
                <w:rFonts w:ascii="Arial" w:eastAsia="Times New Roman" w:hAnsi="Arial" w:cs="Arial"/>
                <w:color w:val="000000" w:themeColor="text1"/>
                <w:sz w:val="12"/>
                <w:szCs w:val="12"/>
                <w:vertAlign w:val="superscript"/>
                <w:lang w:eastAsia="en-AU"/>
              </w:rPr>
              <w:t>‡</w:t>
            </w:r>
          </w:p>
          <w:p w14:paraId="3988A614" w14:textId="6585D1A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 (6 - 83)</w:t>
            </w:r>
          </w:p>
        </w:tc>
        <w:tc>
          <w:tcPr>
            <w:tcW w:w="673" w:type="dxa"/>
            <w:gridSpan w:val="3"/>
            <w:hideMark/>
          </w:tcPr>
          <w:p w14:paraId="4A5817F8" w14:textId="618745D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09C629B" w14:textId="1BFF38C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A7FA228" w14:textId="5920D04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D7CCE2C" w14:textId="7463D75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7FE285B" w14:textId="7F6D20B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3C5EF1A4" w14:textId="03F9284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168FE77" w14:textId="00713C3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53F6E58F" w14:textId="4E226B0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41D17FFB" w14:textId="688D5FE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3A839FB" w14:textId="77777777" w:rsidTr="008B36A4">
        <w:trPr>
          <w:cantSplit/>
          <w:trHeight w:val="57"/>
        </w:trPr>
        <w:tc>
          <w:tcPr>
            <w:tcW w:w="410" w:type="dxa"/>
            <w:noWrap/>
            <w:hideMark/>
          </w:tcPr>
          <w:p w14:paraId="08BE7B04" w14:textId="53D7C58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8</w:t>
            </w:r>
          </w:p>
        </w:tc>
        <w:tc>
          <w:tcPr>
            <w:tcW w:w="437" w:type="dxa"/>
            <w:noWrap/>
            <w:hideMark/>
          </w:tcPr>
          <w:p w14:paraId="0E81F50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AA23708" w14:textId="144A1C2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Papp et al., 2021b</w:t>
            </w:r>
            <w:r w:rsidR="006C057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[74]</w:t>
            </w:r>
            <w:r w:rsidRPr="00E21582">
              <w:rPr>
                <w:rFonts w:ascii="Arial" w:eastAsia="Times New Roman" w:hAnsi="Arial" w:cs="Arial"/>
                <w:color w:val="000000" w:themeColor="text1"/>
                <w:sz w:val="12"/>
                <w:szCs w:val="12"/>
                <w:vertAlign w:val="superscript"/>
                <w:lang w:eastAsia="en-AU"/>
              </w:rPr>
              <w:t>§</w:t>
            </w:r>
          </w:p>
        </w:tc>
        <w:tc>
          <w:tcPr>
            <w:tcW w:w="575" w:type="dxa"/>
            <w:gridSpan w:val="2"/>
            <w:hideMark/>
          </w:tcPr>
          <w:p w14:paraId="2C2602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4946449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Denmark</w:t>
            </w:r>
          </w:p>
        </w:tc>
        <w:tc>
          <w:tcPr>
            <w:tcW w:w="918" w:type="dxa"/>
            <w:gridSpan w:val="2"/>
          </w:tcPr>
          <w:p w14:paraId="0E7EC379" w14:textId="74D165AB" w:rsidR="00F62694" w:rsidRPr="00C77BDD" w:rsidRDefault="00913C96"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83.02</w:t>
            </w:r>
          </w:p>
        </w:tc>
        <w:tc>
          <w:tcPr>
            <w:tcW w:w="918" w:type="dxa"/>
            <w:gridSpan w:val="2"/>
            <w:hideMark/>
          </w:tcPr>
          <w:p w14:paraId="65B8ECF2" w14:textId="497E548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Prevalence study</w:t>
            </w:r>
          </w:p>
        </w:tc>
        <w:tc>
          <w:tcPr>
            <w:tcW w:w="1378" w:type="dxa"/>
            <w:hideMark/>
          </w:tcPr>
          <w:p w14:paraId="0266F44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Nationwide survey</w:t>
            </w:r>
          </w:p>
        </w:tc>
        <w:tc>
          <w:tcPr>
            <w:tcW w:w="1560" w:type="dxa"/>
            <w:hideMark/>
          </w:tcPr>
          <w:p w14:paraId="42B6250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registry</w:t>
            </w:r>
          </w:p>
        </w:tc>
        <w:tc>
          <w:tcPr>
            <w:tcW w:w="1193" w:type="dxa"/>
            <w:hideMark/>
          </w:tcPr>
          <w:p w14:paraId="60B66FB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 plus AQP4 antibody positive</w:t>
            </w:r>
          </w:p>
        </w:tc>
        <w:tc>
          <w:tcPr>
            <w:tcW w:w="1358" w:type="dxa"/>
            <w:hideMark/>
          </w:tcPr>
          <w:p w14:paraId="51E843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transfected fixed cell-based assay or Oxford live cell-based assay</w:t>
            </w:r>
          </w:p>
        </w:tc>
        <w:tc>
          <w:tcPr>
            <w:tcW w:w="893" w:type="dxa"/>
            <w:hideMark/>
          </w:tcPr>
          <w:p w14:paraId="7C84C9FE" w14:textId="328509C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0D46010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51A1FE7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w:t>
            </w:r>
          </w:p>
        </w:tc>
        <w:tc>
          <w:tcPr>
            <w:tcW w:w="554" w:type="dxa"/>
            <w:gridSpan w:val="2"/>
            <w:hideMark/>
          </w:tcPr>
          <w:p w14:paraId="4EAB4F4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w:t>
            </w:r>
          </w:p>
        </w:tc>
        <w:tc>
          <w:tcPr>
            <w:tcW w:w="425" w:type="dxa"/>
            <w:hideMark/>
          </w:tcPr>
          <w:p w14:paraId="1D0C436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1279" w:type="dxa"/>
            <w:gridSpan w:val="2"/>
            <w:hideMark/>
          </w:tcPr>
          <w:p w14:paraId="037E253A" w14:textId="24D3953E"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45.5 ± 15.2</w:t>
            </w:r>
            <w:r w:rsidRPr="008D1DC2">
              <w:rPr>
                <w:rFonts w:ascii="Arial" w:eastAsia="Times New Roman" w:hAnsi="Arial" w:cs="Arial"/>
                <w:color w:val="000000" w:themeColor="text1"/>
                <w:sz w:val="12"/>
                <w:szCs w:val="12"/>
                <w:vertAlign w:val="superscript"/>
                <w:lang w:eastAsia="en-AU"/>
              </w:rPr>
              <w:t>‡</w:t>
            </w:r>
          </w:p>
          <w:p w14:paraId="7A82E1F7" w14:textId="453453C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47 (12 - 76)</w:t>
            </w:r>
          </w:p>
        </w:tc>
        <w:tc>
          <w:tcPr>
            <w:tcW w:w="673" w:type="dxa"/>
            <w:gridSpan w:val="3"/>
            <w:hideMark/>
          </w:tcPr>
          <w:p w14:paraId="0A23C43C" w14:textId="1EE69F5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92BDCE2" w14:textId="199DF49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42C58E96" w14:textId="78650B0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2FFBEB15" w14:textId="4ADF242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E764F41" w14:textId="1E12FDF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BCB6D85" w14:textId="4FF2024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5635595D" w14:textId="037EE07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57B21AA7" w14:textId="167ECBE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6B558A6" w14:textId="7C15BE0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B012BE6" w14:textId="77777777" w:rsidTr="008B36A4">
        <w:trPr>
          <w:cantSplit/>
          <w:trHeight w:val="144"/>
        </w:trPr>
        <w:tc>
          <w:tcPr>
            <w:tcW w:w="410" w:type="dxa"/>
            <w:noWrap/>
            <w:hideMark/>
          </w:tcPr>
          <w:p w14:paraId="27C518C5" w14:textId="570E9F0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r>
              <w:rPr>
                <w:rFonts w:ascii="Arial" w:eastAsia="Times New Roman" w:hAnsi="Arial" w:cs="Arial"/>
                <w:color w:val="000000" w:themeColor="text1"/>
                <w:sz w:val="12"/>
                <w:szCs w:val="12"/>
                <w:lang w:eastAsia="en-AU"/>
              </w:rPr>
              <w:t>9</w:t>
            </w:r>
          </w:p>
        </w:tc>
        <w:tc>
          <w:tcPr>
            <w:tcW w:w="437" w:type="dxa"/>
            <w:noWrap/>
            <w:hideMark/>
          </w:tcPr>
          <w:p w14:paraId="4F53F51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2EE3DAF" w14:textId="54BC219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Paz et al., 2021</w:t>
            </w:r>
            <w:r w:rsidR="006C057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[75]</w:t>
            </w:r>
          </w:p>
        </w:tc>
        <w:tc>
          <w:tcPr>
            <w:tcW w:w="575" w:type="dxa"/>
            <w:gridSpan w:val="2"/>
            <w:hideMark/>
          </w:tcPr>
          <w:p w14:paraId="68C1439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2017</w:t>
            </w:r>
          </w:p>
        </w:tc>
        <w:tc>
          <w:tcPr>
            <w:tcW w:w="1030" w:type="dxa"/>
            <w:gridSpan w:val="2"/>
            <w:hideMark/>
          </w:tcPr>
          <w:p w14:paraId="594B73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Fortaleza, Brazil</w:t>
            </w:r>
          </w:p>
        </w:tc>
        <w:tc>
          <w:tcPr>
            <w:tcW w:w="918" w:type="dxa"/>
            <w:gridSpan w:val="2"/>
          </w:tcPr>
          <w:p w14:paraId="685992A7" w14:textId="45FD904F" w:rsidR="00F62694" w:rsidRPr="00C77BDD" w:rsidRDefault="00913C96"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79.39</w:t>
            </w:r>
          </w:p>
        </w:tc>
        <w:tc>
          <w:tcPr>
            <w:tcW w:w="918" w:type="dxa"/>
            <w:gridSpan w:val="2"/>
            <w:hideMark/>
          </w:tcPr>
          <w:p w14:paraId="59224D23" w14:textId="2F44400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13F60AA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6103D2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Cross-sectional survey in a neurology clinic</w:t>
            </w:r>
          </w:p>
        </w:tc>
        <w:tc>
          <w:tcPr>
            <w:tcW w:w="1193" w:type="dxa"/>
            <w:hideMark/>
          </w:tcPr>
          <w:p w14:paraId="6AA21D6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684FB0B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04D27214" w14:textId="34D3D57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60.5</w:t>
            </w:r>
          </w:p>
        </w:tc>
        <w:tc>
          <w:tcPr>
            <w:tcW w:w="1233" w:type="dxa"/>
            <w:hideMark/>
          </w:tcPr>
          <w:p w14:paraId="186F10E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7E84B2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38</w:t>
            </w:r>
          </w:p>
        </w:tc>
        <w:tc>
          <w:tcPr>
            <w:tcW w:w="554" w:type="dxa"/>
            <w:gridSpan w:val="2"/>
            <w:hideMark/>
          </w:tcPr>
          <w:p w14:paraId="2597095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33</w:t>
            </w:r>
          </w:p>
        </w:tc>
        <w:tc>
          <w:tcPr>
            <w:tcW w:w="425" w:type="dxa"/>
            <w:hideMark/>
          </w:tcPr>
          <w:p w14:paraId="2E4DBB5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1279" w:type="dxa"/>
            <w:gridSpan w:val="2"/>
            <w:hideMark/>
          </w:tcPr>
          <w:p w14:paraId="77192B6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38.0 ± 12.0</w:t>
            </w:r>
          </w:p>
        </w:tc>
        <w:tc>
          <w:tcPr>
            <w:tcW w:w="673" w:type="dxa"/>
            <w:gridSpan w:val="3"/>
            <w:hideMark/>
          </w:tcPr>
          <w:p w14:paraId="1BA23794" w14:textId="12839F4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93AEEAD" w14:textId="1A820D0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4E32862" w14:textId="73189E0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99100A8" w14:textId="199D532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AD30AB2" w14:textId="46DFC62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D4E0416" w14:textId="6E71D34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14FFAD64" w14:textId="0AB70AB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2FAB904C" w14:textId="494E071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3CB8B93" w14:textId="25715D1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75B1CF4" w14:textId="77777777" w:rsidTr="008B36A4">
        <w:trPr>
          <w:cantSplit/>
          <w:trHeight w:val="57"/>
        </w:trPr>
        <w:tc>
          <w:tcPr>
            <w:tcW w:w="410" w:type="dxa"/>
            <w:noWrap/>
            <w:hideMark/>
          </w:tcPr>
          <w:p w14:paraId="76FE01C6" w14:textId="5B9961E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50</w:t>
            </w:r>
          </w:p>
        </w:tc>
        <w:tc>
          <w:tcPr>
            <w:tcW w:w="437" w:type="dxa"/>
            <w:noWrap/>
            <w:hideMark/>
          </w:tcPr>
          <w:p w14:paraId="0997067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01DEB3C2" w14:textId="59DA53A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Rafiee et al., 2020</w:t>
            </w:r>
            <w:r w:rsidR="006C057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[76]</w:t>
            </w:r>
          </w:p>
        </w:tc>
        <w:tc>
          <w:tcPr>
            <w:tcW w:w="575" w:type="dxa"/>
            <w:gridSpan w:val="2"/>
            <w:hideMark/>
          </w:tcPr>
          <w:p w14:paraId="57A2CE6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1BD41BD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Tehran, Iran</w:t>
            </w:r>
          </w:p>
        </w:tc>
        <w:tc>
          <w:tcPr>
            <w:tcW w:w="918" w:type="dxa"/>
            <w:gridSpan w:val="2"/>
          </w:tcPr>
          <w:p w14:paraId="381306FA" w14:textId="132C83F4" w:rsidR="00F62694" w:rsidRDefault="006D40C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79.09</w:t>
            </w:r>
          </w:p>
        </w:tc>
        <w:tc>
          <w:tcPr>
            <w:tcW w:w="918" w:type="dxa"/>
            <w:gridSpan w:val="2"/>
            <w:hideMark/>
          </w:tcPr>
          <w:p w14:paraId="5BB24884" w14:textId="7DA82EA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Case-control</w:t>
            </w:r>
            <w:r w:rsidRPr="00C77BDD">
              <w:rPr>
                <w:rFonts w:ascii="Arial" w:eastAsia="Times New Roman" w:hAnsi="Arial" w:cs="Arial"/>
                <w:color w:val="000000" w:themeColor="text1"/>
                <w:sz w:val="12"/>
                <w:szCs w:val="12"/>
                <w:lang w:eastAsia="en-AU"/>
              </w:rPr>
              <w:t xml:space="preserve"> study</w:t>
            </w:r>
          </w:p>
        </w:tc>
        <w:tc>
          <w:tcPr>
            <w:tcW w:w="1378" w:type="dxa"/>
            <w:hideMark/>
          </w:tcPr>
          <w:p w14:paraId="6194C65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238A085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Neurology clinic</w:t>
            </w:r>
          </w:p>
        </w:tc>
        <w:tc>
          <w:tcPr>
            <w:tcW w:w="1193" w:type="dxa"/>
            <w:hideMark/>
          </w:tcPr>
          <w:p w14:paraId="016FD54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A565B3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28E5DF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15C3F22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192E96D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153</w:t>
            </w:r>
          </w:p>
        </w:tc>
        <w:tc>
          <w:tcPr>
            <w:tcW w:w="554" w:type="dxa"/>
            <w:gridSpan w:val="2"/>
            <w:hideMark/>
          </w:tcPr>
          <w:p w14:paraId="2B5E996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123</w:t>
            </w:r>
          </w:p>
        </w:tc>
        <w:tc>
          <w:tcPr>
            <w:tcW w:w="425" w:type="dxa"/>
            <w:hideMark/>
          </w:tcPr>
          <w:p w14:paraId="67305E6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w:t>
            </w:r>
          </w:p>
        </w:tc>
        <w:tc>
          <w:tcPr>
            <w:tcW w:w="1279" w:type="dxa"/>
            <w:gridSpan w:val="2"/>
            <w:hideMark/>
          </w:tcPr>
          <w:p w14:paraId="45A1BE8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30.2 ± 10.7</w:t>
            </w:r>
          </w:p>
        </w:tc>
        <w:tc>
          <w:tcPr>
            <w:tcW w:w="673" w:type="dxa"/>
            <w:gridSpan w:val="3"/>
            <w:hideMark/>
          </w:tcPr>
          <w:p w14:paraId="691619BA" w14:textId="3ED2FE0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FE5DD9F" w14:textId="224383A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073E991" w14:textId="103DC60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9D41A1E" w14:textId="1AD421E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58FAE4D0" w14:textId="479D2B2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C28E4F1" w14:textId="140CB5F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7E3C22D" w14:textId="7D1388E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379CFCE8" w14:textId="2DFFA44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1C9F31D7" w14:textId="659CDC6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F1AC179" w14:textId="77777777" w:rsidTr="008B36A4">
        <w:trPr>
          <w:cantSplit/>
          <w:trHeight w:val="270"/>
        </w:trPr>
        <w:tc>
          <w:tcPr>
            <w:tcW w:w="410" w:type="dxa"/>
            <w:noWrap/>
            <w:hideMark/>
          </w:tcPr>
          <w:p w14:paraId="3D728B17" w14:textId="0CE2F64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1</w:t>
            </w:r>
          </w:p>
        </w:tc>
        <w:tc>
          <w:tcPr>
            <w:tcW w:w="437" w:type="dxa"/>
            <w:noWrap/>
            <w:hideMark/>
          </w:tcPr>
          <w:p w14:paraId="6E4ED2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0DBA311" w14:textId="21D4317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Rivera et al., 2008</w:t>
            </w:r>
            <w:r w:rsidR="00EE353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[77]</w:t>
            </w:r>
          </w:p>
        </w:tc>
        <w:tc>
          <w:tcPr>
            <w:tcW w:w="575" w:type="dxa"/>
            <w:gridSpan w:val="2"/>
            <w:hideMark/>
          </w:tcPr>
          <w:p w14:paraId="650BA54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2005</w:t>
            </w:r>
          </w:p>
        </w:tc>
        <w:tc>
          <w:tcPr>
            <w:tcW w:w="1030" w:type="dxa"/>
            <w:gridSpan w:val="2"/>
            <w:hideMark/>
          </w:tcPr>
          <w:p w14:paraId="0ACFA5E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Mexico City, Mexico</w:t>
            </w:r>
          </w:p>
        </w:tc>
        <w:tc>
          <w:tcPr>
            <w:tcW w:w="918" w:type="dxa"/>
            <w:gridSpan w:val="2"/>
          </w:tcPr>
          <w:p w14:paraId="005E41C6" w14:textId="3B435949" w:rsidR="00F62694" w:rsidRPr="00C77BDD" w:rsidRDefault="006D40C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78.86</w:t>
            </w:r>
          </w:p>
        </w:tc>
        <w:tc>
          <w:tcPr>
            <w:tcW w:w="918" w:type="dxa"/>
            <w:gridSpan w:val="2"/>
            <w:hideMark/>
          </w:tcPr>
          <w:p w14:paraId="6728E2FB" w14:textId="6FB7FC7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2698A58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4914016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p>
        </w:tc>
        <w:tc>
          <w:tcPr>
            <w:tcW w:w="1193" w:type="dxa"/>
            <w:hideMark/>
          </w:tcPr>
          <w:p w14:paraId="1F872EA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1999</w:t>
            </w:r>
          </w:p>
        </w:tc>
        <w:tc>
          <w:tcPr>
            <w:tcW w:w="1358" w:type="dxa"/>
            <w:hideMark/>
          </w:tcPr>
          <w:p w14:paraId="2014984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tested</w:t>
            </w:r>
          </w:p>
        </w:tc>
        <w:tc>
          <w:tcPr>
            <w:tcW w:w="893" w:type="dxa"/>
            <w:hideMark/>
          </w:tcPr>
          <w:p w14:paraId="38A23BE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tested</w:t>
            </w:r>
          </w:p>
        </w:tc>
        <w:tc>
          <w:tcPr>
            <w:tcW w:w="1233" w:type="dxa"/>
            <w:hideMark/>
          </w:tcPr>
          <w:p w14:paraId="42E1BC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8FC01D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w:t>
            </w:r>
          </w:p>
        </w:tc>
        <w:tc>
          <w:tcPr>
            <w:tcW w:w="554" w:type="dxa"/>
            <w:gridSpan w:val="2"/>
            <w:hideMark/>
          </w:tcPr>
          <w:p w14:paraId="26DEFDC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w:t>
            </w:r>
          </w:p>
        </w:tc>
        <w:tc>
          <w:tcPr>
            <w:tcW w:w="425" w:type="dxa"/>
            <w:hideMark/>
          </w:tcPr>
          <w:p w14:paraId="53BB8ED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1279" w:type="dxa"/>
            <w:gridSpan w:val="2"/>
            <w:hideMark/>
          </w:tcPr>
          <w:p w14:paraId="5D64BBF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34.0 ±</w:t>
            </w:r>
          </w:p>
        </w:tc>
        <w:tc>
          <w:tcPr>
            <w:tcW w:w="673" w:type="dxa"/>
            <w:gridSpan w:val="3"/>
            <w:hideMark/>
          </w:tcPr>
          <w:p w14:paraId="7C8C6425" w14:textId="004FAC6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0EAE916" w14:textId="2437ACB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EFCBE65" w14:textId="2483E68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0120F486" w14:textId="579E2B1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8516543" w14:textId="2629354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5A6981B" w14:textId="36EB91D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325FDCE" w14:textId="70751C8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50" w:type="dxa"/>
            <w:hideMark/>
          </w:tcPr>
          <w:p w14:paraId="538691F0" w14:textId="5ADFFA4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6C9996AD" w14:textId="050CC07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0A72868" w14:textId="77777777" w:rsidTr="008B36A4">
        <w:trPr>
          <w:cantSplit/>
          <w:trHeight w:val="383"/>
        </w:trPr>
        <w:tc>
          <w:tcPr>
            <w:tcW w:w="410" w:type="dxa"/>
            <w:noWrap/>
            <w:hideMark/>
          </w:tcPr>
          <w:p w14:paraId="507D1C51" w14:textId="21274DB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2</w:t>
            </w:r>
          </w:p>
        </w:tc>
        <w:tc>
          <w:tcPr>
            <w:tcW w:w="437" w:type="dxa"/>
            <w:noWrap/>
            <w:hideMark/>
          </w:tcPr>
          <w:p w14:paraId="6AB435B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E7D11E9" w14:textId="481FD3E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Rojas et al., 2020</w:t>
            </w:r>
            <w:r w:rsidR="00EE353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[78]</w:t>
            </w:r>
          </w:p>
        </w:tc>
        <w:tc>
          <w:tcPr>
            <w:tcW w:w="575" w:type="dxa"/>
            <w:gridSpan w:val="2"/>
            <w:hideMark/>
          </w:tcPr>
          <w:p w14:paraId="3F24D11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02772B9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Argentina</w:t>
            </w:r>
          </w:p>
        </w:tc>
        <w:tc>
          <w:tcPr>
            <w:tcW w:w="918" w:type="dxa"/>
            <w:gridSpan w:val="2"/>
          </w:tcPr>
          <w:p w14:paraId="56AF8977" w14:textId="57E58DD9" w:rsidR="00F62694" w:rsidRPr="00C77BDD" w:rsidRDefault="00835C4F"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79.5</w:t>
            </w:r>
          </w:p>
        </w:tc>
        <w:tc>
          <w:tcPr>
            <w:tcW w:w="918" w:type="dxa"/>
            <w:gridSpan w:val="2"/>
            <w:hideMark/>
          </w:tcPr>
          <w:p w14:paraId="36FB7B6E" w14:textId="4F64522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8BB008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6910258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Prospective database maintained by MS specialists</w:t>
            </w:r>
          </w:p>
        </w:tc>
        <w:tc>
          <w:tcPr>
            <w:tcW w:w="1193" w:type="dxa"/>
            <w:hideMark/>
          </w:tcPr>
          <w:p w14:paraId="2B7C171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528DA00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Tissue indirect immunofluorescence or ELISA</w:t>
            </w:r>
          </w:p>
        </w:tc>
        <w:tc>
          <w:tcPr>
            <w:tcW w:w="893" w:type="dxa"/>
            <w:hideMark/>
          </w:tcPr>
          <w:p w14:paraId="5B970D1F" w14:textId="3DB0A0A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54.7</w:t>
            </w:r>
          </w:p>
        </w:tc>
        <w:tc>
          <w:tcPr>
            <w:tcW w:w="1233" w:type="dxa"/>
            <w:hideMark/>
          </w:tcPr>
          <w:p w14:paraId="4CDF477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2CC5549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75</w:t>
            </w:r>
          </w:p>
        </w:tc>
        <w:tc>
          <w:tcPr>
            <w:tcW w:w="554" w:type="dxa"/>
            <w:gridSpan w:val="2"/>
            <w:hideMark/>
          </w:tcPr>
          <w:p w14:paraId="294B96E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59</w:t>
            </w:r>
          </w:p>
        </w:tc>
        <w:tc>
          <w:tcPr>
            <w:tcW w:w="425" w:type="dxa"/>
            <w:hideMark/>
          </w:tcPr>
          <w:p w14:paraId="53E7DDA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w:t>
            </w:r>
          </w:p>
        </w:tc>
        <w:tc>
          <w:tcPr>
            <w:tcW w:w="1279" w:type="dxa"/>
            <w:gridSpan w:val="2"/>
            <w:hideMark/>
          </w:tcPr>
          <w:p w14:paraId="0130089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673" w:type="dxa"/>
            <w:gridSpan w:val="3"/>
            <w:hideMark/>
          </w:tcPr>
          <w:p w14:paraId="2AC590E6" w14:textId="05FCB1E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8548272" w14:textId="5729238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D1D5246" w14:textId="4CD8118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48EA3D97" w14:textId="0956D09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3" w:type="dxa"/>
            <w:gridSpan w:val="3"/>
            <w:hideMark/>
          </w:tcPr>
          <w:p w14:paraId="5D49B4DA" w14:textId="037294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FABF7B8" w14:textId="62A9BE1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34B3698" w14:textId="61564D9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677A3CA8" w14:textId="2F04957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775F842" w14:textId="7943E2C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71A5A64" w14:textId="77777777" w:rsidTr="008B36A4">
        <w:trPr>
          <w:cantSplit/>
          <w:trHeight w:val="280"/>
        </w:trPr>
        <w:tc>
          <w:tcPr>
            <w:tcW w:w="410" w:type="dxa"/>
            <w:noWrap/>
            <w:hideMark/>
          </w:tcPr>
          <w:p w14:paraId="47C5E723" w14:textId="0B6437F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3</w:t>
            </w:r>
          </w:p>
        </w:tc>
        <w:tc>
          <w:tcPr>
            <w:tcW w:w="437" w:type="dxa"/>
            <w:noWrap/>
            <w:hideMark/>
          </w:tcPr>
          <w:p w14:paraId="0E40FCE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E325BC4" w14:textId="770D068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Salama et al., 2018</w:t>
            </w:r>
            <w:r w:rsidR="00EE353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[79]</w:t>
            </w:r>
          </w:p>
        </w:tc>
        <w:tc>
          <w:tcPr>
            <w:tcW w:w="575" w:type="dxa"/>
            <w:gridSpan w:val="2"/>
            <w:hideMark/>
          </w:tcPr>
          <w:p w14:paraId="1CF75D1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58BB5B5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Alexandria, Egypt</w:t>
            </w:r>
          </w:p>
        </w:tc>
        <w:tc>
          <w:tcPr>
            <w:tcW w:w="918" w:type="dxa"/>
            <w:gridSpan w:val="2"/>
          </w:tcPr>
          <w:p w14:paraId="49CB1CE4" w14:textId="2D1EF2AD" w:rsidR="00F62694" w:rsidRPr="00C77BDD" w:rsidRDefault="00835C4F"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74.14</w:t>
            </w:r>
          </w:p>
        </w:tc>
        <w:tc>
          <w:tcPr>
            <w:tcW w:w="918" w:type="dxa"/>
            <w:gridSpan w:val="2"/>
            <w:hideMark/>
          </w:tcPr>
          <w:p w14:paraId="1B1F44CC" w14:textId="0235174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199EF35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01EB2BE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Casenote review of neuroimmunology clinic</w:t>
            </w:r>
          </w:p>
        </w:tc>
        <w:tc>
          <w:tcPr>
            <w:tcW w:w="1193" w:type="dxa"/>
            <w:hideMark/>
          </w:tcPr>
          <w:p w14:paraId="35FFECB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6294AB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ELISA</w:t>
            </w:r>
          </w:p>
        </w:tc>
        <w:tc>
          <w:tcPr>
            <w:tcW w:w="893" w:type="dxa"/>
            <w:hideMark/>
          </w:tcPr>
          <w:p w14:paraId="1911F3F0" w14:textId="3C0FF48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50.0</w:t>
            </w:r>
          </w:p>
        </w:tc>
        <w:tc>
          <w:tcPr>
            <w:tcW w:w="1233" w:type="dxa"/>
            <w:hideMark/>
          </w:tcPr>
          <w:p w14:paraId="60C7F78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26F0E5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w:t>
            </w:r>
          </w:p>
        </w:tc>
        <w:tc>
          <w:tcPr>
            <w:tcW w:w="554" w:type="dxa"/>
            <w:gridSpan w:val="2"/>
            <w:hideMark/>
          </w:tcPr>
          <w:p w14:paraId="298610D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w:t>
            </w:r>
          </w:p>
        </w:tc>
        <w:tc>
          <w:tcPr>
            <w:tcW w:w="425" w:type="dxa"/>
            <w:hideMark/>
          </w:tcPr>
          <w:p w14:paraId="174033D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p>
        </w:tc>
        <w:tc>
          <w:tcPr>
            <w:tcW w:w="1279" w:type="dxa"/>
            <w:gridSpan w:val="2"/>
            <w:hideMark/>
          </w:tcPr>
          <w:p w14:paraId="32BCC4A5"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27.8 ± 13.7</w:t>
            </w:r>
          </w:p>
          <w:p w14:paraId="15107F24" w14:textId="1A40605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25.5 ( - )</w:t>
            </w:r>
          </w:p>
        </w:tc>
        <w:tc>
          <w:tcPr>
            <w:tcW w:w="673" w:type="dxa"/>
            <w:gridSpan w:val="3"/>
            <w:hideMark/>
          </w:tcPr>
          <w:p w14:paraId="34EA53FB" w14:textId="028E3AB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CA49E1A" w14:textId="3F5C284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251FDB8" w14:textId="6F83E4B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4E7F777A" w14:textId="4B9D233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0B175213" w14:textId="02F3213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8B452B6" w14:textId="0DF869E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58D5BF3F" w14:textId="57DC0B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B16B765" w14:textId="1E08792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186598F" w14:textId="42F8A43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F0050D3" w14:textId="77777777" w:rsidTr="008B36A4">
        <w:trPr>
          <w:cantSplit/>
          <w:trHeight w:val="433"/>
        </w:trPr>
        <w:tc>
          <w:tcPr>
            <w:tcW w:w="410" w:type="dxa"/>
            <w:noWrap/>
          </w:tcPr>
          <w:p w14:paraId="5CB18D63" w14:textId="7955C5C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54</w:t>
            </w:r>
          </w:p>
        </w:tc>
        <w:tc>
          <w:tcPr>
            <w:tcW w:w="437" w:type="dxa"/>
            <w:noWrap/>
          </w:tcPr>
          <w:p w14:paraId="2289E4AF" w14:textId="36C2631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w:t>
            </w:r>
          </w:p>
        </w:tc>
        <w:tc>
          <w:tcPr>
            <w:tcW w:w="1705" w:type="dxa"/>
          </w:tcPr>
          <w:p w14:paraId="1F16DF9F" w14:textId="4810A49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Santos et al., 2021</w:t>
            </w:r>
            <w:r w:rsidR="002B10C4">
              <w:rPr>
                <w:rFonts w:ascii="Arial" w:eastAsia="Times New Roman" w:hAnsi="Arial" w:cs="Arial"/>
                <w:noProof/>
                <w:color w:val="000000" w:themeColor="text1"/>
                <w:sz w:val="12"/>
                <w:szCs w:val="12"/>
                <w:vertAlign w:val="superscript"/>
                <w:lang w:eastAsia="en-AU"/>
              </w:rPr>
              <w:t xml:space="preserve"> </w:t>
            </w:r>
            <w:r w:rsidR="001D1694">
              <w:rPr>
                <w:rFonts w:ascii="Arial" w:eastAsia="Times New Roman" w:hAnsi="Arial" w:cs="Arial"/>
                <w:noProof/>
                <w:color w:val="000000" w:themeColor="text1"/>
                <w:sz w:val="12"/>
                <w:szCs w:val="12"/>
                <w:lang w:eastAsia="en-AU"/>
              </w:rPr>
              <w:t>[3]</w:t>
            </w:r>
          </w:p>
        </w:tc>
        <w:tc>
          <w:tcPr>
            <w:tcW w:w="575" w:type="dxa"/>
            <w:gridSpan w:val="2"/>
          </w:tcPr>
          <w:p w14:paraId="4B8DACA1" w14:textId="287243E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2019</w:t>
            </w:r>
          </w:p>
        </w:tc>
        <w:tc>
          <w:tcPr>
            <w:tcW w:w="1030" w:type="dxa"/>
            <w:gridSpan w:val="2"/>
          </w:tcPr>
          <w:p w14:paraId="15247C79" w14:textId="776772B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Portugal</w:t>
            </w:r>
          </w:p>
        </w:tc>
        <w:tc>
          <w:tcPr>
            <w:tcW w:w="918" w:type="dxa"/>
            <w:gridSpan w:val="2"/>
          </w:tcPr>
          <w:p w14:paraId="6627BE8B" w14:textId="79FAAFD6" w:rsidR="00F62694" w:rsidRDefault="00065287"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84.4</w:t>
            </w:r>
          </w:p>
        </w:tc>
        <w:tc>
          <w:tcPr>
            <w:tcW w:w="918" w:type="dxa"/>
            <w:gridSpan w:val="2"/>
          </w:tcPr>
          <w:p w14:paraId="33C7FB95" w14:textId="25EBE7C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Case series</w:t>
            </w:r>
          </w:p>
        </w:tc>
        <w:tc>
          <w:tcPr>
            <w:tcW w:w="1378" w:type="dxa"/>
          </w:tcPr>
          <w:p w14:paraId="1A0B63DD" w14:textId="413CD15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Multicentre</w:t>
            </w:r>
          </w:p>
        </w:tc>
        <w:tc>
          <w:tcPr>
            <w:tcW w:w="1560" w:type="dxa"/>
          </w:tcPr>
          <w:p w14:paraId="4202DBDE" w14:textId="1C3D2FE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Nationwide network of MS Centres</w:t>
            </w:r>
          </w:p>
        </w:tc>
        <w:tc>
          <w:tcPr>
            <w:tcW w:w="1193" w:type="dxa"/>
          </w:tcPr>
          <w:p w14:paraId="02B9B18A" w14:textId="5E0073E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IPND 2021</w:t>
            </w:r>
          </w:p>
        </w:tc>
        <w:tc>
          <w:tcPr>
            <w:tcW w:w="1358" w:type="dxa"/>
          </w:tcPr>
          <w:p w14:paraId="28DC9F1A" w14:textId="2FF0EC1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Euroimmun transfected fixed cell-based assay, Oxford live cell-based assay and Mayo FACS assay</w:t>
            </w:r>
          </w:p>
        </w:tc>
        <w:tc>
          <w:tcPr>
            <w:tcW w:w="893" w:type="dxa"/>
          </w:tcPr>
          <w:p w14:paraId="32D0631E" w14:textId="2A96C85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100.0</w:t>
            </w:r>
          </w:p>
        </w:tc>
        <w:tc>
          <w:tcPr>
            <w:tcW w:w="1233" w:type="dxa"/>
          </w:tcPr>
          <w:p w14:paraId="7F7748FE" w14:textId="497C7A9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Not estimated</w:t>
            </w:r>
          </w:p>
        </w:tc>
        <w:tc>
          <w:tcPr>
            <w:tcW w:w="584" w:type="dxa"/>
            <w:gridSpan w:val="2"/>
          </w:tcPr>
          <w:p w14:paraId="1E3822F9" w14:textId="7CC6694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77</w:t>
            </w:r>
          </w:p>
        </w:tc>
        <w:tc>
          <w:tcPr>
            <w:tcW w:w="554" w:type="dxa"/>
            <w:gridSpan w:val="2"/>
          </w:tcPr>
          <w:p w14:paraId="6AA2771B" w14:textId="558CD00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68</w:t>
            </w:r>
          </w:p>
        </w:tc>
        <w:tc>
          <w:tcPr>
            <w:tcW w:w="425" w:type="dxa"/>
          </w:tcPr>
          <w:p w14:paraId="75C0400A" w14:textId="5EC6D48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9</w:t>
            </w:r>
          </w:p>
        </w:tc>
        <w:tc>
          <w:tcPr>
            <w:tcW w:w="1279" w:type="dxa"/>
            <w:gridSpan w:val="2"/>
          </w:tcPr>
          <w:p w14:paraId="0084AB93" w14:textId="0E4389D4"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 xml:space="preserve">48.4 </w:t>
            </w:r>
            <w:r w:rsidRPr="00C77BDD">
              <w:rPr>
                <w:rFonts w:ascii="Arial" w:eastAsia="Times New Roman" w:hAnsi="Arial" w:cs="Arial"/>
                <w:color w:val="000000" w:themeColor="text1"/>
                <w:sz w:val="12"/>
                <w:szCs w:val="12"/>
                <w:lang w:eastAsia="en-AU"/>
              </w:rPr>
              <w:t>±</w:t>
            </w:r>
            <w:r>
              <w:rPr>
                <w:rFonts w:ascii="Arial" w:eastAsia="Times New Roman" w:hAnsi="Arial" w:cs="Arial"/>
                <w:color w:val="000000" w:themeColor="text1"/>
                <w:sz w:val="12"/>
                <w:szCs w:val="12"/>
                <w:lang w:eastAsia="en-AU"/>
              </w:rPr>
              <w:t xml:space="preserve"> 18.4</w:t>
            </w:r>
          </w:p>
          <w:p w14:paraId="6B65BBC9" w14:textId="6FBBC1D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(10-87)</w:t>
            </w:r>
          </w:p>
        </w:tc>
        <w:tc>
          <w:tcPr>
            <w:tcW w:w="673" w:type="dxa"/>
            <w:gridSpan w:val="3"/>
          </w:tcPr>
          <w:p w14:paraId="38E20D79" w14:textId="1A3E3EA3"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tcPr>
          <w:p w14:paraId="532BB3BF" w14:textId="4D150F31"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tcPr>
          <w:p w14:paraId="4E9B8997" w14:textId="10758E52"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tcPr>
          <w:p w14:paraId="3FFA5294" w14:textId="09AF125B"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tcPr>
          <w:p w14:paraId="013EC0C0" w14:textId="4484113C"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tcPr>
          <w:p w14:paraId="5F753614" w14:textId="73F595CB"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tcPr>
          <w:p w14:paraId="2EA87D2D" w14:textId="472FFF4D"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tcPr>
          <w:p w14:paraId="10D6F979" w14:textId="10E7A01F"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tcPr>
          <w:p w14:paraId="222D4D6F" w14:textId="2B0F95FF" w:rsidR="00F62694"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8E742B4" w14:textId="77777777" w:rsidTr="008B36A4">
        <w:trPr>
          <w:cantSplit/>
          <w:trHeight w:val="433"/>
        </w:trPr>
        <w:tc>
          <w:tcPr>
            <w:tcW w:w="410" w:type="dxa"/>
            <w:noWrap/>
            <w:hideMark/>
          </w:tcPr>
          <w:p w14:paraId="390A8027" w14:textId="5849362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5</w:t>
            </w:r>
          </w:p>
        </w:tc>
        <w:tc>
          <w:tcPr>
            <w:tcW w:w="437" w:type="dxa"/>
            <w:noWrap/>
            <w:hideMark/>
          </w:tcPr>
          <w:p w14:paraId="62E3192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D47F356" w14:textId="72B70B6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Sepulveda et al., 2016</w:t>
            </w:r>
            <w:r w:rsidR="002B10C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[80]</w:t>
            </w:r>
          </w:p>
        </w:tc>
        <w:tc>
          <w:tcPr>
            <w:tcW w:w="575" w:type="dxa"/>
            <w:gridSpan w:val="2"/>
            <w:hideMark/>
          </w:tcPr>
          <w:p w14:paraId="0C4EF6B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4C5CC25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Spain</w:t>
            </w:r>
          </w:p>
        </w:tc>
        <w:tc>
          <w:tcPr>
            <w:tcW w:w="918" w:type="dxa"/>
            <w:gridSpan w:val="2"/>
          </w:tcPr>
          <w:p w14:paraId="382FE38C" w14:textId="6A147B3B" w:rsidR="00F62694" w:rsidRPr="00C77BDD" w:rsidRDefault="00065287"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85.68</w:t>
            </w:r>
          </w:p>
        </w:tc>
        <w:tc>
          <w:tcPr>
            <w:tcW w:w="918" w:type="dxa"/>
            <w:gridSpan w:val="2"/>
            <w:hideMark/>
          </w:tcPr>
          <w:p w14:paraId="5D27F3EB" w14:textId="32D889E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0C55729" w14:textId="3461120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0DADA31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network of MS study centres</w:t>
            </w:r>
          </w:p>
        </w:tc>
        <w:tc>
          <w:tcPr>
            <w:tcW w:w="1193" w:type="dxa"/>
            <w:hideMark/>
          </w:tcPr>
          <w:p w14:paraId="5956E2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 or AQP4 antibody positive</w:t>
            </w:r>
          </w:p>
        </w:tc>
        <w:tc>
          <w:tcPr>
            <w:tcW w:w="1358" w:type="dxa"/>
            <w:hideMark/>
          </w:tcPr>
          <w:p w14:paraId="7547C1D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Tissue indirect immunofluorescence and AQP4 transfected HEK293 live cell-based assay</w:t>
            </w:r>
          </w:p>
        </w:tc>
        <w:tc>
          <w:tcPr>
            <w:tcW w:w="893" w:type="dxa"/>
            <w:hideMark/>
          </w:tcPr>
          <w:p w14:paraId="15F29E62" w14:textId="4B24619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81.8</w:t>
            </w:r>
          </w:p>
        </w:tc>
        <w:tc>
          <w:tcPr>
            <w:tcW w:w="1233" w:type="dxa"/>
            <w:hideMark/>
          </w:tcPr>
          <w:p w14:paraId="17B2E33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4C408C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181</w:t>
            </w:r>
          </w:p>
        </w:tc>
        <w:tc>
          <w:tcPr>
            <w:tcW w:w="554" w:type="dxa"/>
            <w:gridSpan w:val="2"/>
            <w:hideMark/>
          </w:tcPr>
          <w:p w14:paraId="2F928D6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157</w:t>
            </w:r>
          </w:p>
        </w:tc>
        <w:tc>
          <w:tcPr>
            <w:tcW w:w="425" w:type="dxa"/>
            <w:hideMark/>
          </w:tcPr>
          <w:p w14:paraId="24481FC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w:t>
            </w:r>
          </w:p>
        </w:tc>
        <w:tc>
          <w:tcPr>
            <w:tcW w:w="1279" w:type="dxa"/>
            <w:gridSpan w:val="2"/>
            <w:hideMark/>
          </w:tcPr>
          <w:p w14:paraId="70492011" w14:textId="03F5659A"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41.3 ± 12.4</w:t>
            </w:r>
            <w:r w:rsidRPr="008D1DC2">
              <w:rPr>
                <w:rFonts w:ascii="Arial" w:eastAsia="Times New Roman" w:hAnsi="Arial" w:cs="Arial"/>
                <w:color w:val="000000" w:themeColor="text1"/>
                <w:sz w:val="12"/>
                <w:szCs w:val="12"/>
                <w:vertAlign w:val="superscript"/>
                <w:lang w:eastAsia="en-AU"/>
              </w:rPr>
              <w:t>‡</w:t>
            </w:r>
          </w:p>
          <w:p w14:paraId="7DF71FCD" w14:textId="78C9C9A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39 (10 - 77)</w:t>
            </w:r>
          </w:p>
        </w:tc>
        <w:tc>
          <w:tcPr>
            <w:tcW w:w="673" w:type="dxa"/>
            <w:gridSpan w:val="3"/>
            <w:hideMark/>
          </w:tcPr>
          <w:p w14:paraId="0C8C02DF" w14:textId="47EB97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256E12D" w14:textId="308C100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A097615" w14:textId="4F49129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2803CB7D" w14:textId="5397D10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4A2354E" w14:textId="01200EA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DE3C255" w14:textId="14A6CD4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5A31E48" w14:textId="3CDC49E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4DCD7D1B" w14:textId="06409E5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F45638D" w14:textId="3578994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84050CB" w14:textId="77777777" w:rsidTr="008B36A4">
        <w:trPr>
          <w:cantSplit/>
          <w:trHeight w:val="201"/>
        </w:trPr>
        <w:tc>
          <w:tcPr>
            <w:tcW w:w="410" w:type="dxa"/>
            <w:noWrap/>
            <w:hideMark/>
          </w:tcPr>
          <w:p w14:paraId="0AF6DD6B" w14:textId="00FB3041"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3B99062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788E9794" w14:textId="3F76E12A"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115A018E" w14:textId="4EA8E0E6"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44FA5092"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4C27AA77"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41D6245F" w14:textId="30085EC0"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4F3E1FA3"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1D5082DD"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34B9192D"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3C07925D"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130FE2B5" w14:textId="4DC0BE7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6378F4F2"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3259D4C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148</w:t>
            </w:r>
          </w:p>
        </w:tc>
        <w:tc>
          <w:tcPr>
            <w:tcW w:w="554" w:type="dxa"/>
            <w:gridSpan w:val="2"/>
            <w:hideMark/>
          </w:tcPr>
          <w:p w14:paraId="3B44F9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138</w:t>
            </w:r>
          </w:p>
        </w:tc>
        <w:tc>
          <w:tcPr>
            <w:tcW w:w="425" w:type="dxa"/>
            <w:hideMark/>
          </w:tcPr>
          <w:p w14:paraId="60353AA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1279" w:type="dxa"/>
            <w:gridSpan w:val="2"/>
            <w:hideMark/>
          </w:tcPr>
          <w:p w14:paraId="1297A0B9" w14:textId="683CE068"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41.2 ± 13.6</w:t>
            </w:r>
            <w:r w:rsidRPr="008D1DC2">
              <w:rPr>
                <w:rFonts w:ascii="Arial" w:eastAsia="Times New Roman" w:hAnsi="Arial" w:cs="Arial"/>
                <w:color w:val="000000" w:themeColor="text1"/>
                <w:sz w:val="12"/>
                <w:szCs w:val="12"/>
                <w:vertAlign w:val="superscript"/>
                <w:lang w:eastAsia="en-AU"/>
              </w:rPr>
              <w:t>‡</w:t>
            </w:r>
          </w:p>
          <w:p w14:paraId="75175FDF" w14:textId="4584CC1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(10-77)</w:t>
            </w:r>
          </w:p>
        </w:tc>
        <w:tc>
          <w:tcPr>
            <w:tcW w:w="673" w:type="dxa"/>
            <w:gridSpan w:val="3"/>
            <w:hideMark/>
          </w:tcPr>
          <w:p w14:paraId="1CC5D3FE" w14:textId="58690D0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6C6272FD" w14:textId="1952143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7E24B33" w14:textId="0EDC227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5F6B9D98" w14:textId="1284392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3E89C7A8" w14:textId="06BF521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6BD400A" w14:textId="1C38FB1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54E8876" w14:textId="3939FC1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0D605FD" w14:textId="1AF21DD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DB07CB2" w14:textId="29C1572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23ACEFE" w14:textId="77777777" w:rsidTr="008B36A4">
        <w:trPr>
          <w:cantSplit/>
          <w:trHeight w:val="282"/>
        </w:trPr>
        <w:tc>
          <w:tcPr>
            <w:tcW w:w="410" w:type="dxa"/>
            <w:noWrap/>
            <w:hideMark/>
          </w:tcPr>
          <w:p w14:paraId="36687235" w14:textId="6DBA6BD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6</w:t>
            </w:r>
          </w:p>
        </w:tc>
        <w:tc>
          <w:tcPr>
            <w:tcW w:w="437" w:type="dxa"/>
            <w:noWrap/>
            <w:hideMark/>
          </w:tcPr>
          <w:p w14:paraId="5FF23B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AEB7FE1" w14:textId="333DB2C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Shaygannejad et al., 2018</w:t>
            </w:r>
            <w:r w:rsidR="002B10C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[81]</w:t>
            </w:r>
          </w:p>
        </w:tc>
        <w:tc>
          <w:tcPr>
            <w:tcW w:w="575" w:type="dxa"/>
            <w:gridSpan w:val="2"/>
            <w:hideMark/>
          </w:tcPr>
          <w:p w14:paraId="6795C4F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77B2E74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Isfahan, Iran</w:t>
            </w:r>
          </w:p>
        </w:tc>
        <w:tc>
          <w:tcPr>
            <w:tcW w:w="918" w:type="dxa"/>
            <w:gridSpan w:val="2"/>
          </w:tcPr>
          <w:p w14:paraId="143BD48D" w14:textId="0CBE6A3C" w:rsidR="00F62694" w:rsidRPr="00C77BDD" w:rsidRDefault="00065287"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79.09</w:t>
            </w:r>
          </w:p>
        </w:tc>
        <w:tc>
          <w:tcPr>
            <w:tcW w:w="918" w:type="dxa"/>
            <w:gridSpan w:val="2"/>
            <w:hideMark/>
          </w:tcPr>
          <w:p w14:paraId="45FED2D4" w14:textId="2ADDA62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BEAE57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D72910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Newly diagnosed NMOSD from an MS clinic</w:t>
            </w:r>
          </w:p>
        </w:tc>
        <w:tc>
          <w:tcPr>
            <w:tcW w:w="1193" w:type="dxa"/>
            <w:hideMark/>
          </w:tcPr>
          <w:p w14:paraId="0F3372B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358" w:type="dxa"/>
            <w:hideMark/>
          </w:tcPr>
          <w:p w14:paraId="43C5C6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transfected fixed cell-based assay</w:t>
            </w:r>
          </w:p>
        </w:tc>
        <w:tc>
          <w:tcPr>
            <w:tcW w:w="893" w:type="dxa"/>
            <w:hideMark/>
          </w:tcPr>
          <w:p w14:paraId="1EB698F7" w14:textId="7656ADB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31.0</w:t>
            </w:r>
          </w:p>
        </w:tc>
        <w:tc>
          <w:tcPr>
            <w:tcW w:w="1233" w:type="dxa"/>
            <w:hideMark/>
          </w:tcPr>
          <w:p w14:paraId="5E16EEA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0CF76D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29</w:t>
            </w:r>
          </w:p>
        </w:tc>
        <w:tc>
          <w:tcPr>
            <w:tcW w:w="554" w:type="dxa"/>
            <w:gridSpan w:val="2"/>
            <w:hideMark/>
          </w:tcPr>
          <w:p w14:paraId="220E994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22</w:t>
            </w:r>
          </w:p>
        </w:tc>
        <w:tc>
          <w:tcPr>
            <w:tcW w:w="425" w:type="dxa"/>
            <w:hideMark/>
          </w:tcPr>
          <w:p w14:paraId="251A1E3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1279" w:type="dxa"/>
            <w:gridSpan w:val="2"/>
            <w:hideMark/>
          </w:tcPr>
          <w:p w14:paraId="7606086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673" w:type="dxa"/>
            <w:gridSpan w:val="3"/>
            <w:hideMark/>
          </w:tcPr>
          <w:p w14:paraId="607C80B9" w14:textId="1A494D9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2363336B" w14:textId="0A1B737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FB84D2A" w14:textId="771CCD5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hideMark/>
          </w:tcPr>
          <w:p w14:paraId="4C750E10" w14:textId="2F79E2F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3" w:type="dxa"/>
            <w:gridSpan w:val="3"/>
            <w:hideMark/>
          </w:tcPr>
          <w:p w14:paraId="41A9526E" w14:textId="1A437D9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7CC1EE7" w14:textId="1834818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03" w:type="dxa"/>
            <w:hideMark/>
          </w:tcPr>
          <w:p w14:paraId="0CCA4EB3" w14:textId="1BBBE28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4839E725" w14:textId="77981C2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065402B" w14:textId="3B51254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2106E82" w14:textId="77777777" w:rsidTr="008B36A4">
        <w:trPr>
          <w:cantSplit/>
          <w:trHeight w:val="297"/>
        </w:trPr>
        <w:tc>
          <w:tcPr>
            <w:tcW w:w="410" w:type="dxa"/>
            <w:noWrap/>
            <w:hideMark/>
          </w:tcPr>
          <w:p w14:paraId="7523915B" w14:textId="42772AA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7</w:t>
            </w:r>
          </w:p>
        </w:tc>
        <w:tc>
          <w:tcPr>
            <w:tcW w:w="437" w:type="dxa"/>
            <w:noWrap/>
            <w:hideMark/>
          </w:tcPr>
          <w:p w14:paraId="708C3AE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EBCB105" w14:textId="14DD9B2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Shosha et al., 2020</w:t>
            </w:r>
            <w:r w:rsidR="002B10C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[82]</w:t>
            </w:r>
            <w:r>
              <w:rPr>
                <w:rFonts w:ascii="Arial" w:eastAsia="Times New Roman" w:hAnsi="Arial" w:cs="Arial"/>
                <w:color w:val="000000" w:themeColor="text1"/>
                <w:sz w:val="12"/>
                <w:szCs w:val="12"/>
                <w:lang w:eastAsia="en-AU"/>
              </w:rPr>
              <w:t>*</w:t>
            </w:r>
          </w:p>
        </w:tc>
        <w:tc>
          <w:tcPr>
            <w:tcW w:w="575" w:type="dxa"/>
            <w:gridSpan w:val="2"/>
            <w:hideMark/>
          </w:tcPr>
          <w:p w14:paraId="37DFE57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23728EC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Arabian Gulf</w:t>
            </w:r>
          </w:p>
        </w:tc>
        <w:tc>
          <w:tcPr>
            <w:tcW w:w="918" w:type="dxa"/>
            <w:gridSpan w:val="2"/>
          </w:tcPr>
          <w:p w14:paraId="76292C4F" w14:textId="13F16DC5" w:rsidR="00F62694" w:rsidRPr="00C77BDD" w:rsidRDefault="00065287"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76.15</w:t>
            </w:r>
          </w:p>
        </w:tc>
        <w:tc>
          <w:tcPr>
            <w:tcW w:w="918" w:type="dxa"/>
            <w:gridSpan w:val="2"/>
            <w:hideMark/>
          </w:tcPr>
          <w:p w14:paraId="2172F9A4" w14:textId="3C1B160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2DFBFF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 neurology/MS centres across 5 countries</w:t>
            </w:r>
          </w:p>
        </w:tc>
        <w:tc>
          <w:tcPr>
            <w:tcW w:w="1560" w:type="dxa"/>
            <w:hideMark/>
          </w:tcPr>
          <w:p w14:paraId="6CD3B00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NMOSD registry</w:t>
            </w:r>
          </w:p>
        </w:tc>
        <w:tc>
          <w:tcPr>
            <w:tcW w:w="1193" w:type="dxa"/>
            <w:hideMark/>
          </w:tcPr>
          <w:p w14:paraId="10150C2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1281227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Cell-based assay, indirect immunofluorescence or ELISA</w:t>
            </w:r>
          </w:p>
        </w:tc>
        <w:tc>
          <w:tcPr>
            <w:tcW w:w="893" w:type="dxa"/>
            <w:hideMark/>
          </w:tcPr>
          <w:p w14:paraId="672756FD" w14:textId="76526BC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65.3</w:t>
            </w:r>
          </w:p>
        </w:tc>
        <w:tc>
          <w:tcPr>
            <w:tcW w:w="1233" w:type="dxa"/>
            <w:hideMark/>
          </w:tcPr>
          <w:p w14:paraId="6B411DE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C25C3C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144</w:t>
            </w:r>
          </w:p>
        </w:tc>
        <w:tc>
          <w:tcPr>
            <w:tcW w:w="554" w:type="dxa"/>
            <w:gridSpan w:val="2"/>
            <w:hideMark/>
          </w:tcPr>
          <w:p w14:paraId="0FD533A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119</w:t>
            </w:r>
          </w:p>
        </w:tc>
        <w:tc>
          <w:tcPr>
            <w:tcW w:w="425" w:type="dxa"/>
            <w:hideMark/>
          </w:tcPr>
          <w:p w14:paraId="012BD05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25</w:t>
            </w:r>
          </w:p>
        </w:tc>
        <w:tc>
          <w:tcPr>
            <w:tcW w:w="1279" w:type="dxa"/>
            <w:gridSpan w:val="2"/>
            <w:hideMark/>
          </w:tcPr>
          <w:p w14:paraId="08E422F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31.0 ± 12.0</w:t>
            </w:r>
          </w:p>
        </w:tc>
        <w:tc>
          <w:tcPr>
            <w:tcW w:w="673" w:type="dxa"/>
            <w:gridSpan w:val="3"/>
            <w:hideMark/>
          </w:tcPr>
          <w:p w14:paraId="331E78FC" w14:textId="462882F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33142850" w14:textId="33CC1D6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275B4F35" w14:textId="3C59E84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74FA60AE" w14:textId="0EED7D3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445BF327" w14:textId="1EEE3AC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68BEBAC" w14:textId="44DD0C2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10DCEA6C" w14:textId="49D6FCB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0619E8E9" w14:textId="2B80083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2B08E48C" w14:textId="272B87F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7D860F2" w14:textId="77777777" w:rsidTr="008B36A4">
        <w:trPr>
          <w:cantSplit/>
          <w:trHeight w:val="53"/>
        </w:trPr>
        <w:tc>
          <w:tcPr>
            <w:tcW w:w="410" w:type="dxa"/>
            <w:noWrap/>
          </w:tcPr>
          <w:p w14:paraId="7B6C5DF2" w14:textId="2B7A2B1B"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075CFC5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1549269E" w14:textId="41C60DEB"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325B37CB" w14:textId="4F7C3FE3"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707829A8"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308EA6B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39AD6E1B" w14:textId="4A5EC3E9"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4D65D07C"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55FBF43F"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3DD5EE80"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532B87A1"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1F4544A1" w14:textId="52FE146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3F668471"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5AF3C67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94</w:t>
            </w:r>
          </w:p>
        </w:tc>
        <w:tc>
          <w:tcPr>
            <w:tcW w:w="554" w:type="dxa"/>
            <w:gridSpan w:val="2"/>
            <w:hideMark/>
          </w:tcPr>
          <w:p w14:paraId="551237F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85</w:t>
            </w:r>
          </w:p>
        </w:tc>
        <w:tc>
          <w:tcPr>
            <w:tcW w:w="425" w:type="dxa"/>
            <w:hideMark/>
          </w:tcPr>
          <w:p w14:paraId="36F921E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1279" w:type="dxa"/>
            <w:gridSpan w:val="2"/>
            <w:hideMark/>
          </w:tcPr>
          <w:p w14:paraId="0E9626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32.0 ± 12.0</w:t>
            </w:r>
          </w:p>
        </w:tc>
        <w:tc>
          <w:tcPr>
            <w:tcW w:w="673" w:type="dxa"/>
            <w:gridSpan w:val="3"/>
            <w:hideMark/>
          </w:tcPr>
          <w:p w14:paraId="313CF012" w14:textId="53C3350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9D2B81C" w14:textId="6C0AF3C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3EDCE47" w14:textId="019C7BC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50F7E45" w14:textId="3D4887E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3E6BD5F0" w14:textId="406F167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9FB2CDB" w14:textId="0504BB7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43F4B123" w14:textId="032C690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D3C74EB" w14:textId="7724CC2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35E0FBF" w14:textId="77B3991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353EC49" w14:textId="77777777" w:rsidTr="008B36A4">
        <w:trPr>
          <w:cantSplit/>
          <w:trHeight w:val="25"/>
        </w:trPr>
        <w:tc>
          <w:tcPr>
            <w:tcW w:w="410" w:type="dxa"/>
            <w:noWrap/>
            <w:hideMark/>
          </w:tcPr>
          <w:p w14:paraId="630BD045" w14:textId="2B71D80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8</w:t>
            </w:r>
          </w:p>
        </w:tc>
        <w:tc>
          <w:tcPr>
            <w:tcW w:w="437" w:type="dxa"/>
            <w:noWrap/>
            <w:hideMark/>
          </w:tcPr>
          <w:p w14:paraId="5741D54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13A032C8" w14:textId="46A38DD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Singh et al., 2021</w:t>
            </w:r>
            <w:r w:rsidR="00E80D21">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[83]</w:t>
            </w:r>
          </w:p>
        </w:tc>
        <w:tc>
          <w:tcPr>
            <w:tcW w:w="575" w:type="dxa"/>
            <w:gridSpan w:val="2"/>
            <w:hideMark/>
          </w:tcPr>
          <w:p w14:paraId="03C8CD4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4978774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New Delhi, India</w:t>
            </w:r>
          </w:p>
        </w:tc>
        <w:tc>
          <w:tcPr>
            <w:tcW w:w="918" w:type="dxa"/>
            <w:gridSpan w:val="2"/>
          </w:tcPr>
          <w:p w14:paraId="55113427" w14:textId="1B10338A" w:rsidR="00F62694" w:rsidRPr="00C77BDD" w:rsidRDefault="00065287"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72.17</w:t>
            </w:r>
          </w:p>
        </w:tc>
        <w:tc>
          <w:tcPr>
            <w:tcW w:w="918" w:type="dxa"/>
            <w:gridSpan w:val="2"/>
            <w:hideMark/>
          </w:tcPr>
          <w:p w14:paraId="613D0256" w14:textId="185A238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C8F88E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2984538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p>
        </w:tc>
        <w:tc>
          <w:tcPr>
            <w:tcW w:w="1193" w:type="dxa"/>
            <w:hideMark/>
          </w:tcPr>
          <w:p w14:paraId="5484FF5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0D4487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1DF8D32E" w14:textId="78617C2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64.2</w:t>
            </w:r>
          </w:p>
        </w:tc>
        <w:tc>
          <w:tcPr>
            <w:tcW w:w="1233" w:type="dxa"/>
            <w:hideMark/>
          </w:tcPr>
          <w:p w14:paraId="6DCA5E0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78730D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106</w:t>
            </w:r>
          </w:p>
        </w:tc>
        <w:tc>
          <w:tcPr>
            <w:tcW w:w="554" w:type="dxa"/>
            <w:gridSpan w:val="2"/>
            <w:hideMark/>
          </w:tcPr>
          <w:p w14:paraId="686904A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77</w:t>
            </w:r>
          </w:p>
        </w:tc>
        <w:tc>
          <w:tcPr>
            <w:tcW w:w="425" w:type="dxa"/>
            <w:hideMark/>
          </w:tcPr>
          <w:p w14:paraId="1FE4CA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29</w:t>
            </w:r>
          </w:p>
        </w:tc>
        <w:tc>
          <w:tcPr>
            <w:tcW w:w="1279" w:type="dxa"/>
            <w:gridSpan w:val="2"/>
            <w:hideMark/>
          </w:tcPr>
          <w:p w14:paraId="2745A4B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32.8 ± 11.4</w:t>
            </w:r>
          </w:p>
        </w:tc>
        <w:tc>
          <w:tcPr>
            <w:tcW w:w="673" w:type="dxa"/>
            <w:gridSpan w:val="3"/>
            <w:hideMark/>
          </w:tcPr>
          <w:p w14:paraId="35CC024D" w14:textId="546DACF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6E81224E" w14:textId="6AACCE6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6B0DFE79" w14:textId="3D14361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2E856C7" w14:textId="00084DC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7655DCA4" w14:textId="5E03DEF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6FE834D" w14:textId="08409EE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D000765" w14:textId="439E949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0528B983" w14:textId="1C903DD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66187F9" w14:textId="40D4228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6B3A57B" w14:textId="77777777" w:rsidTr="008B36A4">
        <w:trPr>
          <w:cantSplit/>
          <w:trHeight w:val="294"/>
        </w:trPr>
        <w:tc>
          <w:tcPr>
            <w:tcW w:w="410" w:type="dxa"/>
            <w:noWrap/>
            <w:hideMark/>
          </w:tcPr>
          <w:p w14:paraId="659C7041" w14:textId="593EFE8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r>
              <w:rPr>
                <w:rFonts w:ascii="Arial" w:eastAsia="Times New Roman" w:hAnsi="Arial" w:cs="Arial"/>
                <w:color w:val="000000" w:themeColor="text1"/>
                <w:sz w:val="12"/>
                <w:szCs w:val="12"/>
                <w:lang w:eastAsia="en-AU"/>
              </w:rPr>
              <w:t>9</w:t>
            </w:r>
          </w:p>
        </w:tc>
        <w:tc>
          <w:tcPr>
            <w:tcW w:w="437" w:type="dxa"/>
            <w:noWrap/>
            <w:hideMark/>
          </w:tcPr>
          <w:p w14:paraId="3D8B4F3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46BF15D" w14:textId="1EC3746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Stratos et al., 2020</w:t>
            </w:r>
            <w:r w:rsidR="00E80D21">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[84]</w:t>
            </w:r>
          </w:p>
        </w:tc>
        <w:tc>
          <w:tcPr>
            <w:tcW w:w="575" w:type="dxa"/>
            <w:gridSpan w:val="2"/>
            <w:hideMark/>
          </w:tcPr>
          <w:p w14:paraId="5C174F9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0554D5F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Toronto, Canada</w:t>
            </w:r>
          </w:p>
        </w:tc>
        <w:tc>
          <w:tcPr>
            <w:tcW w:w="918" w:type="dxa"/>
            <w:gridSpan w:val="2"/>
          </w:tcPr>
          <w:p w14:paraId="6BDC15FD" w14:textId="11970E06" w:rsidR="00F62694" w:rsidRPr="00C77BDD" w:rsidRDefault="007F7B1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84.05</w:t>
            </w:r>
          </w:p>
        </w:tc>
        <w:tc>
          <w:tcPr>
            <w:tcW w:w="918" w:type="dxa"/>
            <w:gridSpan w:val="2"/>
            <w:hideMark/>
          </w:tcPr>
          <w:p w14:paraId="0E2979AB" w14:textId="736E5C6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82D52A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Two centres</w:t>
            </w:r>
          </w:p>
        </w:tc>
        <w:tc>
          <w:tcPr>
            <w:tcW w:w="1560" w:type="dxa"/>
            <w:hideMark/>
          </w:tcPr>
          <w:p w14:paraId="2DC815E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review of casenotes with suspected NMOSD</w:t>
            </w:r>
          </w:p>
        </w:tc>
        <w:tc>
          <w:tcPr>
            <w:tcW w:w="1193" w:type="dxa"/>
            <w:hideMark/>
          </w:tcPr>
          <w:p w14:paraId="6FFDEF5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7BD429C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27234BEE" w14:textId="4EE58C2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70.4</w:t>
            </w:r>
          </w:p>
        </w:tc>
        <w:tc>
          <w:tcPr>
            <w:tcW w:w="1233" w:type="dxa"/>
            <w:hideMark/>
          </w:tcPr>
          <w:p w14:paraId="1024B78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BA1E6F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81</w:t>
            </w:r>
          </w:p>
        </w:tc>
        <w:tc>
          <w:tcPr>
            <w:tcW w:w="554" w:type="dxa"/>
            <w:gridSpan w:val="2"/>
            <w:hideMark/>
          </w:tcPr>
          <w:p w14:paraId="3D25CC7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71</w:t>
            </w:r>
          </w:p>
        </w:tc>
        <w:tc>
          <w:tcPr>
            <w:tcW w:w="425" w:type="dxa"/>
            <w:hideMark/>
          </w:tcPr>
          <w:p w14:paraId="6E23044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1279" w:type="dxa"/>
            <w:gridSpan w:val="2"/>
            <w:hideMark/>
          </w:tcPr>
          <w:p w14:paraId="5067A6A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38.9 ± 16.8</w:t>
            </w:r>
          </w:p>
        </w:tc>
        <w:tc>
          <w:tcPr>
            <w:tcW w:w="673" w:type="dxa"/>
            <w:gridSpan w:val="3"/>
            <w:hideMark/>
          </w:tcPr>
          <w:p w14:paraId="33704721" w14:textId="73FDCA9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5659241" w14:textId="72FF617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4A8BC93" w14:textId="106CE01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68574212" w14:textId="2A894A0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768E913D" w14:textId="1F96F9C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5666D628" w14:textId="50FEA8A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4232A641" w14:textId="5EB77DC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2C20F0C5" w14:textId="1AE5C80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6C1714A" w14:textId="23151C5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4B10309" w14:textId="77777777" w:rsidTr="008B36A4">
        <w:trPr>
          <w:cantSplit/>
          <w:trHeight w:val="300"/>
        </w:trPr>
        <w:tc>
          <w:tcPr>
            <w:tcW w:w="410" w:type="dxa"/>
            <w:noWrap/>
            <w:hideMark/>
          </w:tcPr>
          <w:p w14:paraId="14E0571F" w14:textId="2033FFF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60</w:t>
            </w:r>
          </w:p>
        </w:tc>
        <w:tc>
          <w:tcPr>
            <w:tcW w:w="437" w:type="dxa"/>
            <w:noWrap/>
            <w:hideMark/>
          </w:tcPr>
          <w:p w14:paraId="7D7B084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73F907E5" w14:textId="2E87057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Sun et al., 2017</w:t>
            </w:r>
            <w:r w:rsidR="00E80D21">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[85]</w:t>
            </w:r>
          </w:p>
        </w:tc>
        <w:tc>
          <w:tcPr>
            <w:tcW w:w="575" w:type="dxa"/>
            <w:gridSpan w:val="2"/>
            <w:hideMark/>
          </w:tcPr>
          <w:p w14:paraId="33B0CB5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20747DE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Beijing, China</w:t>
            </w:r>
          </w:p>
        </w:tc>
        <w:tc>
          <w:tcPr>
            <w:tcW w:w="918" w:type="dxa"/>
            <w:gridSpan w:val="2"/>
          </w:tcPr>
          <w:p w14:paraId="653079F1" w14:textId="231306F6" w:rsidR="00F62694" w:rsidRPr="00C77BDD" w:rsidRDefault="007F7B1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80.49</w:t>
            </w:r>
          </w:p>
        </w:tc>
        <w:tc>
          <w:tcPr>
            <w:tcW w:w="918" w:type="dxa"/>
            <w:gridSpan w:val="2"/>
            <w:hideMark/>
          </w:tcPr>
          <w:p w14:paraId="665E6D3B" w14:textId="0CB05EC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4F91603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17256B3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Consecutive cases at tertiary hospital</w:t>
            </w:r>
          </w:p>
        </w:tc>
        <w:tc>
          <w:tcPr>
            <w:tcW w:w="1193" w:type="dxa"/>
            <w:hideMark/>
          </w:tcPr>
          <w:p w14:paraId="118EBD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2C142A61" w14:textId="72D43EA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Indirect immunofluorescence cell-based assay (not further specified or referenced)</w:t>
            </w:r>
          </w:p>
        </w:tc>
        <w:tc>
          <w:tcPr>
            <w:tcW w:w="893" w:type="dxa"/>
            <w:hideMark/>
          </w:tcPr>
          <w:p w14:paraId="5807B365" w14:textId="573DE0C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54.6</w:t>
            </w:r>
          </w:p>
        </w:tc>
        <w:tc>
          <w:tcPr>
            <w:tcW w:w="1233" w:type="dxa"/>
            <w:hideMark/>
          </w:tcPr>
          <w:p w14:paraId="3A7A165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8B7C99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97</w:t>
            </w:r>
          </w:p>
        </w:tc>
        <w:tc>
          <w:tcPr>
            <w:tcW w:w="554" w:type="dxa"/>
            <w:gridSpan w:val="2"/>
            <w:hideMark/>
          </w:tcPr>
          <w:p w14:paraId="3DBE8D3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82</w:t>
            </w:r>
          </w:p>
        </w:tc>
        <w:tc>
          <w:tcPr>
            <w:tcW w:w="425" w:type="dxa"/>
            <w:hideMark/>
          </w:tcPr>
          <w:p w14:paraId="523C302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15</w:t>
            </w:r>
          </w:p>
        </w:tc>
        <w:tc>
          <w:tcPr>
            <w:tcW w:w="1279" w:type="dxa"/>
            <w:gridSpan w:val="2"/>
            <w:hideMark/>
          </w:tcPr>
          <w:p w14:paraId="2A191251" w14:textId="1760C9F4"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37.0 ± 14.5</w:t>
            </w:r>
            <w:r w:rsidRPr="008D1DC2">
              <w:rPr>
                <w:rFonts w:ascii="Arial" w:eastAsia="Times New Roman" w:hAnsi="Arial" w:cs="Arial"/>
                <w:color w:val="000000" w:themeColor="text1"/>
                <w:sz w:val="12"/>
                <w:szCs w:val="12"/>
                <w:vertAlign w:val="superscript"/>
                <w:lang w:eastAsia="en-AU"/>
              </w:rPr>
              <w:t>‡</w:t>
            </w:r>
          </w:p>
          <w:p w14:paraId="6A101258" w14:textId="65668C1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(14 - 66)</w:t>
            </w:r>
          </w:p>
        </w:tc>
        <w:tc>
          <w:tcPr>
            <w:tcW w:w="673" w:type="dxa"/>
            <w:gridSpan w:val="3"/>
            <w:hideMark/>
          </w:tcPr>
          <w:p w14:paraId="059CB36E" w14:textId="1625975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679C474B" w14:textId="7CC4A92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167FB42" w14:textId="7E39545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D1F0C36" w14:textId="6632A71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6B24498F" w14:textId="1C48D1E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A26D9E6" w14:textId="19F0F8C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6F823C92" w14:textId="5FBAE3F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725A9C14" w14:textId="34C8852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1922B2F7" w14:textId="6A9D0CE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B07F9C2" w14:textId="77777777" w:rsidTr="008B36A4">
        <w:trPr>
          <w:cantSplit/>
          <w:trHeight w:val="320"/>
        </w:trPr>
        <w:tc>
          <w:tcPr>
            <w:tcW w:w="410" w:type="dxa"/>
            <w:noWrap/>
            <w:hideMark/>
          </w:tcPr>
          <w:p w14:paraId="15CE131D" w14:textId="379E4D2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61</w:t>
            </w:r>
          </w:p>
        </w:tc>
        <w:tc>
          <w:tcPr>
            <w:tcW w:w="437" w:type="dxa"/>
            <w:noWrap/>
            <w:hideMark/>
          </w:tcPr>
          <w:p w14:paraId="1DC004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A83CD1C" w14:textId="5D83CD2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Tarhan et al., 2022</w:t>
            </w:r>
            <w:r w:rsidR="009969E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[86]</w:t>
            </w:r>
          </w:p>
        </w:tc>
        <w:tc>
          <w:tcPr>
            <w:tcW w:w="575" w:type="dxa"/>
            <w:gridSpan w:val="2"/>
            <w:hideMark/>
          </w:tcPr>
          <w:p w14:paraId="5D60995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5DE692B6" w14:textId="73AFF5C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Gainesville, FL, US</w:t>
            </w:r>
          </w:p>
        </w:tc>
        <w:tc>
          <w:tcPr>
            <w:tcW w:w="918" w:type="dxa"/>
            <w:gridSpan w:val="2"/>
          </w:tcPr>
          <w:p w14:paraId="6D7D5925" w14:textId="595BC2D1" w:rsidR="00F62694" w:rsidRPr="00C77BDD" w:rsidRDefault="007F7B1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80.73</w:t>
            </w:r>
          </w:p>
        </w:tc>
        <w:tc>
          <w:tcPr>
            <w:tcW w:w="918" w:type="dxa"/>
            <w:gridSpan w:val="2"/>
            <w:hideMark/>
          </w:tcPr>
          <w:p w14:paraId="543C139C" w14:textId="1475279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1FC9183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00B3004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clinic-based survey</w:t>
            </w:r>
          </w:p>
        </w:tc>
        <w:tc>
          <w:tcPr>
            <w:tcW w:w="1193" w:type="dxa"/>
            <w:hideMark/>
          </w:tcPr>
          <w:p w14:paraId="6E1F494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 plus AQP4 antibody positive</w:t>
            </w:r>
          </w:p>
        </w:tc>
        <w:tc>
          <w:tcPr>
            <w:tcW w:w="1358" w:type="dxa"/>
            <w:hideMark/>
          </w:tcPr>
          <w:p w14:paraId="414B620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ELISA or Mayo Clinic cell-based assay (8/43)</w:t>
            </w:r>
          </w:p>
        </w:tc>
        <w:tc>
          <w:tcPr>
            <w:tcW w:w="893" w:type="dxa"/>
            <w:hideMark/>
          </w:tcPr>
          <w:p w14:paraId="796872F7" w14:textId="7BE4DF6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370F5E0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11/54 (20%) excluded due to inadequate documentation</w:t>
            </w:r>
          </w:p>
        </w:tc>
        <w:tc>
          <w:tcPr>
            <w:tcW w:w="584" w:type="dxa"/>
            <w:gridSpan w:val="2"/>
            <w:hideMark/>
          </w:tcPr>
          <w:p w14:paraId="6397D6F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43</w:t>
            </w:r>
          </w:p>
        </w:tc>
        <w:tc>
          <w:tcPr>
            <w:tcW w:w="554" w:type="dxa"/>
            <w:gridSpan w:val="2"/>
            <w:hideMark/>
          </w:tcPr>
          <w:p w14:paraId="531F7F9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w:t>
            </w:r>
          </w:p>
        </w:tc>
        <w:tc>
          <w:tcPr>
            <w:tcW w:w="425" w:type="dxa"/>
            <w:hideMark/>
          </w:tcPr>
          <w:p w14:paraId="7A6E182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1279" w:type="dxa"/>
            <w:gridSpan w:val="2"/>
            <w:hideMark/>
          </w:tcPr>
          <w:p w14:paraId="063C995F" w14:textId="1232AF6C"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40.5 ± 17.4</w:t>
            </w:r>
            <w:r w:rsidRPr="008D1DC2">
              <w:rPr>
                <w:rFonts w:ascii="Arial" w:eastAsia="Times New Roman" w:hAnsi="Arial" w:cs="Arial"/>
                <w:color w:val="000000" w:themeColor="text1"/>
                <w:sz w:val="12"/>
                <w:szCs w:val="12"/>
                <w:vertAlign w:val="superscript"/>
                <w:lang w:eastAsia="en-AU"/>
              </w:rPr>
              <w:t>‡</w:t>
            </w:r>
          </w:p>
          <w:p w14:paraId="6CA22DCB" w14:textId="253F3E0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 (6 - 82)</w:t>
            </w:r>
          </w:p>
        </w:tc>
        <w:tc>
          <w:tcPr>
            <w:tcW w:w="673" w:type="dxa"/>
            <w:gridSpan w:val="3"/>
            <w:hideMark/>
          </w:tcPr>
          <w:p w14:paraId="24C3AE79" w14:textId="497E18A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20916D3" w14:textId="690A294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31BD5F57" w14:textId="7559E72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48FF5969" w14:textId="353721F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0715E298" w14:textId="5EBEE94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DA2A5B3" w14:textId="0603D16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13BBC4FB" w14:textId="415CF91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5809BE4" w14:textId="3819DC6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1E930F9" w14:textId="4052863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r>
      <w:tr w:rsidR="00F62694" w:rsidRPr="008E4E40" w14:paraId="5960C748" w14:textId="77777777" w:rsidTr="008B36A4">
        <w:trPr>
          <w:cantSplit/>
          <w:trHeight w:val="262"/>
        </w:trPr>
        <w:tc>
          <w:tcPr>
            <w:tcW w:w="410" w:type="dxa"/>
            <w:noWrap/>
            <w:hideMark/>
          </w:tcPr>
          <w:p w14:paraId="3C056836" w14:textId="3D96939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r>
              <w:rPr>
                <w:rFonts w:ascii="Arial" w:eastAsia="Times New Roman" w:hAnsi="Arial" w:cs="Arial"/>
                <w:color w:val="000000" w:themeColor="text1"/>
                <w:sz w:val="12"/>
                <w:szCs w:val="12"/>
                <w:lang w:eastAsia="en-AU"/>
              </w:rPr>
              <w:t>2</w:t>
            </w:r>
          </w:p>
        </w:tc>
        <w:tc>
          <w:tcPr>
            <w:tcW w:w="437" w:type="dxa"/>
            <w:noWrap/>
            <w:hideMark/>
          </w:tcPr>
          <w:p w14:paraId="367BA63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0A3D06A" w14:textId="15D12C4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Tian et al., 2020</w:t>
            </w:r>
            <w:r w:rsidR="009969E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[87]</w:t>
            </w:r>
            <w:r>
              <w:rPr>
                <w:rFonts w:ascii="Arial" w:eastAsia="Times New Roman" w:hAnsi="Arial" w:cs="Arial"/>
                <w:color w:val="000000" w:themeColor="text1"/>
                <w:sz w:val="12"/>
                <w:szCs w:val="12"/>
                <w:lang w:eastAsia="en-AU"/>
              </w:rPr>
              <w:t>*</w:t>
            </w:r>
          </w:p>
        </w:tc>
        <w:tc>
          <w:tcPr>
            <w:tcW w:w="575" w:type="dxa"/>
            <w:gridSpan w:val="2"/>
            <w:hideMark/>
          </w:tcPr>
          <w:p w14:paraId="677F3CD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174DBEC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China</w:t>
            </w:r>
          </w:p>
        </w:tc>
        <w:tc>
          <w:tcPr>
            <w:tcW w:w="918" w:type="dxa"/>
            <w:gridSpan w:val="2"/>
          </w:tcPr>
          <w:p w14:paraId="5A0A5D86" w14:textId="5FA7CE56" w:rsidR="00F62694" w:rsidRPr="00C77BDD" w:rsidRDefault="001F1D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80.49</w:t>
            </w:r>
          </w:p>
        </w:tc>
        <w:tc>
          <w:tcPr>
            <w:tcW w:w="918" w:type="dxa"/>
            <w:gridSpan w:val="2"/>
            <w:hideMark/>
          </w:tcPr>
          <w:p w14:paraId="3DF5675E" w14:textId="1FBABDA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survey</w:t>
            </w:r>
          </w:p>
        </w:tc>
        <w:tc>
          <w:tcPr>
            <w:tcW w:w="1378" w:type="dxa"/>
            <w:hideMark/>
          </w:tcPr>
          <w:p w14:paraId="0A8B4CF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database</w:t>
            </w:r>
          </w:p>
        </w:tc>
        <w:tc>
          <w:tcPr>
            <w:tcW w:w="1560" w:type="dxa"/>
            <w:hideMark/>
          </w:tcPr>
          <w:p w14:paraId="1D14E5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administrative healthcare database</w:t>
            </w:r>
          </w:p>
        </w:tc>
        <w:tc>
          <w:tcPr>
            <w:tcW w:w="1193" w:type="dxa"/>
            <w:hideMark/>
          </w:tcPr>
          <w:p w14:paraId="45BF6CF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ICD-10 G36.0 (IPND 2015)</w:t>
            </w:r>
          </w:p>
        </w:tc>
        <w:tc>
          <w:tcPr>
            <w:tcW w:w="1358" w:type="dxa"/>
            <w:hideMark/>
          </w:tcPr>
          <w:p w14:paraId="5BC4149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Cell-based assay (not further specified) or ELISA</w:t>
            </w:r>
          </w:p>
        </w:tc>
        <w:tc>
          <w:tcPr>
            <w:tcW w:w="893" w:type="dxa"/>
            <w:hideMark/>
          </w:tcPr>
          <w:p w14:paraId="29741DB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66A51E1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98.5% of specialist neurology referral centres</w:t>
            </w:r>
          </w:p>
        </w:tc>
        <w:tc>
          <w:tcPr>
            <w:tcW w:w="584" w:type="dxa"/>
            <w:gridSpan w:val="2"/>
            <w:hideMark/>
          </w:tcPr>
          <w:p w14:paraId="677F668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11,973</w:t>
            </w:r>
          </w:p>
        </w:tc>
        <w:tc>
          <w:tcPr>
            <w:tcW w:w="554" w:type="dxa"/>
            <w:gridSpan w:val="2"/>
            <w:hideMark/>
          </w:tcPr>
          <w:p w14:paraId="1D8D995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9,825</w:t>
            </w:r>
          </w:p>
        </w:tc>
        <w:tc>
          <w:tcPr>
            <w:tcW w:w="425" w:type="dxa"/>
            <w:hideMark/>
          </w:tcPr>
          <w:p w14:paraId="5C409D4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2148</w:t>
            </w:r>
          </w:p>
        </w:tc>
        <w:tc>
          <w:tcPr>
            <w:tcW w:w="1279" w:type="dxa"/>
            <w:gridSpan w:val="2"/>
            <w:hideMark/>
          </w:tcPr>
          <w:p w14:paraId="35DFBF7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673" w:type="dxa"/>
            <w:gridSpan w:val="3"/>
            <w:hideMark/>
          </w:tcPr>
          <w:p w14:paraId="63C0CA96" w14:textId="579AA34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628C996" w14:textId="62D620B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15CA6B51" w14:textId="2CCDE66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183C497" w14:textId="0BE221A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3" w:type="dxa"/>
            <w:gridSpan w:val="3"/>
            <w:hideMark/>
          </w:tcPr>
          <w:p w14:paraId="0719973F" w14:textId="1892F08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7BCBFCD0" w14:textId="3FEB6E5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5BAEA8DA" w14:textId="1683A9C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5690A59C" w14:textId="659B9C2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62E3987" w14:textId="4E49FAD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D765A1D" w14:textId="77777777" w:rsidTr="008B36A4">
        <w:trPr>
          <w:cantSplit/>
          <w:trHeight w:val="195"/>
        </w:trPr>
        <w:tc>
          <w:tcPr>
            <w:tcW w:w="410" w:type="dxa"/>
            <w:noWrap/>
            <w:hideMark/>
          </w:tcPr>
          <w:p w14:paraId="70CA0313" w14:textId="0B52688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r>
              <w:rPr>
                <w:rFonts w:ascii="Arial" w:eastAsia="Times New Roman" w:hAnsi="Arial" w:cs="Arial"/>
                <w:color w:val="000000" w:themeColor="text1"/>
                <w:sz w:val="12"/>
                <w:szCs w:val="12"/>
                <w:lang w:eastAsia="en-AU"/>
              </w:rPr>
              <w:t>3</w:t>
            </w:r>
          </w:p>
        </w:tc>
        <w:tc>
          <w:tcPr>
            <w:tcW w:w="437" w:type="dxa"/>
            <w:noWrap/>
            <w:hideMark/>
          </w:tcPr>
          <w:p w14:paraId="10E4DBA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6CB50F0" w14:textId="3D298F6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van Pelt et al., 201</w:t>
            </w:r>
            <w:r>
              <w:rPr>
                <w:rFonts w:ascii="Arial" w:eastAsia="Times New Roman" w:hAnsi="Arial" w:cs="Arial"/>
                <w:color w:val="000000" w:themeColor="text1"/>
                <w:sz w:val="12"/>
                <w:szCs w:val="12"/>
                <w:lang w:eastAsia="en-AU"/>
              </w:rPr>
              <w:t>6</w:t>
            </w:r>
            <w:r w:rsidR="009969E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[88]</w:t>
            </w:r>
          </w:p>
        </w:tc>
        <w:tc>
          <w:tcPr>
            <w:tcW w:w="575" w:type="dxa"/>
            <w:gridSpan w:val="2"/>
            <w:hideMark/>
          </w:tcPr>
          <w:p w14:paraId="30ECD4A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08A7508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Amsterdam, Netherlands</w:t>
            </w:r>
          </w:p>
        </w:tc>
        <w:tc>
          <w:tcPr>
            <w:tcW w:w="918" w:type="dxa"/>
            <w:gridSpan w:val="2"/>
          </w:tcPr>
          <w:p w14:paraId="4EB40A3B" w14:textId="7343019B" w:rsidR="001F1DCA" w:rsidRPr="00C77BDD" w:rsidRDefault="001F1D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83.15</w:t>
            </w:r>
          </w:p>
        </w:tc>
        <w:tc>
          <w:tcPr>
            <w:tcW w:w="918" w:type="dxa"/>
            <w:gridSpan w:val="2"/>
            <w:hideMark/>
          </w:tcPr>
          <w:p w14:paraId="07306749" w14:textId="31F9941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6F7068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2DC24CE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p>
        </w:tc>
        <w:tc>
          <w:tcPr>
            <w:tcW w:w="1193" w:type="dxa"/>
            <w:hideMark/>
          </w:tcPr>
          <w:p w14:paraId="120DD87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antibody positive</w:t>
            </w:r>
          </w:p>
        </w:tc>
        <w:tc>
          <w:tcPr>
            <w:tcW w:w="1358" w:type="dxa"/>
            <w:hideMark/>
          </w:tcPr>
          <w:p w14:paraId="383557A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transfected HEK293 live cell-based assay</w:t>
            </w:r>
          </w:p>
        </w:tc>
        <w:tc>
          <w:tcPr>
            <w:tcW w:w="893" w:type="dxa"/>
            <w:hideMark/>
          </w:tcPr>
          <w:p w14:paraId="1A4692A7" w14:textId="165B333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2074DD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E6CA4E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w:t>
            </w:r>
          </w:p>
        </w:tc>
        <w:tc>
          <w:tcPr>
            <w:tcW w:w="554" w:type="dxa"/>
            <w:gridSpan w:val="2"/>
            <w:hideMark/>
          </w:tcPr>
          <w:p w14:paraId="68FE558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w:t>
            </w:r>
          </w:p>
        </w:tc>
        <w:tc>
          <w:tcPr>
            <w:tcW w:w="425" w:type="dxa"/>
            <w:hideMark/>
          </w:tcPr>
          <w:p w14:paraId="00241DA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1279" w:type="dxa"/>
            <w:gridSpan w:val="2"/>
            <w:hideMark/>
          </w:tcPr>
          <w:p w14:paraId="04930C1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42.0 ± 16.1</w:t>
            </w:r>
          </w:p>
        </w:tc>
        <w:tc>
          <w:tcPr>
            <w:tcW w:w="673" w:type="dxa"/>
            <w:gridSpan w:val="3"/>
            <w:hideMark/>
          </w:tcPr>
          <w:p w14:paraId="18441944" w14:textId="1DFD014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078A030F" w14:textId="069AE82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54A41055" w14:textId="308F66B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35135FB7" w14:textId="764699D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434BAE92" w14:textId="487A68B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4974EEA1" w14:textId="5AD2ABF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5F37D4B" w14:textId="2B45826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091A61D1" w14:textId="450C987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542751E9" w14:textId="5129149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CCC7A1D" w14:textId="77777777" w:rsidTr="008B36A4">
        <w:trPr>
          <w:cantSplit/>
          <w:trHeight w:val="78"/>
        </w:trPr>
        <w:tc>
          <w:tcPr>
            <w:tcW w:w="410" w:type="dxa"/>
            <w:noWrap/>
            <w:hideMark/>
          </w:tcPr>
          <w:p w14:paraId="64ECE449" w14:textId="0C87875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r>
              <w:rPr>
                <w:rFonts w:ascii="Arial" w:eastAsia="Times New Roman" w:hAnsi="Arial" w:cs="Arial"/>
                <w:color w:val="000000" w:themeColor="text1"/>
                <w:sz w:val="12"/>
                <w:szCs w:val="12"/>
                <w:lang w:eastAsia="en-AU"/>
              </w:rPr>
              <w:t>4</w:t>
            </w:r>
          </w:p>
        </w:tc>
        <w:tc>
          <w:tcPr>
            <w:tcW w:w="437" w:type="dxa"/>
            <w:noWrap/>
            <w:hideMark/>
          </w:tcPr>
          <w:p w14:paraId="6EFEA27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9AC19FB" w14:textId="2EF33BE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Wu et al., 2022</w:t>
            </w:r>
            <w:r w:rsidR="009969E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[89]</w:t>
            </w:r>
          </w:p>
        </w:tc>
        <w:tc>
          <w:tcPr>
            <w:tcW w:w="575" w:type="dxa"/>
            <w:gridSpan w:val="2"/>
            <w:hideMark/>
          </w:tcPr>
          <w:p w14:paraId="1A6D8F2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2017</w:t>
            </w:r>
          </w:p>
        </w:tc>
        <w:tc>
          <w:tcPr>
            <w:tcW w:w="1030" w:type="dxa"/>
            <w:gridSpan w:val="2"/>
            <w:hideMark/>
          </w:tcPr>
          <w:p w14:paraId="781A4E6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China</w:t>
            </w:r>
          </w:p>
        </w:tc>
        <w:tc>
          <w:tcPr>
            <w:tcW w:w="918" w:type="dxa"/>
            <w:gridSpan w:val="2"/>
          </w:tcPr>
          <w:p w14:paraId="21E5C39A" w14:textId="4CEDFF74" w:rsidR="00F62694" w:rsidRPr="00C77BDD" w:rsidRDefault="001F1D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80.49</w:t>
            </w:r>
          </w:p>
        </w:tc>
        <w:tc>
          <w:tcPr>
            <w:tcW w:w="918" w:type="dxa"/>
            <w:gridSpan w:val="2"/>
            <w:hideMark/>
          </w:tcPr>
          <w:p w14:paraId="2B2CD04F" w14:textId="734B115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Incidence study</w:t>
            </w:r>
          </w:p>
        </w:tc>
        <w:tc>
          <w:tcPr>
            <w:tcW w:w="1378" w:type="dxa"/>
            <w:hideMark/>
          </w:tcPr>
          <w:p w14:paraId="71403EF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survey</w:t>
            </w:r>
          </w:p>
        </w:tc>
        <w:tc>
          <w:tcPr>
            <w:tcW w:w="1560" w:type="dxa"/>
            <w:hideMark/>
          </w:tcPr>
          <w:p w14:paraId="48BC628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Nationwide medical insurance claim database</w:t>
            </w:r>
          </w:p>
        </w:tc>
        <w:tc>
          <w:tcPr>
            <w:tcW w:w="1193" w:type="dxa"/>
            <w:hideMark/>
          </w:tcPr>
          <w:p w14:paraId="7E1C6B9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235899E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5FF1DFE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5D2889D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73D223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1313</w:t>
            </w:r>
          </w:p>
        </w:tc>
        <w:tc>
          <w:tcPr>
            <w:tcW w:w="554" w:type="dxa"/>
            <w:gridSpan w:val="2"/>
            <w:hideMark/>
          </w:tcPr>
          <w:p w14:paraId="7F57B19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1031</w:t>
            </w:r>
          </w:p>
        </w:tc>
        <w:tc>
          <w:tcPr>
            <w:tcW w:w="425" w:type="dxa"/>
            <w:hideMark/>
          </w:tcPr>
          <w:p w14:paraId="6245AF1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282</w:t>
            </w:r>
          </w:p>
        </w:tc>
        <w:tc>
          <w:tcPr>
            <w:tcW w:w="1279" w:type="dxa"/>
            <w:gridSpan w:val="2"/>
            <w:hideMark/>
          </w:tcPr>
          <w:p w14:paraId="0F3F6808"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47.6 ± 13.7</w:t>
            </w:r>
          </w:p>
          <w:p w14:paraId="265A3A0E" w14:textId="3F82929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(19 - 89)</w:t>
            </w:r>
          </w:p>
        </w:tc>
        <w:tc>
          <w:tcPr>
            <w:tcW w:w="673" w:type="dxa"/>
            <w:gridSpan w:val="3"/>
            <w:hideMark/>
          </w:tcPr>
          <w:p w14:paraId="6E71EFDE" w14:textId="6F5A1FA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240C0E1D" w14:textId="0D71A40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D8628C0" w14:textId="400406C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1ED65320" w14:textId="0535561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hideMark/>
          </w:tcPr>
          <w:p w14:paraId="1F3FB264" w14:textId="65EC779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69AB6FE8" w14:textId="2106E42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70F0FF5B" w14:textId="2F09ADD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hideMark/>
          </w:tcPr>
          <w:p w14:paraId="68812B5C" w14:textId="7CF7A2A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3E695871" w14:textId="58CB3D3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73F4469" w14:textId="77777777" w:rsidTr="008B36A4">
        <w:trPr>
          <w:cantSplit/>
          <w:trHeight w:val="99"/>
        </w:trPr>
        <w:tc>
          <w:tcPr>
            <w:tcW w:w="410" w:type="dxa"/>
            <w:noWrap/>
            <w:hideMark/>
          </w:tcPr>
          <w:p w14:paraId="5B759AED" w14:textId="48562A8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r>
              <w:rPr>
                <w:rFonts w:ascii="Arial" w:eastAsia="Times New Roman" w:hAnsi="Arial" w:cs="Arial"/>
                <w:color w:val="000000" w:themeColor="text1"/>
                <w:sz w:val="12"/>
                <w:szCs w:val="12"/>
                <w:lang w:eastAsia="en-AU"/>
              </w:rPr>
              <w:t>5</w:t>
            </w:r>
          </w:p>
        </w:tc>
        <w:tc>
          <w:tcPr>
            <w:tcW w:w="437" w:type="dxa"/>
            <w:noWrap/>
            <w:hideMark/>
          </w:tcPr>
          <w:p w14:paraId="49C5619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43EDD57" w14:textId="0E97377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w:t>
            </w:r>
            <w:r w:rsidRPr="00C77BDD">
              <w:rPr>
                <w:rFonts w:ascii="Arial" w:eastAsia="Times New Roman" w:hAnsi="Arial" w:cs="Arial"/>
                <w:color w:val="000000" w:themeColor="text1"/>
                <w:sz w:val="12"/>
                <w:szCs w:val="12"/>
                <w:lang w:eastAsia="en-AU"/>
              </w:rPr>
              <w:t>in et al., 2015</w:t>
            </w:r>
            <w:r w:rsidR="009969EF">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[90]</w:t>
            </w:r>
          </w:p>
        </w:tc>
        <w:tc>
          <w:tcPr>
            <w:tcW w:w="575" w:type="dxa"/>
            <w:gridSpan w:val="2"/>
            <w:hideMark/>
          </w:tcPr>
          <w:p w14:paraId="6ABE1E8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1AA53B2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Guangzhou, China</w:t>
            </w:r>
          </w:p>
        </w:tc>
        <w:tc>
          <w:tcPr>
            <w:tcW w:w="918" w:type="dxa"/>
            <w:gridSpan w:val="2"/>
          </w:tcPr>
          <w:p w14:paraId="5C08BD71" w14:textId="616DE2CD" w:rsidR="00F62694" w:rsidRPr="00C77BDD" w:rsidRDefault="001F1D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80.49</w:t>
            </w:r>
          </w:p>
        </w:tc>
        <w:tc>
          <w:tcPr>
            <w:tcW w:w="918" w:type="dxa"/>
            <w:gridSpan w:val="2"/>
            <w:hideMark/>
          </w:tcPr>
          <w:p w14:paraId="1320E41D" w14:textId="04C3866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FDBFB2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653E35F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analysis of consecutive attendees to a neurology clinic</w:t>
            </w:r>
          </w:p>
        </w:tc>
        <w:tc>
          <w:tcPr>
            <w:tcW w:w="1193" w:type="dxa"/>
            <w:hideMark/>
          </w:tcPr>
          <w:p w14:paraId="1EA862A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3CDD5D1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AQP4 transfected fixed cell-based assay</w:t>
            </w:r>
          </w:p>
        </w:tc>
        <w:tc>
          <w:tcPr>
            <w:tcW w:w="893" w:type="dxa"/>
            <w:hideMark/>
          </w:tcPr>
          <w:p w14:paraId="4A1127EA" w14:textId="1A32DF1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87.0</w:t>
            </w:r>
          </w:p>
        </w:tc>
        <w:tc>
          <w:tcPr>
            <w:tcW w:w="1233" w:type="dxa"/>
            <w:hideMark/>
          </w:tcPr>
          <w:p w14:paraId="0F35107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1C500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108</w:t>
            </w:r>
          </w:p>
        </w:tc>
        <w:tc>
          <w:tcPr>
            <w:tcW w:w="554" w:type="dxa"/>
            <w:gridSpan w:val="2"/>
            <w:hideMark/>
          </w:tcPr>
          <w:p w14:paraId="7DBD211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92</w:t>
            </w:r>
          </w:p>
        </w:tc>
        <w:tc>
          <w:tcPr>
            <w:tcW w:w="425" w:type="dxa"/>
            <w:hideMark/>
          </w:tcPr>
          <w:p w14:paraId="5BACA23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w:t>
            </w:r>
          </w:p>
        </w:tc>
        <w:tc>
          <w:tcPr>
            <w:tcW w:w="1279" w:type="dxa"/>
            <w:gridSpan w:val="2"/>
            <w:hideMark/>
          </w:tcPr>
          <w:p w14:paraId="47356A45"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36.2 ± 12.6</w:t>
            </w:r>
          </w:p>
          <w:p w14:paraId="08D8F85F" w14:textId="5F331EE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 (15 - 70)</w:t>
            </w:r>
          </w:p>
        </w:tc>
        <w:tc>
          <w:tcPr>
            <w:tcW w:w="673" w:type="dxa"/>
            <w:gridSpan w:val="3"/>
            <w:hideMark/>
          </w:tcPr>
          <w:p w14:paraId="06BD11CF" w14:textId="5FF746C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1E60D5A5" w14:textId="48514FC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03F0CB33" w14:textId="295420D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47B0161B" w14:textId="604BAC1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494CD496" w14:textId="3493ADC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238462F9" w14:textId="10F3E98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28D5B430" w14:textId="20DE86A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296E6517" w14:textId="7F53405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0B28DA0F" w14:textId="627566E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06665B2" w14:textId="77777777" w:rsidTr="008B36A4">
        <w:trPr>
          <w:cantSplit/>
          <w:trHeight w:val="53"/>
        </w:trPr>
        <w:tc>
          <w:tcPr>
            <w:tcW w:w="410" w:type="dxa"/>
            <w:noWrap/>
            <w:hideMark/>
          </w:tcPr>
          <w:p w14:paraId="11304E7C" w14:textId="1494FAF6"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053F927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hideMark/>
          </w:tcPr>
          <w:p w14:paraId="72E2812C" w14:textId="326C61DF"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hideMark/>
          </w:tcPr>
          <w:p w14:paraId="768259AF" w14:textId="02F36BD3"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01B79393"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27222917"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2E72EAFF" w14:textId="03066375"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09AE0B70"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74F97025"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20503EF1"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418B7500"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0ABA80A4" w14:textId="2CA50F0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2FE5B7D8"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1ACAB0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94</w:t>
            </w:r>
          </w:p>
        </w:tc>
        <w:tc>
          <w:tcPr>
            <w:tcW w:w="554" w:type="dxa"/>
            <w:gridSpan w:val="2"/>
            <w:hideMark/>
          </w:tcPr>
          <w:p w14:paraId="6CCF350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85</w:t>
            </w:r>
          </w:p>
        </w:tc>
        <w:tc>
          <w:tcPr>
            <w:tcW w:w="425" w:type="dxa"/>
            <w:hideMark/>
          </w:tcPr>
          <w:p w14:paraId="643375B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1279" w:type="dxa"/>
            <w:gridSpan w:val="2"/>
            <w:hideMark/>
          </w:tcPr>
          <w:p w14:paraId="2537AB4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35.5 ± 12.7</w:t>
            </w:r>
          </w:p>
        </w:tc>
        <w:tc>
          <w:tcPr>
            <w:tcW w:w="673" w:type="dxa"/>
            <w:gridSpan w:val="3"/>
            <w:hideMark/>
          </w:tcPr>
          <w:p w14:paraId="63B356D4" w14:textId="2576E79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hideMark/>
          </w:tcPr>
          <w:p w14:paraId="7216E325" w14:textId="56BCDAA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hideMark/>
          </w:tcPr>
          <w:p w14:paraId="7315045D" w14:textId="5AE4F35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hideMark/>
          </w:tcPr>
          <w:p w14:paraId="085562CB" w14:textId="37524F3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63" w:type="dxa"/>
            <w:gridSpan w:val="3"/>
            <w:hideMark/>
          </w:tcPr>
          <w:p w14:paraId="4EBBB4BA" w14:textId="7FA2EF1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hideMark/>
          </w:tcPr>
          <w:p w14:paraId="12111924" w14:textId="2FF018B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hideMark/>
          </w:tcPr>
          <w:p w14:paraId="34FE3E30" w14:textId="5A7A548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hideMark/>
          </w:tcPr>
          <w:p w14:paraId="18A4958D" w14:textId="59D54B0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hideMark/>
          </w:tcPr>
          <w:p w14:paraId="7D09FB17" w14:textId="14188B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EEAAFCD" w14:textId="77777777" w:rsidTr="008B36A4">
        <w:trPr>
          <w:cantSplit/>
          <w:trHeight w:val="53"/>
        </w:trPr>
        <w:tc>
          <w:tcPr>
            <w:tcW w:w="2552" w:type="dxa"/>
            <w:gridSpan w:val="3"/>
            <w:noWrap/>
            <w:hideMark/>
          </w:tcPr>
          <w:p w14:paraId="48FA6830" w14:textId="78C76F79" w:rsidR="00F62694" w:rsidRPr="00DB3383" w:rsidRDefault="00F62694" w:rsidP="00C77BDD">
            <w:pPr>
              <w:rPr>
                <w:rFonts w:ascii="Arial" w:eastAsia="Times New Roman" w:hAnsi="Arial" w:cs="Arial"/>
                <w:b/>
                <w:bCs/>
                <w:i/>
                <w:iCs/>
                <w:color w:val="000000" w:themeColor="text1"/>
                <w:sz w:val="12"/>
                <w:szCs w:val="12"/>
                <w:lang w:eastAsia="en-AU"/>
              </w:rPr>
            </w:pPr>
            <w:r w:rsidRPr="00DB3383">
              <w:rPr>
                <w:rFonts w:ascii="Arial" w:eastAsia="Times New Roman" w:hAnsi="Arial" w:cs="Arial"/>
                <w:b/>
                <w:bCs/>
                <w:i/>
                <w:iCs/>
                <w:color w:val="000000" w:themeColor="text1"/>
                <w:sz w:val="12"/>
                <w:szCs w:val="12"/>
                <w:lang w:eastAsia="en-AU"/>
              </w:rPr>
              <w:t>Paediatric Studies</w:t>
            </w:r>
          </w:p>
        </w:tc>
        <w:tc>
          <w:tcPr>
            <w:tcW w:w="575" w:type="dxa"/>
            <w:gridSpan w:val="2"/>
            <w:hideMark/>
          </w:tcPr>
          <w:p w14:paraId="497BC9AF"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2CF52D05"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0E24DA58"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404BA08" w14:textId="6AA67008"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5461AD6E"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42473DB6"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42174669"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11F4F513"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7F6D697D" w14:textId="77777777" w:rsidR="00F62694" w:rsidRPr="00C77BDD" w:rsidRDefault="00F62694" w:rsidP="00C77BDD">
            <w:pPr>
              <w:rPr>
                <w:rFonts w:ascii="Arial" w:eastAsia="Times New Roman" w:hAnsi="Arial" w:cs="Arial"/>
                <w:color w:val="000000" w:themeColor="text1"/>
                <w:sz w:val="12"/>
                <w:szCs w:val="12"/>
                <w:lang w:eastAsia="en-AU"/>
              </w:rPr>
            </w:pPr>
          </w:p>
        </w:tc>
        <w:tc>
          <w:tcPr>
            <w:tcW w:w="1233" w:type="dxa"/>
            <w:hideMark/>
          </w:tcPr>
          <w:p w14:paraId="2374D753" w14:textId="77777777" w:rsidR="00F62694" w:rsidRPr="00C77BDD" w:rsidRDefault="00F62694" w:rsidP="00C77BDD">
            <w:pPr>
              <w:rPr>
                <w:rFonts w:ascii="Arial" w:eastAsia="Times New Roman" w:hAnsi="Arial" w:cs="Arial"/>
                <w:color w:val="000000" w:themeColor="text1"/>
                <w:sz w:val="12"/>
                <w:szCs w:val="12"/>
                <w:lang w:eastAsia="en-AU"/>
              </w:rPr>
            </w:pPr>
          </w:p>
        </w:tc>
        <w:tc>
          <w:tcPr>
            <w:tcW w:w="609" w:type="dxa"/>
            <w:gridSpan w:val="3"/>
            <w:hideMark/>
          </w:tcPr>
          <w:p w14:paraId="547548D1" w14:textId="77777777" w:rsidR="00F62694" w:rsidRPr="00C77BDD" w:rsidRDefault="00F62694" w:rsidP="00C77BDD">
            <w:pPr>
              <w:rPr>
                <w:rFonts w:ascii="Arial" w:eastAsia="Times New Roman" w:hAnsi="Arial" w:cs="Arial"/>
                <w:color w:val="000000" w:themeColor="text1"/>
                <w:sz w:val="12"/>
                <w:szCs w:val="12"/>
                <w:lang w:eastAsia="en-AU"/>
              </w:rPr>
            </w:pPr>
          </w:p>
        </w:tc>
        <w:tc>
          <w:tcPr>
            <w:tcW w:w="529" w:type="dxa"/>
            <w:hideMark/>
          </w:tcPr>
          <w:p w14:paraId="32776693" w14:textId="77777777" w:rsidR="00F62694" w:rsidRPr="00C77BDD" w:rsidRDefault="00F62694" w:rsidP="00C77BDD">
            <w:pPr>
              <w:rPr>
                <w:rFonts w:ascii="Arial" w:eastAsia="Times New Roman" w:hAnsi="Arial" w:cs="Arial"/>
                <w:color w:val="000000" w:themeColor="text1"/>
                <w:sz w:val="12"/>
                <w:szCs w:val="12"/>
                <w:lang w:eastAsia="en-AU"/>
              </w:rPr>
            </w:pPr>
          </w:p>
        </w:tc>
        <w:tc>
          <w:tcPr>
            <w:tcW w:w="425" w:type="dxa"/>
            <w:hideMark/>
          </w:tcPr>
          <w:p w14:paraId="29A6D76A" w14:textId="77777777" w:rsidR="00F62694" w:rsidRPr="00C77BDD" w:rsidRDefault="00F62694" w:rsidP="00C77BDD">
            <w:pPr>
              <w:rPr>
                <w:rFonts w:ascii="Arial" w:eastAsia="Times New Roman" w:hAnsi="Arial" w:cs="Arial"/>
                <w:color w:val="000000" w:themeColor="text1"/>
                <w:sz w:val="12"/>
                <w:szCs w:val="12"/>
                <w:lang w:eastAsia="en-AU"/>
              </w:rPr>
            </w:pPr>
          </w:p>
        </w:tc>
        <w:tc>
          <w:tcPr>
            <w:tcW w:w="1254" w:type="dxa"/>
            <w:hideMark/>
          </w:tcPr>
          <w:p w14:paraId="00A2D853" w14:textId="77777777" w:rsidR="00F62694" w:rsidRPr="00C77BDD" w:rsidRDefault="00F62694" w:rsidP="00C77BDD">
            <w:pPr>
              <w:rPr>
                <w:rFonts w:ascii="Arial" w:eastAsia="Times New Roman" w:hAnsi="Arial" w:cs="Arial"/>
                <w:color w:val="000000" w:themeColor="text1"/>
                <w:sz w:val="12"/>
                <w:szCs w:val="12"/>
                <w:lang w:eastAsia="en-AU"/>
              </w:rPr>
            </w:pPr>
          </w:p>
        </w:tc>
        <w:tc>
          <w:tcPr>
            <w:tcW w:w="673" w:type="dxa"/>
            <w:gridSpan w:val="3"/>
            <w:hideMark/>
          </w:tcPr>
          <w:p w14:paraId="0251A154" w14:textId="77777777" w:rsidR="00F62694" w:rsidRPr="00C77BDD" w:rsidRDefault="00F62694" w:rsidP="00C77BDD">
            <w:pPr>
              <w:rPr>
                <w:rFonts w:ascii="Arial" w:eastAsia="Times New Roman" w:hAnsi="Arial" w:cs="Arial"/>
                <w:color w:val="000000" w:themeColor="text1"/>
                <w:sz w:val="12"/>
                <w:szCs w:val="12"/>
                <w:lang w:eastAsia="en-AU"/>
              </w:rPr>
            </w:pPr>
          </w:p>
        </w:tc>
        <w:tc>
          <w:tcPr>
            <w:tcW w:w="757" w:type="dxa"/>
            <w:gridSpan w:val="3"/>
            <w:hideMark/>
          </w:tcPr>
          <w:p w14:paraId="10A6B756" w14:textId="77777777" w:rsidR="00F62694" w:rsidRPr="00C77BDD" w:rsidRDefault="00F62694" w:rsidP="00C77BDD">
            <w:pPr>
              <w:rPr>
                <w:rFonts w:ascii="Arial" w:eastAsia="Times New Roman" w:hAnsi="Arial" w:cs="Arial"/>
                <w:color w:val="000000" w:themeColor="text1"/>
                <w:sz w:val="12"/>
                <w:szCs w:val="12"/>
                <w:lang w:eastAsia="en-AU"/>
              </w:rPr>
            </w:pPr>
          </w:p>
        </w:tc>
        <w:tc>
          <w:tcPr>
            <w:tcW w:w="665" w:type="dxa"/>
            <w:gridSpan w:val="3"/>
            <w:hideMark/>
          </w:tcPr>
          <w:p w14:paraId="66D41679" w14:textId="77777777" w:rsidR="00F62694" w:rsidRPr="00C77BDD" w:rsidRDefault="00F62694" w:rsidP="00C77BDD">
            <w:pPr>
              <w:rPr>
                <w:rFonts w:ascii="Arial" w:eastAsia="Times New Roman" w:hAnsi="Arial" w:cs="Arial"/>
                <w:color w:val="000000" w:themeColor="text1"/>
                <w:sz w:val="12"/>
                <w:szCs w:val="12"/>
                <w:lang w:eastAsia="en-AU"/>
              </w:rPr>
            </w:pPr>
          </w:p>
        </w:tc>
        <w:tc>
          <w:tcPr>
            <w:tcW w:w="762" w:type="dxa"/>
            <w:gridSpan w:val="3"/>
            <w:hideMark/>
          </w:tcPr>
          <w:p w14:paraId="716F024C" w14:textId="77777777" w:rsidR="00F62694" w:rsidRPr="00C77BDD" w:rsidRDefault="00F62694" w:rsidP="00C77BDD">
            <w:pPr>
              <w:rPr>
                <w:rFonts w:ascii="Arial" w:eastAsia="Times New Roman" w:hAnsi="Arial" w:cs="Arial"/>
                <w:color w:val="000000" w:themeColor="text1"/>
                <w:sz w:val="12"/>
                <w:szCs w:val="12"/>
                <w:lang w:eastAsia="en-AU"/>
              </w:rPr>
            </w:pPr>
          </w:p>
        </w:tc>
        <w:tc>
          <w:tcPr>
            <w:tcW w:w="763" w:type="dxa"/>
            <w:gridSpan w:val="3"/>
            <w:hideMark/>
          </w:tcPr>
          <w:p w14:paraId="4AB81A24" w14:textId="77777777" w:rsidR="00F62694" w:rsidRPr="00C77BDD" w:rsidRDefault="00F62694" w:rsidP="00C77BDD">
            <w:pPr>
              <w:rPr>
                <w:rFonts w:ascii="Arial" w:eastAsia="Times New Roman" w:hAnsi="Arial" w:cs="Arial"/>
                <w:color w:val="000000" w:themeColor="text1"/>
                <w:sz w:val="12"/>
                <w:szCs w:val="12"/>
                <w:lang w:eastAsia="en-AU"/>
              </w:rPr>
            </w:pPr>
          </w:p>
        </w:tc>
        <w:tc>
          <w:tcPr>
            <w:tcW w:w="796" w:type="dxa"/>
            <w:gridSpan w:val="3"/>
            <w:hideMark/>
          </w:tcPr>
          <w:p w14:paraId="13CFACB9" w14:textId="77777777" w:rsidR="00F62694" w:rsidRPr="00C77BDD" w:rsidRDefault="00F62694" w:rsidP="00C77BDD">
            <w:pPr>
              <w:rPr>
                <w:rFonts w:ascii="Arial" w:eastAsia="Times New Roman" w:hAnsi="Arial" w:cs="Arial"/>
                <w:color w:val="000000" w:themeColor="text1"/>
                <w:sz w:val="12"/>
                <w:szCs w:val="12"/>
                <w:lang w:eastAsia="en-AU"/>
              </w:rPr>
            </w:pPr>
          </w:p>
        </w:tc>
        <w:tc>
          <w:tcPr>
            <w:tcW w:w="703" w:type="dxa"/>
            <w:hideMark/>
          </w:tcPr>
          <w:p w14:paraId="2122004A" w14:textId="77777777" w:rsidR="00F62694" w:rsidRPr="00C77BDD" w:rsidRDefault="00F62694" w:rsidP="00C77BDD">
            <w:pPr>
              <w:rPr>
                <w:rFonts w:ascii="Arial" w:eastAsia="Times New Roman" w:hAnsi="Arial" w:cs="Arial"/>
                <w:color w:val="000000" w:themeColor="text1"/>
                <w:sz w:val="12"/>
                <w:szCs w:val="12"/>
                <w:lang w:eastAsia="en-AU"/>
              </w:rPr>
            </w:pPr>
          </w:p>
        </w:tc>
        <w:tc>
          <w:tcPr>
            <w:tcW w:w="750" w:type="dxa"/>
            <w:hideMark/>
          </w:tcPr>
          <w:p w14:paraId="3071CA82" w14:textId="77777777" w:rsidR="00F62694" w:rsidRPr="00C77BDD" w:rsidRDefault="00F62694" w:rsidP="00C77BDD">
            <w:pPr>
              <w:rPr>
                <w:rFonts w:ascii="Arial" w:eastAsia="Times New Roman" w:hAnsi="Arial" w:cs="Arial"/>
                <w:color w:val="000000" w:themeColor="text1"/>
                <w:sz w:val="12"/>
                <w:szCs w:val="12"/>
                <w:lang w:eastAsia="en-AU"/>
              </w:rPr>
            </w:pPr>
          </w:p>
        </w:tc>
        <w:tc>
          <w:tcPr>
            <w:tcW w:w="790" w:type="dxa"/>
            <w:hideMark/>
          </w:tcPr>
          <w:p w14:paraId="1872BCD6" w14:textId="77777777" w:rsidR="00F62694" w:rsidRPr="00C77BDD" w:rsidRDefault="00F62694" w:rsidP="00C77BDD">
            <w:pPr>
              <w:rPr>
                <w:rFonts w:ascii="Arial" w:eastAsia="Times New Roman" w:hAnsi="Arial" w:cs="Arial"/>
                <w:color w:val="000000" w:themeColor="text1"/>
                <w:sz w:val="12"/>
                <w:szCs w:val="12"/>
                <w:lang w:eastAsia="en-AU"/>
              </w:rPr>
            </w:pPr>
          </w:p>
        </w:tc>
      </w:tr>
      <w:tr w:rsidR="00F62694" w:rsidRPr="008E4E40" w14:paraId="08611093" w14:textId="77777777" w:rsidTr="008B36A4">
        <w:trPr>
          <w:cantSplit/>
          <w:trHeight w:val="253"/>
        </w:trPr>
        <w:tc>
          <w:tcPr>
            <w:tcW w:w="410" w:type="dxa"/>
            <w:hideMark/>
          </w:tcPr>
          <w:p w14:paraId="1C67368C" w14:textId="14DB351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r>
              <w:rPr>
                <w:rFonts w:ascii="Arial" w:eastAsia="Times New Roman" w:hAnsi="Arial" w:cs="Arial"/>
                <w:color w:val="000000" w:themeColor="text1"/>
                <w:sz w:val="12"/>
                <w:szCs w:val="12"/>
                <w:lang w:eastAsia="en-AU"/>
              </w:rPr>
              <w:t>6</w:t>
            </w:r>
          </w:p>
        </w:tc>
        <w:tc>
          <w:tcPr>
            <w:tcW w:w="437" w:type="dxa"/>
            <w:hideMark/>
          </w:tcPr>
          <w:p w14:paraId="3EA461F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3500B8A" w14:textId="6D745E0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Banwell et al., 2008</w:t>
            </w:r>
            <w:r w:rsidR="00560A8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[91]</w:t>
            </w:r>
          </w:p>
        </w:tc>
        <w:tc>
          <w:tcPr>
            <w:tcW w:w="575" w:type="dxa"/>
            <w:gridSpan w:val="2"/>
            <w:hideMark/>
          </w:tcPr>
          <w:p w14:paraId="70D784C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2008</w:t>
            </w:r>
          </w:p>
        </w:tc>
        <w:tc>
          <w:tcPr>
            <w:tcW w:w="1030" w:type="dxa"/>
            <w:gridSpan w:val="2"/>
            <w:hideMark/>
          </w:tcPr>
          <w:p w14:paraId="170E73E2" w14:textId="55FBF97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Toronto</w:t>
            </w:r>
            <w:r w:rsidR="00612D0C">
              <w:rPr>
                <w:rFonts w:ascii="Arial" w:eastAsia="Times New Roman" w:hAnsi="Arial" w:cs="Arial"/>
                <w:color w:val="000000" w:themeColor="text1"/>
                <w:sz w:val="12"/>
                <w:szCs w:val="12"/>
                <w:lang w:eastAsia="en-AU"/>
              </w:rPr>
              <w:t>,</w:t>
            </w:r>
            <w:r w:rsidRPr="00C77BDD">
              <w:rPr>
                <w:rFonts w:ascii="Arial" w:eastAsia="Times New Roman" w:hAnsi="Arial" w:cs="Arial"/>
                <w:color w:val="000000" w:themeColor="text1"/>
                <w:sz w:val="12"/>
                <w:szCs w:val="12"/>
                <w:lang w:eastAsia="en-AU"/>
              </w:rPr>
              <w:t xml:space="preserve"> Canada and Buenos Aires, Argentina</w:t>
            </w:r>
          </w:p>
        </w:tc>
        <w:tc>
          <w:tcPr>
            <w:tcW w:w="918" w:type="dxa"/>
            <w:gridSpan w:val="2"/>
          </w:tcPr>
          <w:p w14:paraId="0DCF8E63"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76E3073" w14:textId="6C86E36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945B32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Two paediatric CNS inflammatory disease clinics</w:t>
            </w:r>
          </w:p>
        </w:tc>
        <w:tc>
          <w:tcPr>
            <w:tcW w:w="1560" w:type="dxa"/>
            <w:hideMark/>
          </w:tcPr>
          <w:p w14:paraId="61F78183" w14:textId="1A16D16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(onset &lt;18 years)</w:t>
            </w:r>
          </w:p>
        </w:tc>
        <w:tc>
          <w:tcPr>
            <w:tcW w:w="1193" w:type="dxa"/>
            <w:hideMark/>
          </w:tcPr>
          <w:p w14:paraId="6F30795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1999</w:t>
            </w:r>
          </w:p>
        </w:tc>
        <w:tc>
          <w:tcPr>
            <w:tcW w:w="1358" w:type="dxa"/>
            <w:hideMark/>
          </w:tcPr>
          <w:p w14:paraId="31AB2CD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Tissue immunofluorescence</w:t>
            </w:r>
          </w:p>
        </w:tc>
        <w:tc>
          <w:tcPr>
            <w:tcW w:w="893" w:type="dxa"/>
            <w:hideMark/>
          </w:tcPr>
          <w:p w14:paraId="79BF4EA1" w14:textId="533F718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47.1</w:t>
            </w:r>
          </w:p>
        </w:tc>
        <w:tc>
          <w:tcPr>
            <w:tcW w:w="1233" w:type="dxa"/>
            <w:hideMark/>
          </w:tcPr>
          <w:p w14:paraId="3B387F6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017BA70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17</w:t>
            </w:r>
          </w:p>
        </w:tc>
        <w:tc>
          <w:tcPr>
            <w:tcW w:w="554" w:type="dxa"/>
            <w:gridSpan w:val="2"/>
            <w:noWrap/>
            <w:hideMark/>
          </w:tcPr>
          <w:p w14:paraId="7FC4460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w:t>
            </w:r>
          </w:p>
        </w:tc>
        <w:tc>
          <w:tcPr>
            <w:tcW w:w="425" w:type="dxa"/>
            <w:noWrap/>
            <w:hideMark/>
          </w:tcPr>
          <w:p w14:paraId="27BF967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p>
        </w:tc>
        <w:tc>
          <w:tcPr>
            <w:tcW w:w="1279" w:type="dxa"/>
            <w:gridSpan w:val="2"/>
            <w:hideMark/>
          </w:tcPr>
          <w:p w14:paraId="7125F240" w14:textId="04DD1109"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 ± 3.1</w:t>
            </w:r>
            <w:r w:rsidRPr="008D1DC2">
              <w:rPr>
                <w:rFonts w:ascii="Arial" w:eastAsia="Times New Roman" w:hAnsi="Arial" w:cs="Arial"/>
                <w:color w:val="000000" w:themeColor="text1"/>
                <w:sz w:val="12"/>
                <w:szCs w:val="12"/>
                <w:vertAlign w:val="superscript"/>
                <w:lang w:eastAsia="en-AU"/>
              </w:rPr>
              <w:t>‡</w:t>
            </w:r>
          </w:p>
          <w:p w14:paraId="7BFC5ED2" w14:textId="52A077E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10.4 (4 - 15)</w:t>
            </w:r>
          </w:p>
        </w:tc>
        <w:tc>
          <w:tcPr>
            <w:tcW w:w="673" w:type="dxa"/>
            <w:gridSpan w:val="3"/>
            <w:noWrap/>
            <w:hideMark/>
          </w:tcPr>
          <w:p w14:paraId="1BCE8757" w14:textId="0681CA3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5D2AE18E" w14:textId="1AEFBCF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665" w:type="dxa"/>
            <w:gridSpan w:val="3"/>
            <w:noWrap/>
            <w:hideMark/>
          </w:tcPr>
          <w:p w14:paraId="511BF354" w14:textId="5C648DF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noWrap/>
            <w:hideMark/>
          </w:tcPr>
          <w:p w14:paraId="3852C930" w14:textId="2AAD303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5AFD10F3" w14:textId="22C0D8F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3980244D" w14:textId="6052747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03FD78A4" w14:textId="2E5168F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2E09D6D0" w14:textId="13DD865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4A82BBFC" w14:textId="108261C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8EC289F" w14:textId="77777777" w:rsidTr="008B36A4">
        <w:trPr>
          <w:cantSplit/>
          <w:trHeight w:val="253"/>
        </w:trPr>
        <w:tc>
          <w:tcPr>
            <w:tcW w:w="410" w:type="dxa"/>
          </w:tcPr>
          <w:p w14:paraId="27D80EFD" w14:textId="474D89F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67</w:t>
            </w:r>
          </w:p>
        </w:tc>
        <w:tc>
          <w:tcPr>
            <w:tcW w:w="437" w:type="dxa"/>
          </w:tcPr>
          <w:p w14:paraId="26C3C8D1" w14:textId="54FE9B82" w:rsidR="00F62694" w:rsidRPr="00C77BDD" w:rsidRDefault="00FB3065"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w:t>
            </w:r>
          </w:p>
        </w:tc>
        <w:tc>
          <w:tcPr>
            <w:tcW w:w="1705" w:type="dxa"/>
          </w:tcPr>
          <w:p w14:paraId="3FFBC9A6" w14:textId="4218162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Camera et al., 2022</w:t>
            </w:r>
            <w:r w:rsidR="00560A8E">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[92]</w:t>
            </w:r>
          </w:p>
        </w:tc>
        <w:tc>
          <w:tcPr>
            <w:tcW w:w="575" w:type="dxa"/>
            <w:gridSpan w:val="2"/>
          </w:tcPr>
          <w:p w14:paraId="3973C956" w14:textId="10072E01" w:rsidR="00F62694" w:rsidRPr="00C77BDD" w:rsidRDefault="001B156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2022</w:t>
            </w:r>
          </w:p>
        </w:tc>
        <w:tc>
          <w:tcPr>
            <w:tcW w:w="1030" w:type="dxa"/>
            <w:gridSpan w:val="2"/>
          </w:tcPr>
          <w:p w14:paraId="29FFAE87" w14:textId="044748FA" w:rsidR="00F62694" w:rsidRPr="00C77BDD" w:rsidRDefault="00B844A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UK</w:t>
            </w:r>
          </w:p>
        </w:tc>
        <w:tc>
          <w:tcPr>
            <w:tcW w:w="918" w:type="dxa"/>
            <w:gridSpan w:val="2"/>
          </w:tcPr>
          <w:p w14:paraId="2FC292D6"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50D7330E" w14:textId="0F2CE9AF" w:rsidR="00F62694" w:rsidRPr="00C77BDD" w:rsidRDefault="008E4DE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Case series</w:t>
            </w:r>
          </w:p>
        </w:tc>
        <w:tc>
          <w:tcPr>
            <w:tcW w:w="1378" w:type="dxa"/>
          </w:tcPr>
          <w:p w14:paraId="6ACE7AE6" w14:textId="6B5C1BF7" w:rsidR="00F62694" w:rsidRPr="00C77BDD" w:rsidRDefault="008E4DE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Six tertiary referral centres</w:t>
            </w:r>
            <w:r w:rsidR="00C414CA">
              <w:rPr>
                <w:rFonts w:ascii="Arial" w:eastAsia="Times New Roman" w:hAnsi="Arial" w:cs="Arial"/>
                <w:color w:val="000000" w:themeColor="text1"/>
                <w:sz w:val="12"/>
                <w:szCs w:val="12"/>
                <w:lang w:eastAsia="en-AU"/>
              </w:rPr>
              <w:t xml:space="preserve"> for NMO</w:t>
            </w:r>
          </w:p>
        </w:tc>
        <w:tc>
          <w:tcPr>
            <w:tcW w:w="1560" w:type="dxa"/>
          </w:tcPr>
          <w:p w14:paraId="0E4DA917" w14:textId="6F0DCDA4" w:rsidR="00F62694" w:rsidRPr="00C77BDD" w:rsidRDefault="00C414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(onset &lt;18 years)</w:t>
            </w:r>
          </w:p>
        </w:tc>
        <w:tc>
          <w:tcPr>
            <w:tcW w:w="1193" w:type="dxa"/>
          </w:tcPr>
          <w:p w14:paraId="545CA19C" w14:textId="1231900F" w:rsidR="00F62694" w:rsidRPr="00C77BDD" w:rsidRDefault="00C414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 xml:space="preserve">IPND 2015 </w:t>
            </w:r>
            <w:r w:rsidR="000B7CF1">
              <w:rPr>
                <w:rFonts w:ascii="Arial" w:eastAsia="Times New Roman" w:hAnsi="Arial" w:cs="Arial"/>
                <w:color w:val="000000" w:themeColor="text1"/>
                <w:sz w:val="12"/>
                <w:szCs w:val="12"/>
                <w:lang w:eastAsia="en-AU"/>
              </w:rPr>
              <w:t>plus AQP</w:t>
            </w:r>
            <w:r w:rsidR="001876CA">
              <w:rPr>
                <w:rFonts w:ascii="Arial" w:eastAsia="Times New Roman" w:hAnsi="Arial" w:cs="Arial"/>
                <w:color w:val="000000" w:themeColor="text1"/>
                <w:sz w:val="12"/>
                <w:szCs w:val="12"/>
                <w:lang w:eastAsia="en-AU"/>
              </w:rPr>
              <w:t>4</w:t>
            </w:r>
            <w:r w:rsidR="000B7CF1">
              <w:rPr>
                <w:rFonts w:ascii="Arial" w:eastAsia="Times New Roman" w:hAnsi="Arial" w:cs="Arial"/>
                <w:color w:val="000000" w:themeColor="text1"/>
                <w:sz w:val="12"/>
                <w:szCs w:val="12"/>
                <w:lang w:eastAsia="en-AU"/>
              </w:rPr>
              <w:t xml:space="preserve"> antibody positive</w:t>
            </w:r>
          </w:p>
        </w:tc>
        <w:tc>
          <w:tcPr>
            <w:tcW w:w="1358" w:type="dxa"/>
          </w:tcPr>
          <w:p w14:paraId="00B0B7BD" w14:textId="3A8F9294" w:rsidR="00F62694" w:rsidRPr="00C77BDD" w:rsidRDefault="001876CA"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Oxford live cell-based assay</w:t>
            </w:r>
          </w:p>
        </w:tc>
        <w:tc>
          <w:tcPr>
            <w:tcW w:w="893" w:type="dxa"/>
          </w:tcPr>
          <w:p w14:paraId="16858DE0" w14:textId="677E6C12" w:rsidR="00F62694" w:rsidRPr="00C77BDD" w:rsidRDefault="003A48E9"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100</w:t>
            </w:r>
          </w:p>
        </w:tc>
        <w:tc>
          <w:tcPr>
            <w:tcW w:w="1233" w:type="dxa"/>
          </w:tcPr>
          <w:p w14:paraId="1CA09768" w14:textId="3E4855A3" w:rsidR="00F62694" w:rsidRPr="00C77BDD" w:rsidRDefault="003A48E9"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Not estimated</w:t>
            </w:r>
          </w:p>
        </w:tc>
        <w:tc>
          <w:tcPr>
            <w:tcW w:w="584" w:type="dxa"/>
            <w:gridSpan w:val="2"/>
            <w:noWrap/>
          </w:tcPr>
          <w:p w14:paraId="57DD2544" w14:textId="3994CECF" w:rsidR="00F62694" w:rsidRPr="00C77BDD" w:rsidRDefault="008B5ADD"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49</w:t>
            </w:r>
          </w:p>
        </w:tc>
        <w:tc>
          <w:tcPr>
            <w:tcW w:w="554" w:type="dxa"/>
            <w:gridSpan w:val="2"/>
            <w:noWrap/>
          </w:tcPr>
          <w:p w14:paraId="59EB97E7" w14:textId="6413AFD6" w:rsidR="00F62694" w:rsidRPr="00C77BDD" w:rsidRDefault="00311B1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43</w:t>
            </w:r>
          </w:p>
        </w:tc>
        <w:tc>
          <w:tcPr>
            <w:tcW w:w="425" w:type="dxa"/>
            <w:noWrap/>
          </w:tcPr>
          <w:p w14:paraId="3E2F542E" w14:textId="624D8ADE" w:rsidR="00F62694" w:rsidRPr="00C77BDD" w:rsidRDefault="00311B1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6</w:t>
            </w:r>
          </w:p>
        </w:tc>
        <w:tc>
          <w:tcPr>
            <w:tcW w:w="1279" w:type="dxa"/>
            <w:gridSpan w:val="2"/>
          </w:tcPr>
          <w:p w14:paraId="38BD4BB1" w14:textId="0AB49070" w:rsidR="00F62694" w:rsidRPr="00C77BDD" w:rsidRDefault="00311B1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 xml:space="preserve">12 </w:t>
            </w:r>
            <w:r w:rsidRPr="00C77BDD">
              <w:rPr>
                <w:rFonts w:ascii="Arial" w:eastAsia="Times New Roman" w:hAnsi="Arial" w:cs="Arial"/>
                <w:color w:val="000000" w:themeColor="text1"/>
                <w:sz w:val="12"/>
                <w:szCs w:val="12"/>
                <w:lang w:eastAsia="en-AU"/>
              </w:rPr>
              <w:t>±</w:t>
            </w:r>
            <w:r>
              <w:rPr>
                <w:rFonts w:ascii="Arial" w:eastAsia="Times New Roman" w:hAnsi="Arial" w:cs="Arial"/>
                <w:color w:val="000000" w:themeColor="text1"/>
                <w:sz w:val="12"/>
                <w:szCs w:val="12"/>
                <w:lang w:eastAsia="en-AU"/>
              </w:rPr>
              <w:t xml:space="preserve"> </w:t>
            </w:r>
            <w:r w:rsidR="001D1AE1">
              <w:rPr>
                <w:rFonts w:ascii="Arial" w:eastAsia="Times New Roman" w:hAnsi="Arial" w:cs="Arial"/>
                <w:color w:val="000000" w:themeColor="text1"/>
                <w:sz w:val="12"/>
                <w:szCs w:val="12"/>
                <w:lang w:eastAsia="en-AU"/>
              </w:rPr>
              <w:t>4.1</w:t>
            </w:r>
          </w:p>
        </w:tc>
        <w:tc>
          <w:tcPr>
            <w:tcW w:w="673" w:type="dxa"/>
            <w:gridSpan w:val="3"/>
            <w:noWrap/>
          </w:tcPr>
          <w:p w14:paraId="510D9D1E" w14:textId="584F2534" w:rsidR="00F62694" w:rsidRDefault="00B400E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tcPr>
          <w:p w14:paraId="12515D3F" w14:textId="494B9790" w:rsidR="00F62694" w:rsidRDefault="00B400E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tcPr>
          <w:p w14:paraId="5672E917" w14:textId="4D419A2E" w:rsidR="00F62694" w:rsidRPr="00C77BDD" w:rsidRDefault="00B400E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tcPr>
          <w:p w14:paraId="116501D5" w14:textId="5862BC69" w:rsidR="00F62694" w:rsidRDefault="00B400E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tcPr>
          <w:p w14:paraId="6B040020" w14:textId="671741D6" w:rsidR="00F62694" w:rsidRDefault="00B400E2"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tcPr>
          <w:p w14:paraId="1385AADD" w14:textId="3A7C1B9F" w:rsidR="00F62694" w:rsidRDefault="009560E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tcPr>
          <w:p w14:paraId="09F88EAB" w14:textId="2DEFA9E6" w:rsidR="00F62694" w:rsidRDefault="009560E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tcPr>
          <w:p w14:paraId="1F85FA4F" w14:textId="512224AB" w:rsidR="00F62694" w:rsidRDefault="009560E3"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tcPr>
          <w:p w14:paraId="71E06769" w14:textId="75FCE986" w:rsidR="00F62694" w:rsidRDefault="00527381"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EA63FFA" w14:textId="77777777" w:rsidTr="008B36A4">
        <w:trPr>
          <w:cantSplit/>
          <w:trHeight w:val="53"/>
        </w:trPr>
        <w:tc>
          <w:tcPr>
            <w:tcW w:w="410" w:type="dxa"/>
            <w:hideMark/>
          </w:tcPr>
          <w:p w14:paraId="0EC5808B" w14:textId="71CF364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r>
              <w:rPr>
                <w:rFonts w:ascii="Arial" w:eastAsia="Times New Roman" w:hAnsi="Arial" w:cs="Arial"/>
                <w:color w:val="000000" w:themeColor="text1"/>
                <w:sz w:val="12"/>
                <w:szCs w:val="12"/>
                <w:lang w:eastAsia="en-AU"/>
              </w:rPr>
              <w:t>8</w:t>
            </w:r>
          </w:p>
        </w:tc>
        <w:tc>
          <w:tcPr>
            <w:tcW w:w="437" w:type="dxa"/>
            <w:hideMark/>
          </w:tcPr>
          <w:p w14:paraId="49E0FD4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57609F9F" w14:textId="7A9EDB2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Chitnis et al., 201</w:t>
            </w:r>
            <w:r>
              <w:rPr>
                <w:rFonts w:ascii="Arial" w:eastAsia="Times New Roman" w:hAnsi="Arial" w:cs="Arial"/>
                <w:color w:val="000000" w:themeColor="text1"/>
                <w:sz w:val="12"/>
                <w:szCs w:val="12"/>
                <w:lang w:eastAsia="en-AU"/>
              </w:rPr>
              <w:t>6</w:t>
            </w:r>
            <w:r w:rsidR="00D803B8">
              <w:rPr>
                <w:rFonts w:ascii="Arial" w:eastAsia="Times New Roman" w:hAnsi="Arial" w:cs="Arial"/>
                <w:color w:val="000000" w:themeColor="text1"/>
                <w:sz w:val="12"/>
                <w:szCs w:val="12"/>
                <w:lang w:eastAsia="en-AU"/>
              </w:rPr>
              <w:t xml:space="preserve"> </w:t>
            </w:r>
            <w:r w:rsidR="00A12FE2">
              <w:rPr>
                <w:rFonts w:ascii="Arial" w:eastAsia="Times New Roman" w:hAnsi="Arial" w:cs="Arial"/>
                <w:noProof/>
                <w:color w:val="000000" w:themeColor="text1"/>
                <w:sz w:val="12"/>
                <w:szCs w:val="12"/>
                <w:lang w:eastAsia="en-AU"/>
              </w:rPr>
              <w:t>[11]</w:t>
            </w:r>
          </w:p>
        </w:tc>
        <w:tc>
          <w:tcPr>
            <w:tcW w:w="575" w:type="dxa"/>
            <w:gridSpan w:val="2"/>
            <w:hideMark/>
          </w:tcPr>
          <w:p w14:paraId="30D87E0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2013</w:t>
            </w:r>
          </w:p>
        </w:tc>
        <w:tc>
          <w:tcPr>
            <w:tcW w:w="1030" w:type="dxa"/>
            <w:gridSpan w:val="2"/>
            <w:hideMark/>
          </w:tcPr>
          <w:p w14:paraId="7C671E7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US</w:t>
            </w:r>
          </w:p>
        </w:tc>
        <w:tc>
          <w:tcPr>
            <w:tcW w:w="918" w:type="dxa"/>
            <w:gridSpan w:val="2"/>
          </w:tcPr>
          <w:p w14:paraId="60094BD2"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37A9D2E7" w14:textId="79A5931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90CC97A" w14:textId="79FAC7F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US Network of Paediatric MS Centres</w:t>
            </w:r>
          </w:p>
        </w:tc>
        <w:tc>
          <w:tcPr>
            <w:tcW w:w="1560" w:type="dxa"/>
            <w:hideMark/>
          </w:tcPr>
          <w:p w14:paraId="4A9A13D4" w14:textId="74F0A5F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(children and adolescents)</w:t>
            </w:r>
          </w:p>
        </w:tc>
        <w:tc>
          <w:tcPr>
            <w:tcW w:w="1193" w:type="dxa"/>
            <w:hideMark/>
          </w:tcPr>
          <w:p w14:paraId="13F782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1966D94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3176B8F9" w14:textId="43F392B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63.2</w:t>
            </w:r>
          </w:p>
        </w:tc>
        <w:tc>
          <w:tcPr>
            <w:tcW w:w="1233" w:type="dxa"/>
            <w:hideMark/>
          </w:tcPr>
          <w:p w14:paraId="32A2E41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2E15836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38</w:t>
            </w:r>
          </w:p>
        </w:tc>
        <w:tc>
          <w:tcPr>
            <w:tcW w:w="554" w:type="dxa"/>
            <w:gridSpan w:val="2"/>
            <w:noWrap/>
            <w:hideMark/>
          </w:tcPr>
          <w:p w14:paraId="0A5EC49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w:t>
            </w:r>
          </w:p>
        </w:tc>
        <w:tc>
          <w:tcPr>
            <w:tcW w:w="425" w:type="dxa"/>
            <w:noWrap/>
            <w:hideMark/>
          </w:tcPr>
          <w:p w14:paraId="70A9655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noWrap/>
            <w:hideMark/>
          </w:tcPr>
          <w:p w14:paraId="2DA2B90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10.2 ± 4.7</w:t>
            </w:r>
          </w:p>
        </w:tc>
        <w:tc>
          <w:tcPr>
            <w:tcW w:w="673" w:type="dxa"/>
            <w:gridSpan w:val="3"/>
            <w:noWrap/>
            <w:hideMark/>
          </w:tcPr>
          <w:p w14:paraId="56A19211" w14:textId="59FC6D6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0F6D836D" w14:textId="08ED304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775799A0" w14:textId="47ECCE9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76AD95B1" w14:textId="5DE252F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7C54B031" w14:textId="48E6741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57F8429B" w14:textId="3478BF2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A20296B" w14:textId="676BD14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6EE1EA66" w14:textId="3B3B6E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6BEA46E9" w14:textId="4135B7B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4888163" w14:textId="77777777" w:rsidTr="008B36A4">
        <w:trPr>
          <w:cantSplit/>
          <w:trHeight w:val="53"/>
        </w:trPr>
        <w:tc>
          <w:tcPr>
            <w:tcW w:w="410" w:type="dxa"/>
            <w:hideMark/>
          </w:tcPr>
          <w:p w14:paraId="4AF161E4" w14:textId="7060117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r>
              <w:rPr>
                <w:rFonts w:ascii="Arial" w:eastAsia="Times New Roman" w:hAnsi="Arial" w:cs="Arial"/>
                <w:color w:val="000000" w:themeColor="text1"/>
                <w:sz w:val="12"/>
                <w:szCs w:val="12"/>
                <w:lang w:eastAsia="en-AU"/>
              </w:rPr>
              <w:t>9</w:t>
            </w:r>
          </w:p>
        </w:tc>
        <w:tc>
          <w:tcPr>
            <w:tcW w:w="437" w:type="dxa"/>
            <w:hideMark/>
          </w:tcPr>
          <w:p w14:paraId="29453C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026181A" w14:textId="338E39E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Collongues et al., 2010</w:t>
            </w:r>
            <w:r w:rsidR="00FD0ECB">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[93]</w:t>
            </w:r>
          </w:p>
        </w:tc>
        <w:tc>
          <w:tcPr>
            <w:tcW w:w="575" w:type="dxa"/>
            <w:gridSpan w:val="2"/>
            <w:hideMark/>
          </w:tcPr>
          <w:p w14:paraId="3077930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2008</w:t>
            </w:r>
          </w:p>
        </w:tc>
        <w:tc>
          <w:tcPr>
            <w:tcW w:w="1030" w:type="dxa"/>
            <w:gridSpan w:val="2"/>
            <w:hideMark/>
          </w:tcPr>
          <w:p w14:paraId="764F8D5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France</w:t>
            </w:r>
          </w:p>
        </w:tc>
        <w:tc>
          <w:tcPr>
            <w:tcW w:w="918" w:type="dxa"/>
            <w:gridSpan w:val="2"/>
          </w:tcPr>
          <w:p w14:paraId="74996B2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1F2A8320" w14:textId="4AC7F89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3CF536B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Network of 25 French MS centres</w:t>
            </w:r>
          </w:p>
        </w:tc>
        <w:tc>
          <w:tcPr>
            <w:tcW w:w="1560" w:type="dxa"/>
            <w:hideMark/>
          </w:tcPr>
          <w:p w14:paraId="26401CDD" w14:textId="42CEFAD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(onset &lt;18 years)</w:t>
            </w:r>
          </w:p>
        </w:tc>
        <w:tc>
          <w:tcPr>
            <w:tcW w:w="1193" w:type="dxa"/>
            <w:hideMark/>
          </w:tcPr>
          <w:p w14:paraId="04A007B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0A55425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NMO IgG (not otherwise stated)</w:t>
            </w:r>
          </w:p>
        </w:tc>
        <w:tc>
          <w:tcPr>
            <w:tcW w:w="893" w:type="dxa"/>
            <w:hideMark/>
          </w:tcPr>
          <w:p w14:paraId="6DEC3360" w14:textId="7250AA0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66.7</w:t>
            </w:r>
          </w:p>
        </w:tc>
        <w:tc>
          <w:tcPr>
            <w:tcW w:w="1233" w:type="dxa"/>
            <w:hideMark/>
          </w:tcPr>
          <w:p w14:paraId="197BD3F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3E7FD91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554" w:type="dxa"/>
            <w:gridSpan w:val="2"/>
            <w:noWrap/>
            <w:hideMark/>
          </w:tcPr>
          <w:p w14:paraId="49B814D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425" w:type="dxa"/>
            <w:noWrap/>
            <w:hideMark/>
          </w:tcPr>
          <w:p w14:paraId="3604022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w:t>
            </w:r>
          </w:p>
        </w:tc>
        <w:tc>
          <w:tcPr>
            <w:tcW w:w="1279" w:type="dxa"/>
            <w:gridSpan w:val="2"/>
            <w:hideMark/>
          </w:tcPr>
          <w:p w14:paraId="148FE9BB"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12.9 ± 4.4</w:t>
            </w:r>
          </w:p>
          <w:p w14:paraId="52D4472C" w14:textId="312FDF2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 (4 - 17)</w:t>
            </w:r>
          </w:p>
        </w:tc>
        <w:tc>
          <w:tcPr>
            <w:tcW w:w="673" w:type="dxa"/>
            <w:gridSpan w:val="3"/>
            <w:noWrap/>
            <w:hideMark/>
          </w:tcPr>
          <w:p w14:paraId="34BB401F" w14:textId="16472FE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0E97B6A3" w14:textId="74DC212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6D4648BB" w14:textId="7080D13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noWrap/>
            <w:hideMark/>
          </w:tcPr>
          <w:p w14:paraId="3C610CA5" w14:textId="421CB45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722EE031" w14:textId="2794FA7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0B5BB83B" w14:textId="069FDD3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58B76FCC" w14:textId="415F9AF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1048C013" w14:textId="1187E80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51FD6002" w14:textId="6D0C3F1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D3E85D5" w14:textId="77777777" w:rsidTr="008B36A4">
        <w:trPr>
          <w:cantSplit/>
          <w:trHeight w:val="53"/>
        </w:trPr>
        <w:tc>
          <w:tcPr>
            <w:tcW w:w="410" w:type="dxa"/>
            <w:hideMark/>
          </w:tcPr>
          <w:p w14:paraId="33D8969F" w14:textId="5A44310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70</w:t>
            </w:r>
          </w:p>
        </w:tc>
        <w:tc>
          <w:tcPr>
            <w:tcW w:w="437" w:type="dxa"/>
            <w:hideMark/>
          </w:tcPr>
          <w:p w14:paraId="171729F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EB14776" w14:textId="67E01B9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Huppke et al., 2010</w:t>
            </w:r>
            <w:r w:rsidR="00FD0ECB">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[94]</w:t>
            </w:r>
          </w:p>
        </w:tc>
        <w:tc>
          <w:tcPr>
            <w:tcW w:w="575" w:type="dxa"/>
            <w:gridSpan w:val="2"/>
            <w:hideMark/>
          </w:tcPr>
          <w:p w14:paraId="220F613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2009</w:t>
            </w:r>
          </w:p>
        </w:tc>
        <w:tc>
          <w:tcPr>
            <w:tcW w:w="1030" w:type="dxa"/>
            <w:gridSpan w:val="2"/>
            <w:hideMark/>
          </w:tcPr>
          <w:p w14:paraId="4310813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Göttingen, Germany</w:t>
            </w:r>
          </w:p>
        </w:tc>
        <w:tc>
          <w:tcPr>
            <w:tcW w:w="918" w:type="dxa"/>
            <w:gridSpan w:val="2"/>
          </w:tcPr>
          <w:p w14:paraId="4E8E9316"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33FD1486" w14:textId="48B122B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F09372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referral centre</w:t>
            </w:r>
          </w:p>
        </w:tc>
        <w:tc>
          <w:tcPr>
            <w:tcW w:w="1560" w:type="dxa"/>
            <w:hideMark/>
          </w:tcPr>
          <w:p w14:paraId="6F9621F8" w14:textId="6BAD3C5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(age &lt;18 years)</w:t>
            </w:r>
          </w:p>
        </w:tc>
        <w:tc>
          <w:tcPr>
            <w:tcW w:w="1193" w:type="dxa"/>
            <w:hideMark/>
          </w:tcPr>
          <w:p w14:paraId="6DA20D8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7CED8CD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Radioimmunoprecipitation assay</w:t>
            </w:r>
          </w:p>
        </w:tc>
        <w:tc>
          <w:tcPr>
            <w:tcW w:w="893" w:type="dxa"/>
            <w:hideMark/>
          </w:tcPr>
          <w:p w14:paraId="1C6CE42C" w14:textId="1B96F0A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28.6</w:t>
            </w:r>
          </w:p>
        </w:tc>
        <w:tc>
          <w:tcPr>
            <w:tcW w:w="1233" w:type="dxa"/>
            <w:hideMark/>
          </w:tcPr>
          <w:p w14:paraId="187A2AC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21C7D0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554" w:type="dxa"/>
            <w:gridSpan w:val="2"/>
            <w:noWrap/>
            <w:hideMark/>
          </w:tcPr>
          <w:p w14:paraId="0983D40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425" w:type="dxa"/>
            <w:noWrap/>
            <w:hideMark/>
          </w:tcPr>
          <w:p w14:paraId="2169578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1F525E89" w14:textId="77C72E0C"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10.3 ± 3.7</w:t>
            </w:r>
            <w:r w:rsidRPr="008D1DC2">
              <w:rPr>
                <w:rFonts w:ascii="Arial" w:eastAsia="Times New Roman" w:hAnsi="Arial" w:cs="Arial"/>
                <w:color w:val="000000" w:themeColor="text1"/>
                <w:sz w:val="12"/>
                <w:szCs w:val="12"/>
                <w:vertAlign w:val="superscript"/>
                <w:lang w:eastAsia="en-AU"/>
              </w:rPr>
              <w:t>†</w:t>
            </w:r>
          </w:p>
          <w:p w14:paraId="614F80C0" w14:textId="3F5AF41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 (5 - 14)</w:t>
            </w:r>
          </w:p>
        </w:tc>
        <w:tc>
          <w:tcPr>
            <w:tcW w:w="673" w:type="dxa"/>
            <w:gridSpan w:val="3"/>
            <w:noWrap/>
            <w:hideMark/>
          </w:tcPr>
          <w:p w14:paraId="420B341F" w14:textId="4CC31AD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42DB5218" w14:textId="38F453A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72E92B79" w14:textId="10861AE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noWrap/>
            <w:hideMark/>
          </w:tcPr>
          <w:p w14:paraId="7635A91B" w14:textId="4B4845A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03A55D3C" w14:textId="1787707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79F673FA" w14:textId="22BBECC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7ECC2BF6" w14:textId="511161C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79BF7D2A" w14:textId="4135FC5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4231BDC0" w14:textId="32B4193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D374C83" w14:textId="77777777" w:rsidTr="008B36A4">
        <w:trPr>
          <w:cantSplit/>
          <w:trHeight w:val="53"/>
        </w:trPr>
        <w:tc>
          <w:tcPr>
            <w:tcW w:w="410" w:type="dxa"/>
            <w:hideMark/>
          </w:tcPr>
          <w:p w14:paraId="42A134F0" w14:textId="26EC0E6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71</w:t>
            </w:r>
          </w:p>
        </w:tc>
        <w:tc>
          <w:tcPr>
            <w:tcW w:w="437" w:type="dxa"/>
            <w:hideMark/>
          </w:tcPr>
          <w:p w14:paraId="3D78BEF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5C43EE03" w14:textId="67A6927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Lin et al., 2020</w:t>
            </w:r>
            <w:r w:rsidR="0084567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[95]</w:t>
            </w:r>
          </w:p>
        </w:tc>
        <w:tc>
          <w:tcPr>
            <w:tcW w:w="575" w:type="dxa"/>
            <w:gridSpan w:val="2"/>
            <w:hideMark/>
          </w:tcPr>
          <w:p w14:paraId="350EDDD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2015</w:t>
            </w:r>
          </w:p>
        </w:tc>
        <w:tc>
          <w:tcPr>
            <w:tcW w:w="1030" w:type="dxa"/>
            <w:gridSpan w:val="2"/>
            <w:hideMark/>
          </w:tcPr>
          <w:p w14:paraId="1660E7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Taiwan</w:t>
            </w:r>
          </w:p>
        </w:tc>
        <w:tc>
          <w:tcPr>
            <w:tcW w:w="918" w:type="dxa"/>
            <w:gridSpan w:val="2"/>
          </w:tcPr>
          <w:p w14:paraId="045AF331"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9EF730A" w14:textId="3D9E7E2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21D3A7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Health Insurance database</w:t>
            </w:r>
          </w:p>
        </w:tc>
        <w:tc>
          <w:tcPr>
            <w:tcW w:w="1560" w:type="dxa"/>
            <w:hideMark/>
          </w:tcPr>
          <w:p w14:paraId="465906C1" w14:textId="7FCE945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(onset &lt;20 years)</w:t>
            </w:r>
          </w:p>
        </w:tc>
        <w:tc>
          <w:tcPr>
            <w:tcW w:w="1193" w:type="dxa"/>
            <w:hideMark/>
          </w:tcPr>
          <w:p w14:paraId="6064E8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ICD-9-CM 341.0 code</w:t>
            </w:r>
          </w:p>
        </w:tc>
        <w:tc>
          <w:tcPr>
            <w:tcW w:w="1358" w:type="dxa"/>
            <w:hideMark/>
          </w:tcPr>
          <w:p w14:paraId="1A491C5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3406918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7B0AF9A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6F18A9A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w:t>
            </w:r>
          </w:p>
        </w:tc>
        <w:tc>
          <w:tcPr>
            <w:tcW w:w="554" w:type="dxa"/>
            <w:gridSpan w:val="2"/>
            <w:noWrap/>
            <w:hideMark/>
          </w:tcPr>
          <w:p w14:paraId="20313CD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w:t>
            </w:r>
          </w:p>
        </w:tc>
        <w:tc>
          <w:tcPr>
            <w:tcW w:w="425" w:type="dxa"/>
            <w:noWrap/>
            <w:hideMark/>
          </w:tcPr>
          <w:p w14:paraId="1BF6ECF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noWrap/>
            <w:hideMark/>
          </w:tcPr>
          <w:p w14:paraId="6AEDFE7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673" w:type="dxa"/>
            <w:gridSpan w:val="3"/>
            <w:noWrap/>
            <w:hideMark/>
          </w:tcPr>
          <w:p w14:paraId="47493982" w14:textId="56E3C7F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5F30154E" w14:textId="1A57DEC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52AE2C73" w14:textId="6769439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7EEC0CD1" w14:textId="3A8F7C7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40B4B459" w14:textId="617A1EF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6F778F13" w14:textId="688AE5A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58B8B673" w14:textId="4176F16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413C3F01" w14:textId="37D948E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3F49F26A" w14:textId="7962736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E09C988" w14:textId="77777777" w:rsidTr="008B36A4">
        <w:trPr>
          <w:cantSplit/>
          <w:trHeight w:val="53"/>
        </w:trPr>
        <w:tc>
          <w:tcPr>
            <w:tcW w:w="410" w:type="dxa"/>
            <w:hideMark/>
          </w:tcPr>
          <w:p w14:paraId="1D7EE4C8" w14:textId="4928CB0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72</w:t>
            </w:r>
          </w:p>
        </w:tc>
        <w:tc>
          <w:tcPr>
            <w:tcW w:w="437" w:type="dxa"/>
            <w:hideMark/>
          </w:tcPr>
          <w:p w14:paraId="281B800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20C8A27" w14:textId="32FCC20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Lotze et al., 2008</w:t>
            </w:r>
            <w:r w:rsidR="0084567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[96]</w:t>
            </w:r>
          </w:p>
        </w:tc>
        <w:tc>
          <w:tcPr>
            <w:tcW w:w="575" w:type="dxa"/>
            <w:gridSpan w:val="2"/>
            <w:hideMark/>
          </w:tcPr>
          <w:p w14:paraId="761CD7A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2007</w:t>
            </w:r>
          </w:p>
        </w:tc>
        <w:tc>
          <w:tcPr>
            <w:tcW w:w="1030" w:type="dxa"/>
            <w:gridSpan w:val="2"/>
            <w:hideMark/>
          </w:tcPr>
          <w:p w14:paraId="4B8AFC1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Houston, TX, US</w:t>
            </w:r>
          </w:p>
        </w:tc>
        <w:tc>
          <w:tcPr>
            <w:tcW w:w="918" w:type="dxa"/>
            <w:gridSpan w:val="2"/>
          </w:tcPr>
          <w:p w14:paraId="56A028F5"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21A32973" w14:textId="496C30F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B79D5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BF8D179" w14:textId="391E3CA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F61246">
              <w:rPr>
                <w:rFonts w:ascii="Arial" w:eastAsia="Times New Roman" w:hAnsi="Arial" w:cs="Arial"/>
                <w:color w:val="000000" w:themeColor="text1"/>
                <w:sz w:val="12"/>
                <w:szCs w:val="12"/>
                <w:lang w:eastAsia="en-AU"/>
              </w:rPr>
              <w:t xml:space="preserve"> (age &lt;18 years)</w:t>
            </w:r>
          </w:p>
        </w:tc>
        <w:tc>
          <w:tcPr>
            <w:tcW w:w="1193" w:type="dxa"/>
            <w:hideMark/>
          </w:tcPr>
          <w:p w14:paraId="7388FB6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Krupp 2007</w:t>
            </w:r>
          </w:p>
        </w:tc>
        <w:tc>
          <w:tcPr>
            <w:tcW w:w="1358" w:type="dxa"/>
            <w:hideMark/>
          </w:tcPr>
          <w:p w14:paraId="69208BB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2FD0999D" w14:textId="089B467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66.7</w:t>
            </w:r>
          </w:p>
        </w:tc>
        <w:tc>
          <w:tcPr>
            <w:tcW w:w="1233" w:type="dxa"/>
            <w:hideMark/>
          </w:tcPr>
          <w:p w14:paraId="70A1E88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0E62BB1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554" w:type="dxa"/>
            <w:gridSpan w:val="2"/>
            <w:noWrap/>
            <w:hideMark/>
          </w:tcPr>
          <w:p w14:paraId="7CAF593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w:t>
            </w:r>
          </w:p>
        </w:tc>
        <w:tc>
          <w:tcPr>
            <w:tcW w:w="425" w:type="dxa"/>
            <w:noWrap/>
            <w:hideMark/>
          </w:tcPr>
          <w:p w14:paraId="6DFE44E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79" w:type="dxa"/>
            <w:gridSpan w:val="2"/>
            <w:hideMark/>
          </w:tcPr>
          <w:p w14:paraId="0427F267"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12.1 ± 4.7</w:t>
            </w:r>
          </w:p>
          <w:p w14:paraId="4EA56B0A" w14:textId="71E1F2A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 (2 - 16)</w:t>
            </w:r>
          </w:p>
        </w:tc>
        <w:tc>
          <w:tcPr>
            <w:tcW w:w="673" w:type="dxa"/>
            <w:gridSpan w:val="3"/>
            <w:noWrap/>
            <w:hideMark/>
          </w:tcPr>
          <w:p w14:paraId="3B084FDA" w14:textId="16070A0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48EC2347" w14:textId="4CABA51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261246C4" w14:textId="6E651A6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noWrap/>
            <w:hideMark/>
          </w:tcPr>
          <w:p w14:paraId="26319D3A" w14:textId="0DE73DA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5869939C" w14:textId="0CE538D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6550A3D5" w14:textId="39E91B1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1AA0C40" w14:textId="5626141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53A4E657" w14:textId="19B47D5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78257171" w14:textId="15D082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27563F14" w14:textId="77777777" w:rsidTr="008B36A4">
        <w:trPr>
          <w:cantSplit/>
          <w:trHeight w:val="53"/>
        </w:trPr>
        <w:tc>
          <w:tcPr>
            <w:tcW w:w="410" w:type="dxa"/>
            <w:hideMark/>
          </w:tcPr>
          <w:p w14:paraId="48854291" w14:textId="2A654EC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r>
              <w:rPr>
                <w:rFonts w:ascii="Arial" w:eastAsia="Times New Roman" w:hAnsi="Arial" w:cs="Arial"/>
                <w:color w:val="000000" w:themeColor="text1"/>
                <w:sz w:val="12"/>
                <w:szCs w:val="12"/>
                <w:lang w:eastAsia="en-AU"/>
              </w:rPr>
              <w:t>3</w:t>
            </w:r>
          </w:p>
        </w:tc>
        <w:tc>
          <w:tcPr>
            <w:tcW w:w="437" w:type="dxa"/>
            <w:hideMark/>
          </w:tcPr>
          <w:p w14:paraId="3B579E8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2B6A53F3" w14:textId="3EDA4E7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Martins et al., 2022</w:t>
            </w:r>
            <w:r w:rsidR="00B55FD4">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[97]</w:t>
            </w:r>
          </w:p>
        </w:tc>
        <w:tc>
          <w:tcPr>
            <w:tcW w:w="575" w:type="dxa"/>
            <w:gridSpan w:val="2"/>
            <w:hideMark/>
          </w:tcPr>
          <w:p w14:paraId="29236B1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4ED12F9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Portugal</w:t>
            </w:r>
          </w:p>
        </w:tc>
        <w:tc>
          <w:tcPr>
            <w:tcW w:w="918" w:type="dxa"/>
            <w:gridSpan w:val="2"/>
          </w:tcPr>
          <w:p w14:paraId="6B77A94F"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0147C331" w14:textId="7C0F212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378" w:type="dxa"/>
            <w:hideMark/>
          </w:tcPr>
          <w:p w14:paraId="3917D43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Nationwide survey</w:t>
            </w:r>
          </w:p>
        </w:tc>
        <w:tc>
          <w:tcPr>
            <w:tcW w:w="1560" w:type="dxa"/>
            <w:hideMark/>
          </w:tcPr>
          <w:p w14:paraId="623427C7" w14:textId="3AFD75C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(onset &lt;18 years)</w:t>
            </w:r>
          </w:p>
        </w:tc>
        <w:tc>
          <w:tcPr>
            <w:tcW w:w="1193" w:type="dxa"/>
            <w:hideMark/>
          </w:tcPr>
          <w:p w14:paraId="05E6E9A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069E051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AQP4 transfected fixed cell-based assay, Oxford live cell-based assay or Mayo Clinic live cell FACS assay</w:t>
            </w:r>
          </w:p>
        </w:tc>
        <w:tc>
          <w:tcPr>
            <w:tcW w:w="893" w:type="dxa"/>
            <w:hideMark/>
          </w:tcPr>
          <w:p w14:paraId="63696158" w14:textId="47EABFC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5CC86BA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0FD7853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554" w:type="dxa"/>
            <w:gridSpan w:val="2"/>
            <w:noWrap/>
            <w:hideMark/>
          </w:tcPr>
          <w:p w14:paraId="5A1F7A9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425" w:type="dxa"/>
            <w:noWrap/>
            <w:hideMark/>
          </w:tcPr>
          <w:p w14:paraId="04AF796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279" w:type="dxa"/>
            <w:gridSpan w:val="2"/>
            <w:hideMark/>
          </w:tcPr>
          <w:p w14:paraId="1A7BF0DE"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12.2 ± 4.6</w:t>
            </w:r>
          </w:p>
          <w:p w14:paraId="5AD1503D" w14:textId="70F8F92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13.5 (4 - 17)</w:t>
            </w:r>
          </w:p>
        </w:tc>
        <w:tc>
          <w:tcPr>
            <w:tcW w:w="673" w:type="dxa"/>
            <w:gridSpan w:val="3"/>
            <w:noWrap/>
            <w:hideMark/>
          </w:tcPr>
          <w:p w14:paraId="2B001C9D" w14:textId="662C0C7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3E566E74" w14:textId="3147E9C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14D8338E" w14:textId="4B0C280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noWrap/>
            <w:hideMark/>
          </w:tcPr>
          <w:p w14:paraId="453E9924" w14:textId="4657268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0D85C9A8" w14:textId="4A948A8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6095E1C2" w14:textId="2E0F58C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7102C45D" w14:textId="12EB66C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12340B6A" w14:textId="24997A6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71A69D13" w14:textId="2A49F23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61E6071" w14:textId="77777777" w:rsidTr="008B36A4">
        <w:trPr>
          <w:cantSplit/>
          <w:trHeight w:val="189"/>
        </w:trPr>
        <w:tc>
          <w:tcPr>
            <w:tcW w:w="410" w:type="dxa"/>
            <w:hideMark/>
          </w:tcPr>
          <w:p w14:paraId="32BE9A2A" w14:textId="31D9BA5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lastRenderedPageBreak/>
              <w:t>7</w:t>
            </w:r>
            <w:r>
              <w:rPr>
                <w:rFonts w:ascii="Arial" w:eastAsia="Times New Roman" w:hAnsi="Arial" w:cs="Arial"/>
                <w:color w:val="000000" w:themeColor="text1"/>
                <w:sz w:val="12"/>
                <w:szCs w:val="12"/>
                <w:lang w:eastAsia="en-AU"/>
              </w:rPr>
              <w:t>4</w:t>
            </w:r>
          </w:p>
        </w:tc>
        <w:tc>
          <w:tcPr>
            <w:tcW w:w="437" w:type="dxa"/>
            <w:hideMark/>
          </w:tcPr>
          <w:p w14:paraId="552D041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B01CC9A" w14:textId="524BF24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McKeon et al., 2008</w:t>
            </w:r>
            <w:r w:rsidR="00020F06">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[98]</w:t>
            </w:r>
          </w:p>
        </w:tc>
        <w:tc>
          <w:tcPr>
            <w:tcW w:w="575" w:type="dxa"/>
            <w:gridSpan w:val="2"/>
            <w:hideMark/>
          </w:tcPr>
          <w:p w14:paraId="4F1314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2007</w:t>
            </w:r>
          </w:p>
        </w:tc>
        <w:tc>
          <w:tcPr>
            <w:tcW w:w="1030" w:type="dxa"/>
            <w:gridSpan w:val="2"/>
            <w:hideMark/>
          </w:tcPr>
          <w:p w14:paraId="29FDA39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Rochester, MN, US</w:t>
            </w:r>
          </w:p>
        </w:tc>
        <w:tc>
          <w:tcPr>
            <w:tcW w:w="918" w:type="dxa"/>
            <w:gridSpan w:val="2"/>
          </w:tcPr>
          <w:p w14:paraId="0F86C78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0B9850EB" w14:textId="3A84B0FE"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D64F27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4B64DFB" w14:textId="17A4142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 following laboratory result survey</w:t>
            </w:r>
            <w:r w:rsidR="00F61246">
              <w:rPr>
                <w:rFonts w:ascii="Arial" w:eastAsia="Times New Roman" w:hAnsi="Arial" w:cs="Arial"/>
                <w:color w:val="000000" w:themeColor="text1"/>
                <w:sz w:val="12"/>
                <w:szCs w:val="12"/>
                <w:lang w:eastAsia="en-AU"/>
              </w:rPr>
              <w:t xml:space="preserve"> (age &lt;19 years)</w:t>
            </w:r>
          </w:p>
        </w:tc>
        <w:tc>
          <w:tcPr>
            <w:tcW w:w="1193" w:type="dxa"/>
            <w:hideMark/>
          </w:tcPr>
          <w:p w14:paraId="70DA7ED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09418E4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Tissue immunofluorescence or Mayo Clinic AQP4 transfectied HEK293 live cell-based assay</w:t>
            </w:r>
          </w:p>
        </w:tc>
        <w:tc>
          <w:tcPr>
            <w:tcW w:w="893" w:type="dxa"/>
            <w:hideMark/>
          </w:tcPr>
          <w:p w14:paraId="5BEE23DD" w14:textId="13CC4E3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59E2C0A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6B05D20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58</w:t>
            </w:r>
          </w:p>
        </w:tc>
        <w:tc>
          <w:tcPr>
            <w:tcW w:w="554" w:type="dxa"/>
            <w:gridSpan w:val="2"/>
            <w:noWrap/>
            <w:hideMark/>
          </w:tcPr>
          <w:p w14:paraId="5957776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51</w:t>
            </w:r>
          </w:p>
        </w:tc>
        <w:tc>
          <w:tcPr>
            <w:tcW w:w="425" w:type="dxa"/>
            <w:noWrap/>
            <w:hideMark/>
          </w:tcPr>
          <w:p w14:paraId="0B8CF6C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1279" w:type="dxa"/>
            <w:gridSpan w:val="2"/>
            <w:hideMark/>
          </w:tcPr>
          <w:p w14:paraId="730EFAC8" w14:textId="388A8452"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11.5 ± 3.0</w:t>
            </w:r>
            <w:r w:rsidRPr="008D1DC2">
              <w:rPr>
                <w:rFonts w:ascii="Arial" w:eastAsia="Times New Roman" w:hAnsi="Arial" w:cs="Arial"/>
                <w:color w:val="000000" w:themeColor="text1"/>
                <w:sz w:val="12"/>
                <w:szCs w:val="12"/>
                <w:vertAlign w:val="superscript"/>
                <w:lang w:eastAsia="en-AU"/>
              </w:rPr>
              <w:t>‡</w:t>
            </w:r>
          </w:p>
          <w:p w14:paraId="39E2E40A" w14:textId="29D1DCC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 (4 - 18)</w:t>
            </w:r>
          </w:p>
        </w:tc>
        <w:tc>
          <w:tcPr>
            <w:tcW w:w="673" w:type="dxa"/>
            <w:gridSpan w:val="3"/>
            <w:noWrap/>
            <w:hideMark/>
          </w:tcPr>
          <w:p w14:paraId="505327A0" w14:textId="3E9141E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212416B8" w14:textId="77907C8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00885269" w14:textId="5F7004E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08CE3727" w14:textId="28351DE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6A267EB3" w14:textId="7279A0C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61D792D2" w14:textId="6857F4B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26287921" w14:textId="7A85561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79BB9D9C" w14:textId="02E182B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2D9A5379" w14:textId="14F79A4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417D475" w14:textId="77777777" w:rsidTr="008B36A4">
        <w:trPr>
          <w:cantSplit/>
          <w:trHeight w:val="53"/>
        </w:trPr>
        <w:tc>
          <w:tcPr>
            <w:tcW w:w="410" w:type="dxa"/>
            <w:hideMark/>
          </w:tcPr>
          <w:p w14:paraId="4666A059" w14:textId="56DF16F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r>
              <w:rPr>
                <w:rFonts w:ascii="Arial" w:eastAsia="Times New Roman" w:hAnsi="Arial" w:cs="Arial"/>
                <w:color w:val="000000" w:themeColor="text1"/>
                <w:sz w:val="12"/>
                <w:szCs w:val="12"/>
                <w:lang w:eastAsia="en-AU"/>
              </w:rPr>
              <w:t>5</w:t>
            </w:r>
          </w:p>
        </w:tc>
        <w:tc>
          <w:tcPr>
            <w:tcW w:w="437" w:type="dxa"/>
            <w:hideMark/>
          </w:tcPr>
          <w:p w14:paraId="6A22533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41E0545B" w14:textId="0AEA41E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Paolilo et al., 2020</w:t>
            </w:r>
            <w:r w:rsidR="00020F06">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[99]</w:t>
            </w:r>
          </w:p>
        </w:tc>
        <w:tc>
          <w:tcPr>
            <w:tcW w:w="575" w:type="dxa"/>
            <w:gridSpan w:val="2"/>
            <w:hideMark/>
          </w:tcPr>
          <w:p w14:paraId="5610F0F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62F804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Brazil and Europe</w:t>
            </w:r>
          </w:p>
        </w:tc>
        <w:tc>
          <w:tcPr>
            <w:tcW w:w="918" w:type="dxa"/>
            <w:gridSpan w:val="2"/>
          </w:tcPr>
          <w:p w14:paraId="2D7D67DD"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144934E8" w14:textId="6E2F73E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577F62E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 multinational study</w:t>
            </w:r>
          </w:p>
        </w:tc>
        <w:tc>
          <w:tcPr>
            <w:tcW w:w="1560" w:type="dxa"/>
            <w:hideMark/>
          </w:tcPr>
          <w:p w14:paraId="4D0106DD" w14:textId="3E64CEF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(onset &lt;18 years)</w:t>
            </w:r>
          </w:p>
        </w:tc>
        <w:tc>
          <w:tcPr>
            <w:tcW w:w="1193" w:type="dxa"/>
            <w:hideMark/>
          </w:tcPr>
          <w:p w14:paraId="3B711DC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 plus AQP4 antibody positive</w:t>
            </w:r>
          </w:p>
        </w:tc>
        <w:tc>
          <w:tcPr>
            <w:tcW w:w="1358" w:type="dxa"/>
            <w:hideMark/>
          </w:tcPr>
          <w:p w14:paraId="7D9159A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Live cell-based assay</w:t>
            </w:r>
          </w:p>
        </w:tc>
        <w:tc>
          <w:tcPr>
            <w:tcW w:w="893" w:type="dxa"/>
            <w:hideMark/>
          </w:tcPr>
          <w:p w14:paraId="637533DE" w14:textId="1FE1B02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2253AC9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7F1191C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67</w:t>
            </w:r>
          </w:p>
        </w:tc>
        <w:tc>
          <w:tcPr>
            <w:tcW w:w="554" w:type="dxa"/>
            <w:gridSpan w:val="2"/>
            <w:noWrap/>
            <w:hideMark/>
          </w:tcPr>
          <w:p w14:paraId="601310A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54</w:t>
            </w:r>
          </w:p>
        </w:tc>
        <w:tc>
          <w:tcPr>
            <w:tcW w:w="425" w:type="dxa"/>
            <w:noWrap/>
            <w:hideMark/>
          </w:tcPr>
          <w:p w14:paraId="5671E2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w:t>
            </w:r>
          </w:p>
        </w:tc>
        <w:tc>
          <w:tcPr>
            <w:tcW w:w="1279" w:type="dxa"/>
            <w:gridSpan w:val="2"/>
            <w:noWrap/>
            <w:hideMark/>
          </w:tcPr>
          <w:p w14:paraId="6A03A0C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10.2 ± 3.6</w:t>
            </w:r>
          </w:p>
        </w:tc>
        <w:tc>
          <w:tcPr>
            <w:tcW w:w="673" w:type="dxa"/>
            <w:gridSpan w:val="3"/>
            <w:noWrap/>
            <w:hideMark/>
          </w:tcPr>
          <w:p w14:paraId="283CC9D7" w14:textId="0BF467E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3F181020" w14:textId="22C7AAC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665" w:type="dxa"/>
            <w:gridSpan w:val="3"/>
            <w:noWrap/>
            <w:hideMark/>
          </w:tcPr>
          <w:p w14:paraId="192F7F5B" w14:textId="4CBE55B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4E3596D5" w14:textId="3FC74A2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78E83BDF" w14:textId="0139602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004DD9B2" w14:textId="40BED91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45A5228F" w14:textId="66DC2B3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6B2B97D2" w14:textId="0BD5F66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026C53A5" w14:textId="3CD946F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AA954DF" w14:textId="77777777" w:rsidTr="008B36A4">
        <w:trPr>
          <w:cantSplit/>
          <w:trHeight w:val="58"/>
        </w:trPr>
        <w:tc>
          <w:tcPr>
            <w:tcW w:w="410" w:type="dxa"/>
            <w:hideMark/>
          </w:tcPr>
          <w:p w14:paraId="313E6E5D" w14:textId="6729A52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r>
              <w:rPr>
                <w:rFonts w:ascii="Arial" w:eastAsia="Times New Roman" w:hAnsi="Arial" w:cs="Arial"/>
                <w:color w:val="000000" w:themeColor="text1"/>
                <w:sz w:val="12"/>
                <w:szCs w:val="12"/>
                <w:lang w:eastAsia="en-AU"/>
              </w:rPr>
              <w:t>6</w:t>
            </w:r>
          </w:p>
        </w:tc>
        <w:tc>
          <w:tcPr>
            <w:tcW w:w="437" w:type="dxa"/>
            <w:hideMark/>
          </w:tcPr>
          <w:p w14:paraId="431CA1C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3C782245" w14:textId="52137EC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w:t>
            </w:r>
            <w:r w:rsidRPr="00C77BDD">
              <w:rPr>
                <w:rFonts w:ascii="Arial" w:eastAsia="Times New Roman" w:hAnsi="Arial" w:cs="Arial"/>
                <w:color w:val="000000" w:themeColor="text1"/>
                <w:sz w:val="12"/>
                <w:szCs w:val="12"/>
                <w:lang w:eastAsia="en-AU"/>
              </w:rPr>
              <w:t>amaguchi et al., 2016</w:t>
            </w:r>
            <w:r w:rsidR="006B3F3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[100]</w:t>
            </w:r>
          </w:p>
        </w:tc>
        <w:tc>
          <w:tcPr>
            <w:tcW w:w="575" w:type="dxa"/>
            <w:gridSpan w:val="2"/>
            <w:hideMark/>
          </w:tcPr>
          <w:p w14:paraId="67C781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2009</w:t>
            </w:r>
          </w:p>
        </w:tc>
        <w:tc>
          <w:tcPr>
            <w:tcW w:w="1030" w:type="dxa"/>
            <w:gridSpan w:val="2"/>
            <w:hideMark/>
          </w:tcPr>
          <w:p w14:paraId="6BAD490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Japan</w:t>
            </w:r>
          </w:p>
        </w:tc>
        <w:tc>
          <w:tcPr>
            <w:tcW w:w="918" w:type="dxa"/>
            <w:gridSpan w:val="2"/>
          </w:tcPr>
          <w:p w14:paraId="3A451B14"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6B76D770" w14:textId="27E5E9B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survey</w:t>
            </w:r>
          </w:p>
        </w:tc>
        <w:tc>
          <w:tcPr>
            <w:tcW w:w="1378" w:type="dxa"/>
            <w:hideMark/>
          </w:tcPr>
          <w:p w14:paraId="4933E15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Nationwide survey</w:t>
            </w:r>
          </w:p>
        </w:tc>
        <w:tc>
          <w:tcPr>
            <w:tcW w:w="1560" w:type="dxa"/>
            <w:hideMark/>
          </w:tcPr>
          <w:p w14:paraId="6658B7F8" w14:textId="0F3CF74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F61246">
              <w:rPr>
                <w:rFonts w:ascii="Arial" w:eastAsia="Times New Roman" w:hAnsi="Arial" w:cs="Arial"/>
                <w:color w:val="000000" w:themeColor="text1"/>
                <w:sz w:val="12"/>
                <w:szCs w:val="12"/>
                <w:lang w:eastAsia="en-AU"/>
              </w:rPr>
              <w:t xml:space="preserve"> (onset &lt;16 years)</w:t>
            </w:r>
          </w:p>
        </w:tc>
        <w:tc>
          <w:tcPr>
            <w:tcW w:w="1193" w:type="dxa"/>
            <w:hideMark/>
          </w:tcPr>
          <w:p w14:paraId="74969E7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w:t>
            </w:r>
          </w:p>
        </w:tc>
        <w:tc>
          <w:tcPr>
            <w:tcW w:w="1358" w:type="dxa"/>
            <w:hideMark/>
          </w:tcPr>
          <w:p w14:paraId="514A920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6FC83380" w14:textId="302ED08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50.0</w:t>
            </w:r>
          </w:p>
        </w:tc>
        <w:tc>
          <w:tcPr>
            <w:tcW w:w="1233" w:type="dxa"/>
            <w:hideMark/>
          </w:tcPr>
          <w:p w14:paraId="6E6CB10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5AD154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w:t>
            </w:r>
          </w:p>
        </w:tc>
        <w:tc>
          <w:tcPr>
            <w:tcW w:w="554" w:type="dxa"/>
            <w:gridSpan w:val="2"/>
            <w:noWrap/>
            <w:hideMark/>
          </w:tcPr>
          <w:p w14:paraId="2B9655E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p>
        </w:tc>
        <w:tc>
          <w:tcPr>
            <w:tcW w:w="425" w:type="dxa"/>
            <w:noWrap/>
            <w:hideMark/>
          </w:tcPr>
          <w:p w14:paraId="416B45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279" w:type="dxa"/>
            <w:gridSpan w:val="2"/>
            <w:hideMark/>
          </w:tcPr>
          <w:p w14:paraId="325F9A32"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10.3 ± 1.2</w:t>
            </w:r>
          </w:p>
          <w:p w14:paraId="4B4EA3DE" w14:textId="4225775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9.5 (3 - 15)</w:t>
            </w:r>
          </w:p>
        </w:tc>
        <w:tc>
          <w:tcPr>
            <w:tcW w:w="673" w:type="dxa"/>
            <w:gridSpan w:val="3"/>
            <w:noWrap/>
            <w:hideMark/>
          </w:tcPr>
          <w:p w14:paraId="22F15005" w14:textId="7FBDA2A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1E979786" w14:textId="3E25C71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389CC300" w14:textId="628DBA5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sidR="00710D67">
              <w:rPr>
                <w:rFonts w:ascii="Arial" w:eastAsia="Times New Roman" w:hAnsi="Arial" w:cs="Arial"/>
                <w:color w:val="000000" w:themeColor="text1"/>
                <w:sz w:val="12"/>
                <w:szCs w:val="12"/>
                <w:lang w:eastAsia="en-AU"/>
              </w:rPr>
              <w:t>o</w:t>
            </w:r>
          </w:p>
        </w:tc>
        <w:tc>
          <w:tcPr>
            <w:tcW w:w="762" w:type="dxa"/>
            <w:gridSpan w:val="3"/>
            <w:noWrap/>
            <w:hideMark/>
          </w:tcPr>
          <w:p w14:paraId="70F1B03D" w14:textId="5E52BB2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0302FAD1" w14:textId="7C98E9B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245CD1B6" w14:textId="165FF21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17E5E5EC" w14:textId="2FD2E13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69B25F0E" w14:textId="27C0E09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7AF5917F" w14:textId="3EDA8CE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E25D5B1" w14:textId="77777777" w:rsidTr="008B36A4">
        <w:trPr>
          <w:cantSplit/>
          <w:trHeight w:val="53"/>
        </w:trPr>
        <w:tc>
          <w:tcPr>
            <w:tcW w:w="410" w:type="dxa"/>
            <w:hideMark/>
          </w:tcPr>
          <w:p w14:paraId="0D29BB98" w14:textId="4140871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r>
              <w:rPr>
                <w:rFonts w:ascii="Arial" w:eastAsia="Times New Roman" w:hAnsi="Arial" w:cs="Arial"/>
                <w:color w:val="000000" w:themeColor="text1"/>
                <w:sz w:val="12"/>
                <w:szCs w:val="12"/>
                <w:lang w:eastAsia="en-AU"/>
              </w:rPr>
              <w:t>7</w:t>
            </w:r>
          </w:p>
        </w:tc>
        <w:tc>
          <w:tcPr>
            <w:tcW w:w="437" w:type="dxa"/>
            <w:hideMark/>
          </w:tcPr>
          <w:p w14:paraId="150E5B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62E2FB64" w14:textId="3699B7F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w:t>
            </w:r>
            <w:r w:rsidRPr="00C77BDD">
              <w:rPr>
                <w:rFonts w:ascii="Arial" w:eastAsia="Times New Roman" w:hAnsi="Arial" w:cs="Arial"/>
                <w:color w:val="000000" w:themeColor="text1"/>
                <w:sz w:val="12"/>
                <w:szCs w:val="12"/>
                <w:lang w:eastAsia="en-AU"/>
              </w:rPr>
              <w:t>oon et al., 2021</w:t>
            </w:r>
            <w:r w:rsidR="006B3F3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[101]</w:t>
            </w:r>
          </w:p>
        </w:tc>
        <w:tc>
          <w:tcPr>
            <w:tcW w:w="575" w:type="dxa"/>
            <w:gridSpan w:val="2"/>
            <w:hideMark/>
          </w:tcPr>
          <w:p w14:paraId="38D303F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2017</w:t>
            </w:r>
          </w:p>
        </w:tc>
        <w:tc>
          <w:tcPr>
            <w:tcW w:w="1030" w:type="dxa"/>
            <w:gridSpan w:val="2"/>
            <w:hideMark/>
          </w:tcPr>
          <w:p w14:paraId="124C165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Korea</w:t>
            </w:r>
          </w:p>
        </w:tc>
        <w:tc>
          <w:tcPr>
            <w:tcW w:w="918" w:type="dxa"/>
            <w:gridSpan w:val="2"/>
          </w:tcPr>
          <w:p w14:paraId="3FC7FC8D"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6001EA32" w14:textId="106CFA3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44825DE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survey</w:t>
            </w:r>
          </w:p>
        </w:tc>
        <w:tc>
          <w:tcPr>
            <w:tcW w:w="1560" w:type="dxa"/>
            <w:hideMark/>
          </w:tcPr>
          <w:p w14:paraId="5859234F" w14:textId="0D0F593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National Health Insurance database</w:t>
            </w:r>
            <w:r w:rsidR="00F61246">
              <w:rPr>
                <w:rFonts w:ascii="Arial" w:eastAsia="Times New Roman" w:hAnsi="Arial" w:cs="Arial"/>
                <w:color w:val="000000" w:themeColor="text1"/>
                <w:sz w:val="12"/>
                <w:szCs w:val="12"/>
                <w:lang w:eastAsia="en-AU"/>
              </w:rPr>
              <w:t xml:space="preserve"> </w:t>
            </w:r>
            <w:r w:rsidR="00656665">
              <w:rPr>
                <w:rFonts w:ascii="Arial" w:eastAsia="Times New Roman" w:hAnsi="Arial" w:cs="Arial"/>
                <w:color w:val="000000" w:themeColor="text1"/>
                <w:sz w:val="12"/>
                <w:szCs w:val="12"/>
                <w:lang w:eastAsia="en-AU"/>
              </w:rPr>
              <w:t>(age &lt;18 years)</w:t>
            </w:r>
          </w:p>
        </w:tc>
        <w:tc>
          <w:tcPr>
            <w:tcW w:w="1193" w:type="dxa"/>
            <w:hideMark/>
          </w:tcPr>
          <w:p w14:paraId="6EAC76F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ICD-10 G360</w:t>
            </w:r>
          </w:p>
        </w:tc>
        <w:tc>
          <w:tcPr>
            <w:tcW w:w="1358" w:type="dxa"/>
            <w:hideMark/>
          </w:tcPr>
          <w:p w14:paraId="695D102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26959B1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1233" w:type="dxa"/>
            <w:hideMark/>
          </w:tcPr>
          <w:p w14:paraId="546AAA6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1B16FE7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68</w:t>
            </w:r>
          </w:p>
        </w:tc>
        <w:tc>
          <w:tcPr>
            <w:tcW w:w="554" w:type="dxa"/>
            <w:gridSpan w:val="2"/>
            <w:noWrap/>
            <w:hideMark/>
          </w:tcPr>
          <w:p w14:paraId="5C2DE48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42</w:t>
            </w:r>
          </w:p>
        </w:tc>
        <w:tc>
          <w:tcPr>
            <w:tcW w:w="425" w:type="dxa"/>
            <w:noWrap/>
            <w:hideMark/>
          </w:tcPr>
          <w:p w14:paraId="67A567E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w:t>
            </w:r>
          </w:p>
        </w:tc>
        <w:tc>
          <w:tcPr>
            <w:tcW w:w="1279" w:type="dxa"/>
            <w:gridSpan w:val="2"/>
            <w:noWrap/>
            <w:hideMark/>
          </w:tcPr>
          <w:p w14:paraId="4F8F3C9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11.6 ±</w:t>
            </w:r>
          </w:p>
        </w:tc>
        <w:tc>
          <w:tcPr>
            <w:tcW w:w="673" w:type="dxa"/>
            <w:gridSpan w:val="3"/>
            <w:noWrap/>
            <w:hideMark/>
          </w:tcPr>
          <w:p w14:paraId="45135CFE" w14:textId="1708F02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12E35FB5" w14:textId="75BA80E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37DB57A7" w14:textId="5571885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74BE84A5" w14:textId="1E88D2E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4BF3AC1F" w14:textId="4E1F77E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5E1EF69B" w14:textId="47B74FA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4E76DE0" w14:textId="080FCDB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1D6F14DA" w14:textId="138F31D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497FA6F1" w14:textId="2D7091E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3868C87C" w14:textId="77777777" w:rsidTr="008B36A4">
        <w:trPr>
          <w:cantSplit/>
          <w:trHeight w:val="506"/>
        </w:trPr>
        <w:tc>
          <w:tcPr>
            <w:tcW w:w="410" w:type="dxa"/>
            <w:hideMark/>
          </w:tcPr>
          <w:p w14:paraId="5C83A484" w14:textId="008975F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r>
              <w:rPr>
                <w:rFonts w:ascii="Arial" w:eastAsia="Times New Roman" w:hAnsi="Arial" w:cs="Arial"/>
                <w:color w:val="000000" w:themeColor="text1"/>
                <w:sz w:val="12"/>
                <w:szCs w:val="12"/>
                <w:lang w:eastAsia="en-AU"/>
              </w:rPr>
              <w:t>8</w:t>
            </w:r>
          </w:p>
        </w:tc>
        <w:tc>
          <w:tcPr>
            <w:tcW w:w="437" w:type="dxa"/>
            <w:hideMark/>
          </w:tcPr>
          <w:p w14:paraId="414B45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hideMark/>
          </w:tcPr>
          <w:p w14:paraId="7FA8C3E7" w14:textId="7BAF223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Zhou et al., 2019</w:t>
            </w:r>
            <w:r w:rsidR="006B3F3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[102]</w:t>
            </w:r>
          </w:p>
        </w:tc>
        <w:tc>
          <w:tcPr>
            <w:tcW w:w="575" w:type="dxa"/>
            <w:gridSpan w:val="2"/>
            <w:hideMark/>
          </w:tcPr>
          <w:p w14:paraId="087073D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2017</w:t>
            </w:r>
          </w:p>
        </w:tc>
        <w:tc>
          <w:tcPr>
            <w:tcW w:w="1030" w:type="dxa"/>
            <w:gridSpan w:val="2"/>
            <w:hideMark/>
          </w:tcPr>
          <w:p w14:paraId="5D191A4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Guangzhou, China</w:t>
            </w:r>
          </w:p>
        </w:tc>
        <w:tc>
          <w:tcPr>
            <w:tcW w:w="918" w:type="dxa"/>
            <w:gridSpan w:val="2"/>
          </w:tcPr>
          <w:p w14:paraId="6DF2E343"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CE83D89" w14:textId="0C5D2F7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48DB92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Two centres</w:t>
            </w:r>
          </w:p>
        </w:tc>
        <w:tc>
          <w:tcPr>
            <w:tcW w:w="1560" w:type="dxa"/>
            <w:hideMark/>
          </w:tcPr>
          <w:p w14:paraId="7C046407" w14:textId="68929AA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survey</w:t>
            </w:r>
            <w:r w:rsidR="00656665">
              <w:rPr>
                <w:rFonts w:ascii="Arial" w:eastAsia="Times New Roman" w:hAnsi="Arial" w:cs="Arial"/>
                <w:color w:val="000000" w:themeColor="text1"/>
                <w:sz w:val="12"/>
                <w:szCs w:val="12"/>
                <w:lang w:eastAsia="en-AU"/>
              </w:rPr>
              <w:t xml:space="preserve"> (onset &lt;18 years)</w:t>
            </w:r>
          </w:p>
        </w:tc>
        <w:tc>
          <w:tcPr>
            <w:tcW w:w="1193" w:type="dxa"/>
            <w:hideMark/>
          </w:tcPr>
          <w:p w14:paraId="4F7E6B8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 plus AQP4 antibody positive</w:t>
            </w:r>
          </w:p>
        </w:tc>
        <w:tc>
          <w:tcPr>
            <w:tcW w:w="1358" w:type="dxa"/>
            <w:hideMark/>
          </w:tcPr>
          <w:p w14:paraId="3FF03E8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In-house live cell-based assay (precise details could not be located even after following quoted reference and supplementary data)</w:t>
            </w:r>
          </w:p>
        </w:tc>
        <w:tc>
          <w:tcPr>
            <w:tcW w:w="893" w:type="dxa"/>
            <w:hideMark/>
          </w:tcPr>
          <w:p w14:paraId="19DADE6C" w14:textId="0F01E1F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7C93990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noWrap/>
            <w:hideMark/>
          </w:tcPr>
          <w:p w14:paraId="4563239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23</w:t>
            </w:r>
          </w:p>
        </w:tc>
        <w:tc>
          <w:tcPr>
            <w:tcW w:w="554" w:type="dxa"/>
            <w:gridSpan w:val="2"/>
            <w:noWrap/>
            <w:hideMark/>
          </w:tcPr>
          <w:p w14:paraId="07596DF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22</w:t>
            </w:r>
          </w:p>
        </w:tc>
        <w:tc>
          <w:tcPr>
            <w:tcW w:w="425" w:type="dxa"/>
            <w:noWrap/>
            <w:hideMark/>
          </w:tcPr>
          <w:p w14:paraId="0CDB635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279" w:type="dxa"/>
            <w:gridSpan w:val="2"/>
            <w:hideMark/>
          </w:tcPr>
          <w:p w14:paraId="1CA7EDF2" w14:textId="536644E2"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13.8 ± 1.8</w:t>
            </w:r>
            <w:r w:rsidRPr="008D1DC2">
              <w:rPr>
                <w:rFonts w:ascii="Arial" w:eastAsia="Times New Roman" w:hAnsi="Arial" w:cs="Arial"/>
                <w:color w:val="000000" w:themeColor="text1"/>
                <w:sz w:val="12"/>
                <w:szCs w:val="12"/>
                <w:vertAlign w:val="superscript"/>
                <w:lang w:eastAsia="en-AU"/>
              </w:rPr>
              <w:t>‡</w:t>
            </w:r>
          </w:p>
          <w:p w14:paraId="577F8BB9" w14:textId="7F5C8D5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14 (10 - 17)</w:t>
            </w:r>
          </w:p>
        </w:tc>
        <w:tc>
          <w:tcPr>
            <w:tcW w:w="673" w:type="dxa"/>
            <w:gridSpan w:val="3"/>
            <w:noWrap/>
            <w:hideMark/>
          </w:tcPr>
          <w:p w14:paraId="5320271A" w14:textId="49CDFCD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1388E3B2" w14:textId="1B8E021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0593CF93" w14:textId="3826D36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noWrap/>
            <w:hideMark/>
          </w:tcPr>
          <w:p w14:paraId="128EFED1" w14:textId="4E2E384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12D24530" w14:textId="4D3BCEE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27B4EAD3" w14:textId="2753479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2A176D1" w14:textId="3BF4D5B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67582BC8" w14:textId="051BCC4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3C947B29" w14:textId="53D023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9E73A83" w14:textId="77777777" w:rsidTr="008B36A4">
        <w:trPr>
          <w:cantSplit/>
          <w:trHeight w:val="53"/>
        </w:trPr>
        <w:tc>
          <w:tcPr>
            <w:tcW w:w="2552" w:type="dxa"/>
            <w:gridSpan w:val="3"/>
            <w:noWrap/>
            <w:hideMark/>
          </w:tcPr>
          <w:p w14:paraId="7D9B96FA" w14:textId="603C4E03" w:rsidR="00F62694" w:rsidRPr="00DB3383" w:rsidRDefault="00F62694" w:rsidP="00C77BDD">
            <w:pPr>
              <w:rPr>
                <w:rFonts w:ascii="Arial" w:eastAsia="Times New Roman" w:hAnsi="Arial" w:cs="Arial"/>
                <w:b/>
                <w:bCs/>
                <w:i/>
                <w:iCs/>
                <w:color w:val="000000" w:themeColor="text1"/>
                <w:sz w:val="12"/>
                <w:szCs w:val="12"/>
                <w:lang w:eastAsia="en-AU"/>
              </w:rPr>
            </w:pPr>
            <w:r w:rsidRPr="00DB3383">
              <w:rPr>
                <w:rFonts w:ascii="Arial" w:eastAsia="Times New Roman" w:hAnsi="Arial" w:cs="Arial"/>
                <w:b/>
                <w:bCs/>
                <w:i/>
                <w:iCs/>
                <w:color w:val="000000" w:themeColor="text1"/>
                <w:sz w:val="12"/>
                <w:szCs w:val="12"/>
                <w:lang w:eastAsia="en-AU"/>
              </w:rPr>
              <w:t>Late Onset Studies</w:t>
            </w:r>
          </w:p>
        </w:tc>
        <w:tc>
          <w:tcPr>
            <w:tcW w:w="575" w:type="dxa"/>
            <w:gridSpan w:val="2"/>
            <w:hideMark/>
          </w:tcPr>
          <w:p w14:paraId="54FC0282" w14:textId="77777777"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62F921A5"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717517BF"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266831B" w14:textId="2570BFA6"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41C08138"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112A1617"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169E348B"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4E527736"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374B33FA" w14:textId="77777777" w:rsidR="00F62694" w:rsidRPr="00C77BDD" w:rsidRDefault="00F62694" w:rsidP="00C77BDD">
            <w:pPr>
              <w:rPr>
                <w:rFonts w:ascii="Arial" w:eastAsia="Times New Roman" w:hAnsi="Arial" w:cs="Arial"/>
                <w:color w:val="000000" w:themeColor="text1"/>
                <w:sz w:val="12"/>
                <w:szCs w:val="12"/>
                <w:lang w:eastAsia="en-AU"/>
              </w:rPr>
            </w:pPr>
          </w:p>
        </w:tc>
        <w:tc>
          <w:tcPr>
            <w:tcW w:w="1233" w:type="dxa"/>
            <w:hideMark/>
          </w:tcPr>
          <w:p w14:paraId="5B15DDE1" w14:textId="77777777" w:rsidR="00F62694" w:rsidRPr="00C77BDD" w:rsidRDefault="00F62694" w:rsidP="00C77BDD">
            <w:pPr>
              <w:rPr>
                <w:rFonts w:ascii="Arial" w:eastAsia="Times New Roman" w:hAnsi="Arial" w:cs="Arial"/>
                <w:color w:val="000000" w:themeColor="text1"/>
                <w:sz w:val="12"/>
                <w:szCs w:val="12"/>
                <w:lang w:eastAsia="en-AU"/>
              </w:rPr>
            </w:pPr>
          </w:p>
        </w:tc>
        <w:tc>
          <w:tcPr>
            <w:tcW w:w="609" w:type="dxa"/>
            <w:gridSpan w:val="3"/>
            <w:hideMark/>
          </w:tcPr>
          <w:p w14:paraId="70EDD554" w14:textId="77777777" w:rsidR="00F62694" w:rsidRPr="00C77BDD" w:rsidRDefault="00F62694" w:rsidP="00C77BDD">
            <w:pPr>
              <w:rPr>
                <w:rFonts w:ascii="Arial" w:eastAsia="Times New Roman" w:hAnsi="Arial" w:cs="Arial"/>
                <w:color w:val="000000" w:themeColor="text1"/>
                <w:sz w:val="12"/>
                <w:szCs w:val="12"/>
                <w:lang w:eastAsia="en-AU"/>
              </w:rPr>
            </w:pPr>
          </w:p>
        </w:tc>
        <w:tc>
          <w:tcPr>
            <w:tcW w:w="529" w:type="dxa"/>
            <w:hideMark/>
          </w:tcPr>
          <w:p w14:paraId="6F1DFA7D" w14:textId="77777777" w:rsidR="00F62694" w:rsidRPr="00C77BDD" w:rsidRDefault="00F62694" w:rsidP="00C77BDD">
            <w:pPr>
              <w:rPr>
                <w:rFonts w:ascii="Arial" w:eastAsia="Times New Roman" w:hAnsi="Arial" w:cs="Arial"/>
                <w:color w:val="000000" w:themeColor="text1"/>
                <w:sz w:val="12"/>
                <w:szCs w:val="12"/>
                <w:lang w:eastAsia="en-AU"/>
              </w:rPr>
            </w:pPr>
          </w:p>
        </w:tc>
        <w:tc>
          <w:tcPr>
            <w:tcW w:w="425" w:type="dxa"/>
            <w:hideMark/>
          </w:tcPr>
          <w:p w14:paraId="6C1F7ABA" w14:textId="77777777" w:rsidR="00F62694" w:rsidRPr="00C77BDD" w:rsidRDefault="00F62694" w:rsidP="00C77BDD">
            <w:pPr>
              <w:rPr>
                <w:rFonts w:ascii="Arial" w:eastAsia="Times New Roman" w:hAnsi="Arial" w:cs="Arial"/>
                <w:color w:val="000000" w:themeColor="text1"/>
                <w:sz w:val="12"/>
                <w:szCs w:val="12"/>
                <w:lang w:eastAsia="en-AU"/>
              </w:rPr>
            </w:pPr>
          </w:p>
        </w:tc>
        <w:tc>
          <w:tcPr>
            <w:tcW w:w="1254" w:type="dxa"/>
            <w:hideMark/>
          </w:tcPr>
          <w:p w14:paraId="0EB43260" w14:textId="77777777" w:rsidR="00F62694" w:rsidRPr="00C77BDD" w:rsidRDefault="00F62694" w:rsidP="00C77BDD">
            <w:pPr>
              <w:rPr>
                <w:rFonts w:ascii="Arial" w:eastAsia="Times New Roman" w:hAnsi="Arial" w:cs="Arial"/>
                <w:color w:val="000000" w:themeColor="text1"/>
                <w:sz w:val="12"/>
                <w:szCs w:val="12"/>
                <w:lang w:eastAsia="en-AU"/>
              </w:rPr>
            </w:pPr>
          </w:p>
        </w:tc>
        <w:tc>
          <w:tcPr>
            <w:tcW w:w="673" w:type="dxa"/>
            <w:gridSpan w:val="3"/>
            <w:hideMark/>
          </w:tcPr>
          <w:p w14:paraId="31FD49A5" w14:textId="77777777" w:rsidR="00F62694" w:rsidRPr="00C77BDD" w:rsidRDefault="00F62694" w:rsidP="00C77BDD">
            <w:pPr>
              <w:rPr>
                <w:rFonts w:ascii="Arial" w:eastAsia="Times New Roman" w:hAnsi="Arial" w:cs="Arial"/>
                <w:color w:val="000000" w:themeColor="text1"/>
                <w:sz w:val="12"/>
                <w:szCs w:val="12"/>
                <w:lang w:eastAsia="en-AU"/>
              </w:rPr>
            </w:pPr>
          </w:p>
        </w:tc>
        <w:tc>
          <w:tcPr>
            <w:tcW w:w="757" w:type="dxa"/>
            <w:gridSpan w:val="3"/>
            <w:hideMark/>
          </w:tcPr>
          <w:p w14:paraId="5CFEFE54" w14:textId="77777777" w:rsidR="00F62694" w:rsidRPr="00C77BDD" w:rsidRDefault="00F62694" w:rsidP="00C77BDD">
            <w:pPr>
              <w:rPr>
                <w:rFonts w:ascii="Arial" w:eastAsia="Times New Roman" w:hAnsi="Arial" w:cs="Arial"/>
                <w:color w:val="000000" w:themeColor="text1"/>
                <w:sz w:val="12"/>
                <w:szCs w:val="12"/>
                <w:lang w:eastAsia="en-AU"/>
              </w:rPr>
            </w:pPr>
          </w:p>
        </w:tc>
        <w:tc>
          <w:tcPr>
            <w:tcW w:w="665" w:type="dxa"/>
            <w:gridSpan w:val="3"/>
            <w:hideMark/>
          </w:tcPr>
          <w:p w14:paraId="3D6FCFFB" w14:textId="77777777" w:rsidR="00F62694" w:rsidRPr="00C77BDD" w:rsidRDefault="00F62694" w:rsidP="00C77BDD">
            <w:pPr>
              <w:rPr>
                <w:rFonts w:ascii="Arial" w:eastAsia="Times New Roman" w:hAnsi="Arial" w:cs="Arial"/>
                <w:color w:val="000000" w:themeColor="text1"/>
                <w:sz w:val="12"/>
                <w:szCs w:val="12"/>
                <w:lang w:eastAsia="en-AU"/>
              </w:rPr>
            </w:pPr>
          </w:p>
        </w:tc>
        <w:tc>
          <w:tcPr>
            <w:tcW w:w="762" w:type="dxa"/>
            <w:gridSpan w:val="3"/>
            <w:hideMark/>
          </w:tcPr>
          <w:p w14:paraId="058AA681" w14:textId="77777777" w:rsidR="00F62694" w:rsidRPr="00C77BDD" w:rsidRDefault="00F62694" w:rsidP="00C77BDD">
            <w:pPr>
              <w:rPr>
                <w:rFonts w:ascii="Arial" w:eastAsia="Times New Roman" w:hAnsi="Arial" w:cs="Arial"/>
                <w:color w:val="000000" w:themeColor="text1"/>
                <w:sz w:val="12"/>
                <w:szCs w:val="12"/>
                <w:lang w:eastAsia="en-AU"/>
              </w:rPr>
            </w:pPr>
          </w:p>
        </w:tc>
        <w:tc>
          <w:tcPr>
            <w:tcW w:w="763" w:type="dxa"/>
            <w:gridSpan w:val="3"/>
            <w:hideMark/>
          </w:tcPr>
          <w:p w14:paraId="33225FEE" w14:textId="77777777" w:rsidR="00F62694" w:rsidRPr="00C77BDD" w:rsidRDefault="00F62694" w:rsidP="00C77BDD">
            <w:pPr>
              <w:rPr>
                <w:rFonts w:ascii="Arial" w:eastAsia="Times New Roman" w:hAnsi="Arial" w:cs="Arial"/>
                <w:color w:val="000000" w:themeColor="text1"/>
                <w:sz w:val="12"/>
                <w:szCs w:val="12"/>
                <w:lang w:eastAsia="en-AU"/>
              </w:rPr>
            </w:pPr>
          </w:p>
        </w:tc>
        <w:tc>
          <w:tcPr>
            <w:tcW w:w="796" w:type="dxa"/>
            <w:gridSpan w:val="3"/>
            <w:hideMark/>
          </w:tcPr>
          <w:p w14:paraId="48C708B9" w14:textId="77777777" w:rsidR="00F62694" w:rsidRPr="00C77BDD" w:rsidRDefault="00F62694" w:rsidP="00C77BDD">
            <w:pPr>
              <w:rPr>
                <w:rFonts w:ascii="Arial" w:eastAsia="Times New Roman" w:hAnsi="Arial" w:cs="Arial"/>
                <w:color w:val="000000" w:themeColor="text1"/>
                <w:sz w:val="12"/>
                <w:szCs w:val="12"/>
                <w:lang w:eastAsia="en-AU"/>
              </w:rPr>
            </w:pPr>
          </w:p>
        </w:tc>
        <w:tc>
          <w:tcPr>
            <w:tcW w:w="703" w:type="dxa"/>
            <w:hideMark/>
          </w:tcPr>
          <w:p w14:paraId="16A68431" w14:textId="77777777" w:rsidR="00F62694" w:rsidRPr="00C77BDD" w:rsidRDefault="00F62694" w:rsidP="00C77BDD">
            <w:pPr>
              <w:rPr>
                <w:rFonts w:ascii="Arial" w:eastAsia="Times New Roman" w:hAnsi="Arial" w:cs="Arial"/>
                <w:color w:val="000000" w:themeColor="text1"/>
                <w:sz w:val="12"/>
                <w:szCs w:val="12"/>
                <w:lang w:eastAsia="en-AU"/>
              </w:rPr>
            </w:pPr>
          </w:p>
        </w:tc>
        <w:tc>
          <w:tcPr>
            <w:tcW w:w="750" w:type="dxa"/>
            <w:hideMark/>
          </w:tcPr>
          <w:p w14:paraId="0D29FD42" w14:textId="77777777" w:rsidR="00F62694" w:rsidRPr="00C77BDD" w:rsidRDefault="00F62694" w:rsidP="00C77BDD">
            <w:pPr>
              <w:rPr>
                <w:rFonts w:ascii="Arial" w:eastAsia="Times New Roman" w:hAnsi="Arial" w:cs="Arial"/>
                <w:color w:val="000000" w:themeColor="text1"/>
                <w:sz w:val="12"/>
                <w:szCs w:val="12"/>
                <w:lang w:eastAsia="en-AU"/>
              </w:rPr>
            </w:pPr>
          </w:p>
        </w:tc>
        <w:tc>
          <w:tcPr>
            <w:tcW w:w="790" w:type="dxa"/>
            <w:hideMark/>
          </w:tcPr>
          <w:p w14:paraId="1EE57BF5" w14:textId="77777777" w:rsidR="00F62694" w:rsidRPr="00C77BDD" w:rsidRDefault="00F62694" w:rsidP="00C77BDD">
            <w:pPr>
              <w:rPr>
                <w:rFonts w:ascii="Arial" w:eastAsia="Times New Roman" w:hAnsi="Arial" w:cs="Arial"/>
                <w:color w:val="000000" w:themeColor="text1"/>
                <w:sz w:val="12"/>
                <w:szCs w:val="12"/>
                <w:lang w:eastAsia="en-AU"/>
              </w:rPr>
            </w:pPr>
          </w:p>
        </w:tc>
      </w:tr>
      <w:tr w:rsidR="00F62694" w:rsidRPr="008E4E40" w14:paraId="093F5A2B" w14:textId="77777777" w:rsidTr="008B36A4">
        <w:trPr>
          <w:cantSplit/>
          <w:trHeight w:val="53"/>
        </w:trPr>
        <w:tc>
          <w:tcPr>
            <w:tcW w:w="410" w:type="dxa"/>
            <w:noWrap/>
            <w:hideMark/>
          </w:tcPr>
          <w:p w14:paraId="46BC91B3" w14:textId="2E5798F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r>
              <w:rPr>
                <w:rFonts w:ascii="Arial" w:eastAsia="Times New Roman" w:hAnsi="Arial" w:cs="Arial"/>
                <w:color w:val="000000" w:themeColor="text1"/>
                <w:sz w:val="12"/>
                <w:szCs w:val="12"/>
                <w:lang w:eastAsia="en-AU"/>
              </w:rPr>
              <w:t>9</w:t>
            </w:r>
          </w:p>
        </w:tc>
        <w:tc>
          <w:tcPr>
            <w:tcW w:w="437" w:type="dxa"/>
            <w:noWrap/>
            <w:hideMark/>
          </w:tcPr>
          <w:p w14:paraId="4B2E5F4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4D096202" w14:textId="3CC333C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Cai et al., 2020</w:t>
            </w:r>
            <w:r w:rsidR="000C072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[103]</w:t>
            </w:r>
          </w:p>
        </w:tc>
        <w:tc>
          <w:tcPr>
            <w:tcW w:w="575" w:type="dxa"/>
            <w:gridSpan w:val="2"/>
            <w:hideMark/>
          </w:tcPr>
          <w:p w14:paraId="7C01CA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6BBAFB8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Chengdu, China</w:t>
            </w:r>
          </w:p>
        </w:tc>
        <w:tc>
          <w:tcPr>
            <w:tcW w:w="918" w:type="dxa"/>
            <w:gridSpan w:val="2"/>
          </w:tcPr>
          <w:p w14:paraId="0E1B3E1F"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0EB00DE" w14:textId="6049E6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628D19F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A2AFAD7" w14:textId="556DF12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&gt;50 years)</w:t>
            </w:r>
          </w:p>
        </w:tc>
        <w:tc>
          <w:tcPr>
            <w:tcW w:w="1193" w:type="dxa"/>
            <w:hideMark/>
          </w:tcPr>
          <w:p w14:paraId="3DE5F49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9E4AFE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AQP4 transfected fixed cell-based assay</w:t>
            </w:r>
          </w:p>
        </w:tc>
        <w:tc>
          <w:tcPr>
            <w:tcW w:w="893" w:type="dxa"/>
            <w:hideMark/>
          </w:tcPr>
          <w:p w14:paraId="3A634C57" w14:textId="5647B42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85.3</w:t>
            </w:r>
          </w:p>
        </w:tc>
        <w:tc>
          <w:tcPr>
            <w:tcW w:w="1233" w:type="dxa"/>
            <w:hideMark/>
          </w:tcPr>
          <w:p w14:paraId="0E74893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27BFB94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116</w:t>
            </w:r>
          </w:p>
        </w:tc>
        <w:tc>
          <w:tcPr>
            <w:tcW w:w="554" w:type="dxa"/>
            <w:gridSpan w:val="2"/>
            <w:hideMark/>
          </w:tcPr>
          <w:p w14:paraId="01338D2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425" w:type="dxa"/>
            <w:hideMark/>
          </w:tcPr>
          <w:p w14:paraId="31BB833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16</w:t>
            </w:r>
          </w:p>
        </w:tc>
        <w:tc>
          <w:tcPr>
            <w:tcW w:w="1279" w:type="dxa"/>
            <w:gridSpan w:val="2"/>
            <w:hideMark/>
          </w:tcPr>
          <w:p w14:paraId="31623ACE" w14:textId="227986B9"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58.2 ± 8.5</w:t>
            </w:r>
            <w:r w:rsidRPr="008D1DC2">
              <w:rPr>
                <w:rFonts w:ascii="Arial" w:eastAsia="Times New Roman" w:hAnsi="Arial" w:cs="Arial"/>
                <w:color w:val="000000" w:themeColor="text1"/>
                <w:sz w:val="12"/>
                <w:szCs w:val="12"/>
                <w:vertAlign w:val="superscript"/>
                <w:lang w:eastAsia="en-AU"/>
              </w:rPr>
              <w:t>‡</w:t>
            </w:r>
          </w:p>
          <w:p w14:paraId="01A496BE" w14:textId="04816C1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(52 - 76)</w:t>
            </w:r>
          </w:p>
        </w:tc>
        <w:tc>
          <w:tcPr>
            <w:tcW w:w="673" w:type="dxa"/>
            <w:gridSpan w:val="3"/>
            <w:noWrap/>
            <w:hideMark/>
          </w:tcPr>
          <w:p w14:paraId="2237AEE2" w14:textId="1907043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4D3CEA9B" w14:textId="543CBB2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3501297B" w14:textId="52D74F4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08A1201D" w14:textId="7298795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2859B681" w14:textId="226DA3A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14BB2EA9" w14:textId="48E60CF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BF9BAEB" w14:textId="0F6C1EE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6684CC0B" w14:textId="2F7B958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0F94B9CF" w14:textId="486E607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1753E3A" w14:textId="77777777" w:rsidTr="008B36A4">
        <w:trPr>
          <w:cantSplit/>
          <w:trHeight w:val="394"/>
        </w:trPr>
        <w:tc>
          <w:tcPr>
            <w:tcW w:w="410" w:type="dxa"/>
            <w:noWrap/>
            <w:hideMark/>
          </w:tcPr>
          <w:p w14:paraId="5E72C7E3" w14:textId="43E7F8C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80</w:t>
            </w:r>
          </w:p>
        </w:tc>
        <w:tc>
          <w:tcPr>
            <w:tcW w:w="437" w:type="dxa"/>
            <w:noWrap/>
            <w:hideMark/>
          </w:tcPr>
          <w:p w14:paraId="746B260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4D9DECB3" w14:textId="78A6DAF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Carnero Contentti et al., 2020</w:t>
            </w:r>
            <w:r w:rsidR="000C072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[104]</w:t>
            </w:r>
          </w:p>
        </w:tc>
        <w:tc>
          <w:tcPr>
            <w:tcW w:w="575" w:type="dxa"/>
            <w:gridSpan w:val="2"/>
            <w:hideMark/>
          </w:tcPr>
          <w:p w14:paraId="3E8E5E1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76BBF0F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Argentina, Brazil and Venezuela</w:t>
            </w:r>
          </w:p>
        </w:tc>
        <w:tc>
          <w:tcPr>
            <w:tcW w:w="918" w:type="dxa"/>
            <w:gridSpan w:val="2"/>
          </w:tcPr>
          <w:p w14:paraId="522F2FB5"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4CEF9AD0" w14:textId="406DDFC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1F12F8A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Multinational, multicentre</w:t>
            </w:r>
          </w:p>
        </w:tc>
        <w:tc>
          <w:tcPr>
            <w:tcW w:w="1560" w:type="dxa"/>
            <w:hideMark/>
          </w:tcPr>
          <w:p w14:paraId="35DAD9E4" w14:textId="008A727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&gt;49 years)</w:t>
            </w:r>
          </w:p>
        </w:tc>
        <w:tc>
          <w:tcPr>
            <w:tcW w:w="1193" w:type="dxa"/>
            <w:hideMark/>
          </w:tcPr>
          <w:p w14:paraId="27E5DFE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8CADC0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Cell-based assay (not further defined) or tissue indirect immunofluoresence</w:t>
            </w:r>
          </w:p>
        </w:tc>
        <w:tc>
          <w:tcPr>
            <w:tcW w:w="893" w:type="dxa"/>
            <w:hideMark/>
          </w:tcPr>
          <w:p w14:paraId="2D6714C5" w14:textId="17D6FEB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66.7</w:t>
            </w:r>
          </w:p>
        </w:tc>
        <w:tc>
          <w:tcPr>
            <w:tcW w:w="1233" w:type="dxa"/>
            <w:hideMark/>
          </w:tcPr>
          <w:p w14:paraId="6694A3E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F61BD8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w:t>
            </w:r>
          </w:p>
        </w:tc>
        <w:tc>
          <w:tcPr>
            <w:tcW w:w="554" w:type="dxa"/>
            <w:gridSpan w:val="2"/>
            <w:hideMark/>
          </w:tcPr>
          <w:p w14:paraId="13B186C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w:t>
            </w:r>
          </w:p>
        </w:tc>
        <w:tc>
          <w:tcPr>
            <w:tcW w:w="425" w:type="dxa"/>
            <w:hideMark/>
          </w:tcPr>
          <w:p w14:paraId="1C8BDE0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1279" w:type="dxa"/>
            <w:gridSpan w:val="2"/>
            <w:hideMark/>
          </w:tcPr>
          <w:p w14:paraId="3CD2723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59.8 ± 6.8</w:t>
            </w:r>
          </w:p>
        </w:tc>
        <w:tc>
          <w:tcPr>
            <w:tcW w:w="673" w:type="dxa"/>
            <w:gridSpan w:val="3"/>
            <w:noWrap/>
            <w:hideMark/>
          </w:tcPr>
          <w:p w14:paraId="707370A1" w14:textId="20E904D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17B4BE7C" w14:textId="4098655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665" w:type="dxa"/>
            <w:gridSpan w:val="3"/>
            <w:noWrap/>
            <w:hideMark/>
          </w:tcPr>
          <w:p w14:paraId="0BFC6767" w14:textId="725AE8C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6D17916A" w14:textId="4D01F6B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3C3275C9" w14:textId="3F1992A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76DD779C" w14:textId="17FF6DC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2942827A" w14:textId="447FECD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77943DE3" w14:textId="6460705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0D1716D1" w14:textId="08328A1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6D25193" w14:textId="77777777" w:rsidTr="008B36A4">
        <w:trPr>
          <w:cantSplit/>
          <w:trHeight w:val="53"/>
        </w:trPr>
        <w:tc>
          <w:tcPr>
            <w:tcW w:w="410" w:type="dxa"/>
            <w:noWrap/>
            <w:hideMark/>
          </w:tcPr>
          <w:p w14:paraId="49E0FDE1" w14:textId="0BEC9B1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81</w:t>
            </w:r>
          </w:p>
        </w:tc>
        <w:tc>
          <w:tcPr>
            <w:tcW w:w="437" w:type="dxa"/>
            <w:noWrap/>
            <w:hideMark/>
          </w:tcPr>
          <w:p w14:paraId="57786D2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4200C896" w14:textId="4896538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Collongues et al., 2014</w:t>
            </w:r>
            <w:r w:rsidR="000C0722">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[105]</w:t>
            </w:r>
          </w:p>
        </w:tc>
        <w:tc>
          <w:tcPr>
            <w:tcW w:w="575" w:type="dxa"/>
            <w:gridSpan w:val="2"/>
            <w:hideMark/>
          </w:tcPr>
          <w:p w14:paraId="331C04A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2012</w:t>
            </w:r>
          </w:p>
        </w:tc>
        <w:tc>
          <w:tcPr>
            <w:tcW w:w="1030" w:type="dxa"/>
            <w:gridSpan w:val="2"/>
            <w:hideMark/>
          </w:tcPr>
          <w:p w14:paraId="54EB2C3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Europe</w:t>
            </w:r>
          </w:p>
        </w:tc>
        <w:tc>
          <w:tcPr>
            <w:tcW w:w="918" w:type="dxa"/>
            <w:gridSpan w:val="2"/>
          </w:tcPr>
          <w:p w14:paraId="144E7C87"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170157C5" w14:textId="7678D34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2990E50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Multinational, multicentre</w:t>
            </w:r>
          </w:p>
        </w:tc>
        <w:tc>
          <w:tcPr>
            <w:tcW w:w="1560" w:type="dxa"/>
            <w:hideMark/>
          </w:tcPr>
          <w:p w14:paraId="36AFFE50" w14:textId="5957A2D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&gt;50 years)</w:t>
            </w:r>
          </w:p>
        </w:tc>
        <w:tc>
          <w:tcPr>
            <w:tcW w:w="1193" w:type="dxa"/>
            <w:hideMark/>
          </w:tcPr>
          <w:p w14:paraId="18BC0DB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2007</w:t>
            </w:r>
          </w:p>
        </w:tc>
        <w:tc>
          <w:tcPr>
            <w:tcW w:w="1358" w:type="dxa"/>
            <w:hideMark/>
          </w:tcPr>
          <w:p w14:paraId="016615D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M23 AQP4 transfected HEK293 live cell-based assay, radioimmunoprecipitation assay or indirect immunofluorescence assay</w:t>
            </w:r>
          </w:p>
        </w:tc>
        <w:tc>
          <w:tcPr>
            <w:tcW w:w="893" w:type="dxa"/>
            <w:hideMark/>
          </w:tcPr>
          <w:p w14:paraId="514FAAF3" w14:textId="2DF6249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85.0</w:t>
            </w:r>
          </w:p>
        </w:tc>
        <w:tc>
          <w:tcPr>
            <w:tcW w:w="1233" w:type="dxa"/>
            <w:hideMark/>
          </w:tcPr>
          <w:p w14:paraId="785E1BD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D5F191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108</w:t>
            </w:r>
          </w:p>
        </w:tc>
        <w:tc>
          <w:tcPr>
            <w:tcW w:w="554" w:type="dxa"/>
            <w:gridSpan w:val="2"/>
            <w:hideMark/>
          </w:tcPr>
          <w:p w14:paraId="545174B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88</w:t>
            </w:r>
          </w:p>
        </w:tc>
        <w:tc>
          <w:tcPr>
            <w:tcW w:w="425" w:type="dxa"/>
            <w:hideMark/>
          </w:tcPr>
          <w:p w14:paraId="53F7A4F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w:t>
            </w:r>
          </w:p>
        </w:tc>
        <w:tc>
          <w:tcPr>
            <w:tcW w:w="1279" w:type="dxa"/>
            <w:gridSpan w:val="2"/>
            <w:hideMark/>
          </w:tcPr>
          <w:p w14:paraId="5E81583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56.6 (50 - 82)</w:t>
            </w:r>
          </w:p>
        </w:tc>
        <w:tc>
          <w:tcPr>
            <w:tcW w:w="673" w:type="dxa"/>
            <w:gridSpan w:val="3"/>
            <w:noWrap/>
            <w:hideMark/>
          </w:tcPr>
          <w:p w14:paraId="232171A6" w14:textId="6819356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5511ADF8" w14:textId="2B417A0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224BD392" w14:textId="35F4054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52003EA9" w14:textId="0A87AD0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6E70C331" w14:textId="6C251AC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76FD1AEB" w14:textId="7567661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6FEADC4" w14:textId="20BE611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535D36E8" w14:textId="05F0522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3A10420A" w14:textId="64B7821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AA1B986" w14:textId="77777777" w:rsidTr="008B36A4">
        <w:trPr>
          <w:cantSplit/>
          <w:trHeight w:val="201"/>
        </w:trPr>
        <w:tc>
          <w:tcPr>
            <w:tcW w:w="410" w:type="dxa"/>
            <w:noWrap/>
            <w:hideMark/>
          </w:tcPr>
          <w:p w14:paraId="2D90603A" w14:textId="6D4A82F1"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16C8532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noWrap/>
          </w:tcPr>
          <w:p w14:paraId="1E2B0751" w14:textId="62999037"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tcPr>
          <w:p w14:paraId="73C46379" w14:textId="3CC16702"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502909E0"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10276EDA"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02A113D" w14:textId="3F07251C"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78E441ED"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67C20919"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19E3E26B"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5671F0A5"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1C67BD61" w14:textId="56E7AA7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52D8EA82"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66A966E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46</w:t>
            </w:r>
          </w:p>
        </w:tc>
        <w:tc>
          <w:tcPr>
            <w:tcW w:w="554" w:type="dxa"/>
            <w:gridSpan w:val="2"/>
            <w:hideMark/>
          </w:tcPr>
          <w:p w14:paraId="0BDC7D9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41</w:t>
            </w:r>
          </w:p>
        </w:tc>
        <w:tc>
          <w:tcPr>
            <w:tcW w:w="425" w:type="dxa"/>
            <w:hideMark/>
          </w:tcPr>
          <w:p w14:paraId="24C9BD2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1279" w:type="dxa"/>
            <w:gridSpan w:val="2"/>
            <w:hideMark/>
          </w:tcPr>
          <w:p w14:paraId="173FDDAA" w14:textId="4091CB11"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61.0 ± 7.2</w:t>
            </w:r>
            <w:r w:rsidRPr="008D1DC2">
              <w:rPr>
                <w:rFonts w:ascii="Arial" w:eastAsia="Times New Roman" w:hAnsi="Arial" w:cs="Arial"/>
                <w:color w:val="000000" w:themeColor="text1"/>
                <w:sz w:val="12"/>
                <w:szCs w:val="12"/>
                <w:vertAlign w:val="superscript"/>
                <w:lang w:eastAsia="en-AU"/>
              </w:rPr>
              <w:t>‡</w:t>
            </w:r>
          </w:p>
          <w:p w14:paraId="6A6A51B7" w14:textId="17F7C4A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56 (50 - 82)</w:t>
            </w:r>
          </w:p>
        </w:tc>
        <w:tc>
          <w:tcPr>
            <w:tcW w:w="673" w:type="dxa"/>
            <w:gridSpan w:val="3"/>
            <w:noWrap/>
            <w:hideMark/>
          </w:tcPr>
          <w:p w14:paraId="0BCDBD70" w14:textId="0723044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6EE93100" w14:textId="6E96F9C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0309B980" w14:textId="6261911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271E1794" w14:textId="72E71D9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487B4576" w14:textId="69F9DF1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3C248F4B" w14:textId="72A3CC0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199F866" w14:textId="50FA0FA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6ADB5E2F" w14:textId="5D035C8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7CB917F3" w14:textId="637D35B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529EE78A" w14:textId="77777777" w:rsidTr="008B36A4">
        <w:trPr>
          <w:cantSplit/>
          <w:trHeight w:val="53"/>
        </w:trPr>
        <w:tc>
          <w:tcPr>
            <w:tcW w:w="410" w:type="dxa"/>
            <w:noWrap/>
            <w:hideMark/>
          </w:tcPr>
          <w:p w14:paraId="79570F36" w14:textId="1190897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r w:rsidR="007C24FB">
              <w:rPr>
                <w:rFonts w:ascii="Arial" w:eastAsia="Times New Roman" w:hAnsi="Arial" w:cs="Arial"/>
                <w:color w:val="000000" w:themeColor="text1"/>
                <w:sz w:val="12"/>
                <w:szCs w:val="12"/>
                <w:lang w:eastAsia="en-AU"/>
              </w:rPr>
              <w:t>2</w:t>
            </w:r>
          </w:p>
        </w:tc>
        <w:tc>
          <w:tcPr>
            <w:tcW w:w="437" w:type="dxa"/>
            <w:noWrap/>
            <w:hideMark/>
          </w:tcPr>
          <w:p w14:paraId="1BEF7A0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4D298901" w14:textId="3316C81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Delgado-Garcia et al., 2020</w:t>
            </w:r>
            <w:r w:rsidR="0072040C">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[106]</w:t>
            </w:r>
          </w:p>
        </w:tc>
        <w:tc>
          <w:tcPr>
            <w:tcW w:w="575" w:type="dxa"/>
            <w:gridSpan w:val="2"/>
            <w:hideMark/>
          </w:tcPr>
          <w:p w14:paraId="4D79CE1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54E53E2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Mexico</w:t>
            </w:r>
          </w:p>
        </w:tc>
        <w:tc>
          <w:tcPr>
            <w:tcW w:w="918" w:type="dxa"/>
            <w:gridSpan w:val="2"/>
          </w:tcPr>
          <w:p w14:paraId="38FE9268"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DF3FDBE" w14:textId="3EBECE5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145A572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Multinational, multicentre</w:t>
            </w:r>
          </w:p>
        </w:tc>
        <w:tc>
          <w:tcPr>
            <w:tcW w:w="1560" w:type="dxa"/>
            <w:hideMark/>
          </w:tcPr>
          <w:p w14:paraId="68CDAFF5" w14:textId="08B5523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&gt;49 years)</w:t>
            </w:r>
          </w:p>
        </w:tc>
        <w:tc>
          <w:tcPr>
            <w:tcW w:w="1193" w:type="dxa"/>
            <w:hideMark/>
          </w:tcPr>
          <w:p w14:paraId="35E4267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antibody positive</w:t>
            </w:r>
          </w:p>
        </w:tc>
        <w:tc>
          <w:tcPr>
            <w:tcW w:w="1358" w:type="dxa"/>
            <w:hideMark/>
          </w:tcPr>
          <w:p w14:paraId="0CA4829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3E19A5EB" w14:textId="1082CA9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78FEEBF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66AEE9B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554" w:type="dxa"/>
            <w:gridSpan w:val="2"/>
            <w:hideMark/>
          </w:tcPr>
          <w:p w14:paraId="5F484D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425" w:type="dxa"/>
            <w:hideMark/>
          </w:tcPr>
          <w:p w14:paraId="73DE4A4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0</w:t>
            </w:r>
          </w:p>
        </w:tc>
        <w:tc>
          <w:tcPr>
            <w:tcW w:w="1279" w:type="dxa"/>
            <w:gridSpan w:val="2"/>
            <w:hideMark/>
          </w:tcPr>
          <w:p w14:paraId="31D5641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54.5 ± 4.7</w:t>
            </w:r>
          </w:p>
        </w:tc>
        <w:tc>
          <w:tcPr>
            <w:tcW w:w="673" w:type="dxa"/>
            <w:gridSpan w:val="3"/>
            <w:noWrap/>
            <w:hideMark/>
          </w:tcPr>
          <w:p w14:paraId="626D5A0F" w14:textId="742D59E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1824E8E3" w14:textId="2B3DA33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5B071478" w14:textId="5F9C453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w:t>
            </w:r>
            <w:r>
              <w:rPr>
                <w:rFonts w:ascii="Arial" w:eastAsia="Times New Roman" w:hAnsi="Arial" w:cs="Arial"/>
                <w:color w:val="000000" w:themeColor="text1"/>
                <w:sz w:val="12"/>
                <w:szCs w:val="12"/>
                <w:lang w:eastAsia="en-AU"/>
              </w:rPr>
              <w:t>o</w:t>
            </w:r>
          </w:p>
        </w:tc>
        <w:tc>
          <w:tcPr>
            <w:tcW w:w="762" w:type="dxa"/>
            <w:gridSpan w:val="3"/>
            <w:noWrap/>
            <w:hideMark/>
          </w:tcPr>
          <w:p w14:paraId="39A92ECA" w14:textId="4A34933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2A74C424" w14:textId="016545B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5C955ADD" w14:textId="7412D87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8CBBC8E" w14:textId="05B7B95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6B0D7F7B" w14:textId="446C29E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7FE08119" w14:textId="7C9952B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49254C8" w14:textId="77777777" w:rsidTr="008B36A4">
        <w:trPr>
          <w:cantSplit/>
          <w:trHeight w:val="53"/>
        </w:trPr>
        <w:tc>
          <w:tcPr>
            <w:tcW w:w="410" w:type="dxa"/>
            <w:noWrap/>
            <w:hideMark/>
          </w:tcPr>
          <w:p w14:paraId="35258960" w14:textId="59C7580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r w:rsidR="007C24FB">
              <w:rPr>
                <w:rFonts w:ascii="Arial" w:eastAsia="Times New Roman" w:hAnsi="Arial" w:cs="Arial"/>
                <w:color w:val="000000" w:themeColor="text1"/>
                <w:sz w:val="12"/>
                <w:szCs w:val="12"/>
                <w:lang w:eastAsia="en-AU"/>
              </w:rPr>
              <w:t>3</w:t>
            </w:r>
          </w:p>
        </w:tc>
        <w:tc>
          <w:tcPr>
            <w:tcW w:w="437" w:type="dxa"/>
            <w:noWrap/>
            <w:hideMark/>
          </w:tcPr>
          <w:p w14:paraId="7C14057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272254B0" w14:textId="787A9E1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Fragoso et al., 2019</w:t>
            </w:r>
            <w:r w:rsidR="003054F2">
              <w:rPr>
                <w:rFonts w:ascii="Arial" w:eastAsia="Times New Roman" w:hAnsi="Arial" w:cs="Arial"/>
                <w:color w:val="000000" w:themeColor="text1"/>
                <w:sz w:val="12"/>
                <w:szCs w:val="12"/>
                <w:lang w:eastAsia="en-AU"/>
              </w:rPr>
              <w:t xml:space="preserve"> </w:t>
            </w:r>
            <w:r w:rsidR="00206D31">
              <w:rPr>
                <w:rFonts w:ascii="Arial" w:eastAsia="Times New Roman" w:hAnsi="Arial" w:cs="Arial"/>
                <w:noProof/>
                <w:color w:val="000000" w:themeColor="text1"/>
                <w:sz w:val="12"/>
                <w:szCs w:val="12"/>
                <w:lang w:eastAsia="en-AU"/>
              </w:rPr>
              <w:t>[12]</w:t>
            </w:r>
          </w:p>
        </w:tc>
        <w:tc>
          <w:tcPr>
            <w:tcW w:w="575" w:type="dxa"/>
            <w:gridSpan w:val="2"/>
            <w:hideMark/>
          </w:tcPr>
          <w:p w14:paraId="6B17AF1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06A4E65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Brazil</w:t>
            </w:r>
          </w:p>
        </w:tc>
        <w:tc>
          <w:tcPr>
            <w:tcW w:w="918" w:type="dxa"/>
            <w:gridSpan w:val="2"/>
          </w:tcPr>
          <w:p w14:paraId="3ED04386"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3284C07D" w14:textId="6EAEB12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29D93EC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0E49F0B9" w14:textId="075DDE5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&gt;50 years)</w:t>
            </w:r>
          </w:p>
        </w:tc>
        <w:tc>
          <w:tcPr>
            <w:tcW w:w="1193" w:type="dxa"/>
            <w:hideMark/>
          </w:tcPr>
          <w:p w14:paraId="45A4A4E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5857E90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Immunofluorescence technique (not otherwise stated)</w:t>
            </w:r>
          </w:p>
        </w:tc>
        <w:tc>
          <w:tcPr>
            <w:tcW w:w="893" w:type="dxa"/>
            <w:hideMark/>
          </w:tcPr>
          <w:p w14:paraId="0FD47953" w14:textId="04A2709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64.9</w:t>
            </w:r>
          </w:p>
        </w:tc>
        <w:tc>
          <w:tcPr>
            <w:tcW w:w="1233" w:type="dxa"/>
            <w:hideMark/>
          </w:tcPr>
          <w:p w14:paraId="653F2D2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3B446B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37</w:t>
            </w:r>
          </w:p>
        </w:tc>
        <w:tc>
          <w:tcPr>
            <w:tcW w:w="554" w:type="dxa"/>
            <w:gridSpan w:val="2"/>
            <w:hideMark/>
          </w:tcPr>
          <w:p w14:paraId="760A165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w:t>
            </w:r>
          </w:p>
        </w:tc>
        <w:tc>
          <w:tcPr>
            <w:tcW w:w="425" w:type="dxa"/>
            <w:hideMark/>
          </w:tcPr>
          <w:p w14:paraId="7C07564D"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w:t>
            </w:r>
          </w:p>
        </w:tc>
        <w:tc>
          <w:tcPr>
            <w:tcW w:w="1279" w:type="dxa"/>
            <w:gridSpan w:val="2"/>
            <w:hideMark/>
          </w:tcPr>
          <w:p w14:paraId="4086B46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56.4 ± 5.6</w:t>
            </w:r>
          </w:p>
        </w:tc>
        <w:tc>
          <w:tcPr>
            <w:tcW w:w="673" w:type="dxa"/>
            <w:gridSpan w:val="3"/>
            <w:noWrap/>
            <w:hideMark/>
          </w:tcPr>
          <w:p w14:paraId="0AC35A3D" w14:textId="1B0AB01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03699DF2" w14:textId="78EEDB5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665" w:type="dxa"/>
            <w:gridSpan w:val="3"/>
            <w:noWrap/>
            <w:hideMark/>
          </w:tcPr>
          <w:p w14:paraId="05DD00D8" w14:textId="426C9A1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0A760D3A" w14:textId="3A7514C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6DE62ABB" w14:textId="7739E07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32023EC5" w14:textId="2B5F1E9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1B2EE8B4" w14:textId="5CFCAFE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71A212C3" w14:textId="3F80398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71B6A6B7" w14:textId="32F6A231"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1655282" w14:textId="77777777" w:rsidTr="008B36A4">
        <w:trPr>
          <w:cantSplit/>
          <w:trHeight w:val="53"/>
        </w:trPr>
        <w:tc>
          <w:tcPr>
            <w:tcW w:w="410" w:type="dxa"/>
            <w:noWrap/>
            <w:hideMark/>
          </w:tcPr>
          <w:p w14:paraId="2CCB7FEF" w14:textId="4634611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r w:rsidR="007C24FB">
              <w:rPr>
                <w:rFonts w:ascii="Arial" w:eastAsia="Times New Roman" w:hAnsi="Arial" w:cs="Arial"/>
                <w:color w:val="000000" w:themeColor="text1"/>
                <w:sz w:val="12"/>
                <w:szCs w:val="12"/>
                <w:lang w:eastAsia="en-AU"/>
              </w:rPr>
              <w:t>4</w:t>
            </w:r>
          </w:p>
        </w:tc>
        <w:tc>
          <w:tcPr>
            <w:tcW w:w="437" w:type="dxa"/>
            <w:noWrap/>
            <w:hideMark/>
          </w:tcPr>
          <w:p w14:paraId="15F7B04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5A32F720" w14:textId="25F3F7D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Lavandier et al., 2019</w:t>
            </w:r>
            <w:r w:rsidR="00CE338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[107]</w:t>
            </w:r>
          </w:p>
        </w:tc>
        <w:tc>
          <w:tcPr>
            <w:tcW w:w="575" w:type="dxa"/>
            <w:gridSpan w:val="2"/>
            <w:hideMark/>
          </w:tcPr>
          <w:p w14:paraId="703F643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2019</w:t>
            </w:r>
          </w:p>
        </w:tc>
        <w:tc>
          <w:tcPr>
            <w:tcW w:w="1030" w:type="dxa"/>
            <w:gridSpan w:val="2"/>
            <w:hideMark/>
          </w:tcPr>
          <w:p w14:paraId="4AF4407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France</w:t>
            </w:r>
          </w:p>
        </w:tc>
        <w:tc>
          <w:tcPr>
            <w:tcW w:w="918" w:type="dxa"/>
            <w:gridSpan w:val="2"/>
          </w:tcPr>
          <w:p w14:paraId="6AE088DB"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45C3C010" w14:textId="36B5789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1AC01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3EBAB87F" w14:textId="53DB842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&gt;70 years)</w:t>
            </w:r>
          </w:p>
        </w:tc>
        <w:tc>
          <w:tcPr>
            <w:tcW w:w="1193" w:type="dxa"/>
            <w:hideMark/>
          </w:tcPr>
          <w:p w14:paraId="1C44AB9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1177AD5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stated</w:t>
            </w:r>
          </w:p>
        </w:tc>
        <w:tc>
          <w:tcPr>
            <w:tcW w:w="893" w:type="dxa"/>
            <w:hideMark/>
          </w:tcPr>
          <w:p w14:paraId="5B1302FC" w14:textId="66C584F3"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83.3</w:t>
            </w:r>
          </w:p>
        </w:tc>
        <w:tc>
          <w:tcPr>
            <w:tcW w:w="1233" w:type="dxa"/>
            <w:hideMark/>
          </w:tcPr>
          <w:p w14:paraId="0366613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9ABD1B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554" w:type="dxa"/>
            <w:gridSpan w:val="2"/>
            <w:hideMark/>
          </w:tcPr>
          <w:p w14:paraId="1F98704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425" w:type="dxa"/>
            <w:hideMark/>
          </w:tcPr>
          <w:p w14:paraId="3618531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279" w:type="dxa"/>
            <w:gridSpan w:val="2"/>
            <w:hideMark/>
          </w:tcPr>
          <w:p w14:paraId="6B63DDB6"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74.3 ± 4.3</w:t>
            </w:r>
          </w:p>
          <w:p w14:paraId="5E38B0DC" w14:textId="6BEFD8F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73.5 (71 - 81)</w:t>
            </w:r>
          </w:p>
        </w:tc>
        <w:tc>
          <w:tcPr>
            <w:tcW w:w="673" w:type="dxa"/>
            <w:gridSpan w:val="3"/>
            <w:noWrap/>
            <w:hideMark/>
          </w:tcPr>
          <w:p w14:paraId="3FE5CC67" w14:textId="5F1448B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6DDF5525" w14:textId="194B2BB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665" w:type="dxa"/>
            <w:gridSpan w:val="3"/>
            <w:noWrap/>
            <w:hideMark/>
          </w:tcPr>
          <w:p w14:paraId="2BD26274" w14:textId="5600550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4117D947" w14:textId="4FC8D64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4AF74A2A" w14:textId="6EC7BAE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0BE51124" w14:textId="4E5A583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6DCF4A6C" w14:textId="37B2FDD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446701DA" w14:textId="0D788DD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3EBEE256" w14:textId="6881BE6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7E95484E" w14:textId="77777777" w:rsidTr="007C24FB">
        <w:trPr>
          <w:cantSplit/>
          <w:trHeight w:val="53"/>
        </w:trPr>
        <w:tc>
          <w:tcPr>
            <w:tcW w:w="410" w:type="dxa"/>
            <w:noWrap/>
          </w:tcPr>
          <w:p w14:paraId="771AEE95" w14:textId="627DDCD0" w:rsidR="00F62694" w:rsidRPr="00C77BDD" w:rsidRDefault="00F62694" w:rsidP="00C77BDD">
            <w:pPr>
              <w:rPr>
                <w:rFonts w:ascii="Arial" w:eastAsia="Times New Roman" w:hAnsi="Arial" w:cs="Arial"/>
                <w:color w:val="000000" w:themeColor="text1"/>
                <w:sz w:val="12"/>
                <w:szCs w:val="12"/>
                <w:lang w:eastAsia="en-AU"/>
              </w:rPr>
            </w:pPr>
          </w:p>
        </w:tc>
        <w:tc>
          <w:tcPr>
            <w:tcW w:w="437" w:type="dxa"/>
            <w:noWrap/>
            <w:hideMark/>
          </w:tcPr>
          <w:p w14:paraId="5F3FD48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w:t>
            </w:r>
          </w:p>
        </w:tc>
        <w:tc>
          <w:tcPr>
            <w:tcW w:w="1705" w:type="dxa"/>
            <w:noWrap/>
          </w:tcPr>
          <w:p w14:paraId="2EC8DF0A" w14:textId="501B72B0" w:rsidR="00F62694" w:rsidRPr="00C77BDD" w:rsidRDefault="00F62694" w:rsidP="00C77BDD">
            <w:pPr>
              <w:rPr>
                <w:rFonts w:ascii="Arial" w:eastAsia="Times New Roman" w:hAnsi="Arial" w:cs="Arial"/>
                <w:color w:val="000000" w:themeColor="text1"/>
                <w:sz w:val="12"/>
                <w:szCs w:val="12"/>
                <w:lang w:eastAsia="en-AU"/>
              </w:rPr>
            </w:pPr>
          </w:p>
        </w:tc>
        <w:tc>
          <w:tcPr>
            <w:tcW w:w="575" w:type="dxa"/>
            <w:gridSpan w:val="2"/>
          </w:tcPr>
          <w:p w14:paraId="6B214B9C" w14:textId="383E7BAD" w:rsidR="00F62694" w:rsidRPr="00C77BDD" w:rsidRDefault="00F62694" w:rsidP="00C77BDD">
            <w:pPr>
              <w:rPr>
                <w:rFonts w:ascii="Arial" w:eastAsia="Times New Roman" w:hAnsi="Arial" w:cs="Arial"/>
                <w:color w:val="000000" w:themeColor="text1"/>
                <w:sz w:val="12"/>
                <w:szCs w:val="12"/>
                <w:lang w:eastAsia="en-AU"/>
              </w:rPr>
            </w:pPr>
          </w:p>
        </w:tc>
        <w:tc>
          <w:tcPr>
            <w:tcW w:w="1030" w:type="dxa"/>
            <w:gridSpan w:val="2"/>
            <w:hideMark/>
          </w:tcPr>
          <w:p w14:paraId="775E9CB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tcPr>
          <w:p w14:paraId="2B1E4ED1"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BBDF449" w14:textId="0CFB98B7" w:rsidR="00F62694" w:rsidRPr="00C77BDD" w:rsidRDefault="00F62694" w:rsidP="00C77BDD">
            <w:pPr>
              <w:rPr>
                <w:rFonts w:ascii="Arial" w:eastAsia="Times New Roman" w:hAnsi="Arial" w:cs="Arial"/>
                <w:color w:val="000000" w:themeColor="text1"/>
                <w:sz w:val="12"/>
                <w:szCs w:val="12"/>
                <w:lang w:eastAsia="en-AU"/>
              </w:rPr>
            </w:pPr>
          </w:p>
        </w:tc>
        <w:tc>
          <w:tcPr>
            <w:tcW w:w="1378" w:type="dxa"/>
            <w:hideMark/>
          </w:tcPr>
          <w:p w14:paraId="41517C38" w14:textId="77777777" w:rsidR="00F62694" w:rsidRPr="00C77BDD" w:rsidRDefault="00F62694" w:rsidP="00C77BDD">
            <w:pPr>
              <w:rPr>
                <w:rFonts w:ascii="Arial" w:eastAsia="Times New Roman" w:hAnsi="Arial" w:cs="Arial"/>
                <w:color w:val="000000" w:themeColor="text1"/>
                <w:sz w:val="12"/>
                <w:szCs w:val="12"/>
                <w:lang w:eastAsia="en-AU"/>
              </w:rPr>
            </w:pPr>
          </w:p>
        </w:tc>
        <w:tc>
          <w:tcPr>
            <w:tcW w:w="1560" w:type="dxa"/>
            <w:hideMark/>
          </w:tcPr>
          <w:p w14:paraId="6E17592A" w14:textId="77777777" w:rsidR="00F62694" w:rsidRPr="00C77BDD" w:rsidRDefault="00F62694" w:rsidP="00C77BDD">
            <w:pPr>
              <w:rPr>
                <w:rFonts w:ascii="Arial" w:eastAsia="Times New Roman" w:hAnsi="Arial" w:cs="Arial"/>
                <w:color w:val="000000" w:themeColor="text1"/>
                <w:sz w:val="12"/>
                <w:szCs w:val="12"/>
                <w:lang w:eastAsia="en-AU"/>
              </w:rPr>
            </w:pPr>
          </w:p>
        </w:tc>
        <w:tc>
          <w:tcPr>
            <w:tcW w:w="1193" w:type="dxa"/>
            <w:hideMark/>
          </w:tcPr>
          <w:p w14:paraId="10C4A4E2" w14:textId="77777777" w:rsidR="00F62694" w:rsidRPr="00C77BDD" w:rsidRDefault="00F62694" w:rsidP="00C77BDD">
            <w:pPr>
              <w:rPr>
                <w:rFonts w:ascii="Arial" w:eastAsia="Times New Roman" w:hAnsi="Arial" w:cs="Arial"/>
                <w:color w:val="000000" w:themeColor="text1"/>
                <w:sz w:val="12"/>
                <w:szCs w:val="12"/>
                <w:lang w:eastAsia="en-AU"/>
              </w:rPr>
            </w:pPr>
          </w:p>
        </w:tc>
        <w:tc>
          <w:tcPr>
            <w:tcW w:w="1358" w:type="dxa"/>
            <w:hideMark/>
          </w:tcPr>
          <w:p w14:paraId="62F6390F" w14:textId="77777777" w:rsidR="00F62694" w:rsidRPr="00C77BDD" w:rsidRDefault="00F62694" w:rsidP="00C77BDD">
            <w:pPr>
              <w:rPr>
                <w:rFonts w:ascii="Arial" w:eastAsia="Times New Roman" w:hAnsi="Arial" w:cs="Arial"/>
                <w:color w:val="000000" w:themeColor="text1"/>
                <w:sz w:val="12"/>
                <w:szCs w:val="12"/>
                <w:lang w:eastAsia="en-AU"/>
              </w:rPr>
            </w:pPr>
          </w:p>
        </w:tc>
        <w:tc>
          <w:tcPr>
            <w:tcW w:w="893" w:type="dxa"/>
            <w:hideMark/>
          </w:tcPr>
          <w:p w14:paraId="2FC5DDA7" w14:textId="428A5E6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54D50C36" w14:textId="77777777" w:rsidR="00F62694" w:rsidRPr="00C77BDD" w:rsidRDefault="00F62694" w:rsidP="00C77BDD">
            <w:pPr>
              <w:rPr>
                <w:rFonts w:ascii="Arial" w:eastAsia="Times New Roman" w:hAnsi="Arial" w:cs="Arial"/>
                <w:color w:val="000000" w:themeColor="text1"/>
                <w:sz w:val="12"/>
                <w:szCs w:val="12"/>
                <w:lang w:eastAsia="en-AU"/>
              </w:rPr>
            </w:pPr>
          </w:p>
        </w:tc>
        <w:tc>
          <w:tcPr>
            <w:tcW w:w="584" w:type="dxa"/>
            <w:gridSpan w:val="2"/>
            <w:hideMark/>
          </w:tcPr>
          <w:p w14:paraId="0C42447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554" w:type="dxa"/>
            <w:gridSpan w:val="2"/>
            <w:hideMark/>
          </w:tcPr>
          <w:p w14:paraId="654962B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425" w:type="dxa"/>
            <w:hideMark/>
          </w:tcPr>
          <w:p w14:paraId="4B5C1BD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279" w:type="dxa"/>
            <w:gridSpan w:val="2"/>
            <w:hideMark/>
          </w:tcPr>
          <w:p w14:paraId="51F617D3"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74.2 ± 4.3</w:t>
            </w:r>
          </w:p>
          <w:p w14:paraId="27A58E8E" w14:textId="60B319EA"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72 (71 - 81)</w:t>
            </w:r>
          </w:p>
        </w:tc>
        <w:tc>
          <w:tcPr>
            <w:tcW w:w="673" w:type="dxa"/>
            <w:gridSpan w:val="3"/>
            <w:noWrap/>
            <w:hideMark/>
          </w:tcPr>
          <w:p w14:paraId="155AA9F1" w14:textId="5636B5B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5236398C" w14:textId="5AAADA5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665" w:type="dxa"/>
            <w:gridSpan w:val="3"/>
            <w:noWrap/>
            <w:hideMark/>
          </w:tcPr>
          <w:p w14:paraId="054A9624" w14:textId="255D0F8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196E943C" w14:textId="116A213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42397B44" w14:textId="2259122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323AC5C2" w14:textId="716E5BB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13C16617" w14:textId="64FB4FB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7D76462F" w14:textId="7F949BB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3D6F845E" w14:textId="6978AEE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6FF691C" w14:textId="77777777" w:rsidTr="008B36A4">
        <w:trPr>
          <w:cantSplit/>
          <w:trHeight w:val="234"/>
        </w:trPr>
        <w:tc>
          <w:tcPr>
            <w:tcW w:w="410" w:type="dxa"/>
            <w:noWrap/>
            <w:hideMark/>
          </w:tcPr>
          <w:p w14:paraId="4003DA0A" w14:textId="69F2CD1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r w:rsidR="007C24FB">
              <w:rPr>
                <w:rFonts w:ascii="Arial" w:eastAsia="Times New Roman" w:hAnsi="Arial" w:cs="Arial"/>
                <w:color w:val="000000" w:themeColor="text1"/>
                <w:sz w:val="12"/>
                <w:szCs w:val="12"/>
                <w:lang w:eastAsia="en-AU"/>
              </w:rPr>
              <w:t>5</w:t>
            </w:r>
          </w:p>
        </w:tc>
        <w:tc>
          <w:tcPr>
            <w:tcW w:w="437" w:type="dxa"/>
            <w:noWrap/>
            <w:hideMark/>
          </w:tcPr>
          <w:p w14:paraId="6ED0754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4E3098E9" w14:textId="150D056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Mao et al., 2015</w:t>
            </w:r>
            <w:r w:rsidR="00CE3380">
              <w:rPr>
                <w:rFonts w:ascii="Arial" w:eastAsia="Times New Roman" w:hAnsi="Arial" w:cs="Arial"/>
                <w:noProof/>
                <w:color w:val="000000" w:themeColor="text1"/>
                <w:sz w:val="12"/>
                <w:szCs w:val="12"/>
                <w:vertAlign w:val="superscript"/>
                <w:lang w:eastAsia="en-AU"/>
              </w:rPr>
              <w:t xml:space="preserve"> </w:t>
            </w:r>
            <w:r w:rsidR="001C1BFC">
              <w:rPr>
                <w:rFonts w:ascii="Arial" w:eastAsia="Times New Roman" w:hAnsi="Arial" w:cs="Arial"/>
                <w:noProof/>
                <w:color w:val="000000" w:themeColor="text1"/>
                <w:sz w:val="12"/>
                <w:szCs w:val="12"/>
                <w:lang w:eastAsia="en-AU"/>
              </w:rPr>
              <w:t>[108]</w:t>
            </w:r>
          </w:p>
        </w:tc>
        <w:tc>
          <w:tcPr>
            <w:tcW w:w="575" w:type="dxa"/>
            <w:gridSpan w:val="2"/>
            <w:hideMark/>
          </w:tcPr>
          <w:p w14:paraId="3966F46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2014</w:t>
            </w:r>
          </w:p>
        </w:tc>
        <w:tc>
          <w:tcPr>
            <w:tcW w:w="1030" w:type="dxa"/>
            <w:gridSpan w:val="2"/>
            <w:hideMark/>
          </w:tcPr>
          <w:p w14:paraId="3DBA80B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Guangdong, China</w:t>
            </w:r>
          </w:p>
        </w:tc>
        <w:tc>
          <w:tcPr>
            <w:tcW w:w="918" w:type="dxa"/>
            <w:gridSpan w:val="2"/>
          </w:tcPr>
          <w:p w14:paraId="51F70DD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073341F" w14:textId="4B0D22A6"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EA3781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304289FB" w14:textId="5BB6B0E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chart review of consecutive cases</w:t>
            </w:r>
            <w:r w:rsidR="00656665">
              <w:rPr>
                <w:rFonts w:ascii="Arial" w:eastAsia="Times New Roman" w:hAnsi="Arial" w:cs="Arial"/>
                <w:color w:val="000000" w:themeColor="text1"/>
                <w:sz w:val="12"/>
                <w:szCs w:val="12"/>
                <w:lang w:eastAsia="en-AU"/>
              </w:rPr>
              <w:t xml:space="preserve"> (onset &gt;49 years)</w:t>
            </w:r>
          </w:p>
        </w:tc>
        <w:tc>
          <w:tcPr>
            <w:tcW w:w="1193" w:type="dxa"/>
            <w:hideMark/>
          </w:tcPr>
          <w:p w14:paraId="03B43F8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Wingerchuk 2006 plus AQP4 antibody positive</w:t>
            </w:r>
          </w:p>
        </w:tc>
        <w:tc>
          <w:tcPr>
            <w:tcW w:w="1358" w:type="dxa"/>
            <w:hideMark/>
          </w:tcPr>
          <w:p w14:paraId="34F69DC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AQP4 transfected fixed cell-based assay</w:t>
            </w:r>
          </w:p>
        </w:tc>
        <w:tc>
          <w:tcPr>
            <w:tcW w:w="893" w:type="dxa"/>
            <w:hideMark/>
          </w:tcPr>
          <w:p w14:paraId="138BD140" w14:textId="5154867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75E7440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4429170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w:t>
            </w:r>
          </w:p>
        </w:tc>
        <w:tc>
          <w:tcPr>
            <w:tcW w:w="554" w:type="dxa"/>
            <w:gridSpan w:val="2"/>
            <w:hideMark/>
          </w:tcPr>
          <w:p w14:paraId="77657621"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26</w:t>
            </w:r>
          </w:p>
        </w:tc>
        <w:tc>
          <w:tcPr>
            <w:tcW w:w="425" w:type="dxa"/>
            <w:hideMark/>
          </w:tcPr>
          <w:p w14:paraId="0A71C33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w:t>
            </w:r>
          </w:p>
        </w:tc>
        <w:tc>
          <w:tcPr>
            <w:tcW w:w="1279" w:type="dxa"/>
            <w:gridSpan w:val="2"/>
            <w:hideMark/>
          </w:tcPr>
          <w:p w14:paraId="4B1C03B9" w14:textId="04E707B2"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58.8 ± 4.9</w:t>
            </w:r>
            <w:r w:rsidRPr="008D1DC2">
              <w:rPr>
                <w:rFonts w:ascii="Arial" w:eastAsia="Times New Roman" w:hAnsi="Arial" w:cs="Arial"/>
                <w:color w:val="000000" w:themeColor="text1"/>
                <w:sz w:val="12"/>
                <w:szCs w:val="12"/>
                <w:vertAlign w:val="superscript"/>
                <w:lang w:eastAsia="en-AU"/>
              </w:rPr>
              <w:t>‡</w:t>
            </w:r>
          </w:p>
          <w:p w14:paraId="495B6FFF" w14:textId="45C9004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57.5 (50 - 70)</w:t>
            </w:r>
          </w:p>
        </w:tc>
        <w:tc>
          <w:tcPr>
            <w:tcW w:w="673" w:type="dxa"/>
            <w:gridSpan w:val="3"/>
            <w:noWrap/>
            <w:hideMark/>
          </w:tcPr>
          <w:p w14:paraId="53E46101" w14:textId="17AF096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7B6A3542" w14:textId="1CA2E4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348A1346" w14:textId="08F29CB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3012264B" w14:textId="4DD74B0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4353D81F" w14:textId="7E543BB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0297050B" w14:textId="6ED4936A"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76A91A0F" w14:textId="605E8B4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5059B1F4" w14:textId="40123A8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1C0CBBD4" w14:textId="66A9EE9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6BDF595B" w14:textId="77777777" w:rsidTr="008B36A4">
        <w:trPr>
          <w:cantSplit/>
          <w:trHeight w:val="53"/>
        </w:trPr>
        <w:tc>
          <w:tcPr>
            <w:tcW w:w="410" w:type="dxa"/>
            <w:noWrap/>
            <w:hideMark/>
          </w:tcPr>
          <w:p w14:paraId="0F7014C4" w14:textId="5F6F4E51"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r w:rsidR="007C24FB">
              <w:rPr>
                <w:rFonts w:ascii="Arial" w:eastAsia="Times New Roman" w:hAnsi="Arial" w:cs="Arial"/>
                <w:color w:val="000000" w:themeColor="text1"/>
                <w:sz w:val="12"/>
                <w:szCs w:val="12"/>
                <w:lang w:eastAsia="en-AU"/>
              </w:rPr>
              <w:t>6</w:t>
            </w:r>
          </w:p>
        </w:tc>
        <w:tc>
          <w:tcPr>
            <w:tcW w:w="437" w:type="dxa"/>
            <w:noWrap/>
            <w:hideMark/>
          </w:tcPr>
          <w:p w14:paraId="59D9628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03A54E74" w14:textId="3BB656E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Nakahara et al., 2021</w:t>
            </w:r>
            <w:r w:rsidR="00B03C3A">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[109]</w:t>
            </w:r>
          </w:p>
        </w:tc>
        <w:tc>
          <w:tcPr>
            <w:tcW w:w="575" w:type="dxa"/>
            <w:gridSpan w:val="2"/>
            <w:hideMark/>
          </w:tcPr>
          <w:p w14:paraId="77BF6C3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2020</w:t>
            </w:r>
          </w:p>
        </w:tc>
        <w:tc>
          <w:tcPr>
            <w:tcW w:w="1030" w:type="dxa"/>
            <w:gridSpan w:val="2"/>
            <w:hideMark/>
          </w:tcPr>
          <w:p w14:paraId="05A75D0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Kunamoto, Japan</w:t>
            </w:r>
          </w:p>
        </w:tc>
        <w:tc>
          <w:tcPr>
            <w:tcW w:w="918" w:type="dxa"/>
            <w:gridSpan w:val="2"/>
          </w:tcPr>
          <w:p w14:paraId="567FF8E8"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6EA0070C" w14:textId="3932374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0C3B4B6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59C9618C" w14:textId="464243DD"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&gt;49 years)</w:t>
            </w:r>
          </w:p>
        </w:tc>
        <w:tc>
          <w:tcPr>
            <w:tcW w:w="1193" w:type="dxa"/>
            <w:hideMark/>
          </w:tcPr>
          <w:p w14:paraId="1DB0269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09C5CD9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Cell-based assay (not further defined) or ELISA</w:t>
            </w:r>
          </w:p>
        </w:tc>
        <w:tc>
          <w:tcPr>
            <w:tcW w:w="893" w:type="dxa"/>
            <w:hideMark/>
          </w:tcPr>
          <w:p w14:paraId="0B25D4AC" w14:textId="32B8208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90.0</w:t>
            </w:r>
          </w:p>
        </w:tc>
        <w:tc>
          <w:tcPr>
            <w:tcW w:w="1233" w:type="dxa"/>
            <w:hideMark/>
          </w:tcPr>
          <w:p w14:paraId="455C7EC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0878B69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30</w:t>
            </w:r>
          </w:p>
        </w:tc>
        <w:tc>
          <w:tcPr>
            <w:tcW w:w="554" w:type="dxa"/>
            <w:gridSpan w:val="2"/>
            <w:hideMark/>
          </w:tcPr>
          <w:p w14:paraId="1A029DD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24</w:t>
            </w:r>
          </w:p>
        </w:tc>
        <w:tc>
          <w:tcPr>
            <w:tcW w:w="425" w:type="dxa"/>
            <w:hideMark/>
          </w:tcPr>
          <w:p w14:paraId="716D53A2"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w:t>
            </w:r>
          </w:p>
        </w:tc>
        <w:tc>
          <w:tcPr>
            <w:tcW w:w="1279" w:type="dxa"/>
            <w:gridSpan w:val="2"/>
            <w:hideMark/>
          </w:tcPr>
          <w:p w14:paraId="3E6685DD" w14:textId="734694B6"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60.7 ± 8.6</w:t>
            </w:r>
            <w:r w:rsidRPr="008D1DC2">
              <w:rPr>
                <w:rFonts w:ascii="Arial" w:eastAsia="Times New Roman" w:hAnsi="Arial" w:cs="Arial"/>
                <w:color w:val="000000" w:themeColor="text1"/>
                <w:sz w:val="12"/>
                <w:szCs w:val="12"/>
                <w:vertAlign w:val="superscript"/>
                <w:lang w:eastAsia="en-AU"/>
              </w:rPr>
              <w:t>‡</w:t>
            </w:r>
          </w:p>
          <w:p w14:paraId="0A2E5F99" w14:textId="644ECEF5"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(51 - 72)</w:t>
            </w:r>
          </w:p>
        </w:tc>
        <w:tc>
          <w:tcPr>
            <w:tcW w:w="673" w:type="dxa"/>
            <w:gridSpan w:val="3"/>
            <w:noWrap/>
            <w:hideMark/>
          </w:tcPr>
          <w:p w14:paraId="301619DE" w14:textId="635BB6A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5AEB36B5" w14:textId="3D76B4C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0C9EAE86" w14:textId="1D12ED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3E9A0C51" w14:textId="3F8DE5C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36D75DC3" w14:textId="55A20FD9"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7F34CF9D" w14:textId="4793546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280DA8B5" w14:textId="66FF64E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Unclear</w:t>
            </w:r>
          </w:p>
        </w:tc>
        <w:tc>
          <w:tcPr>
            <w:tcW w:w="750" w:type="dxa"/>
            <w:noWrap/>
            <w:hideMark/>
          </w:tcPr>
          <w:p w14:paraId="2F0DE62C" w14:textId="5FF4BC0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4343E539" w14:textId="0D77236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1F084B29" w14:textId="77777777" w:rsidTr="008B36A4">
        <w:trPr>
          <w:cantSplit/>
          <w:trHeight w:val="53"/>
        </w:trPr>
        <w:tc>
          <w:tcPr>
            <w:tcW w:w="410" w:type="dxa"/>
            <w:noWrap/>
            <w:hideMark/>
          </w:tcPr>
          <w:p w14:paraId="7273DABD" w14:textId="76FDBA8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w:t>
            </w:r>
            <w:r w:rsidR="007C24FB">
              <w:rPr>
                <w:rFonts w:ascii="Arial" w:eastAsia="Times New Roman" w:hAnsi="Arial" w:cs="Arial"/>
                <w:color w:val="000000" w:themeColor="text1"/>
                <w:sz w:val="12"/>
                <w:szCs w:val="12"/>
                <w:lang w:eastAsia="en-AU"/>
              </w:rPr>
              <w:t>7</w:t>
            </w:r>
          </w:p>
        </w:tc>
        <w:tc>
          <w:tcPr>
            <w:tcW w:w="437" w:type="dxa"/>
            <w:noWrap/>
            <w:hideMark/>
          </w:tcPr>
          <w:p w14:paraId="619B670A"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21CCD781" w14:textId="55FFD1A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Seok et al., 2017</w:t>
            </w:r>
            <w:r w:rsidR="00B03C3A">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[110]</w:t>
            </w:r>
          </w:p>
        </w:tc>
        <w:tc>
          <w:tcPr>
            <w:tcW w:w="575" w:type="dxa"/>
            <w:gridSpan w:val="2"/>
            <w:hideMark/>
          </w:tcPr>
          <w:p w14:paraId="4A7446C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2014</w:t>
            </w:r>
          </w:p>
        </w:tc>
        <w:tc>
          <w:tcPr>
            <w:tcW w:w="1030" w:type="dxa"/>
            <w:gridSpan w:val="2"/>
            <w:hideMark/>
          </w:tcPr>
          <w:p w14:paraId="69CC351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Korea</w:t>
            </w:r>
          </w:p>
        </w:tc>
        <w:tc>
          <w:tcPr>
            <w:tcW w:w="918" w:type="dxa"/>
            <w:gridSpan w:val="2"/>
          </w:tcPr>
          <w:p w14:paraId="70CF40AC"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52C31435" w14:textId="30C781E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20EB174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75E82F4B" w14:textId="616B40C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&gt;49 years)</w:t>
            </w:r>
          </w:p>
        </w:tc>
        <w:tc>
          <w:tcPr>
            <w:tcW w:w="1193" w:type="dxa"/>
            <w:hideMark/>
          </w:tcPr>
          <w:p w14:paraId="676B34C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 plus AQP4 antibody positive</w:t>
            </w:r>
          </w:p>
        </w:tc>
        <w:tc>
          <w:tcPr>
            <w:tcW w:w="1358" w:type="dxa"/>
            <w:hideMark/>
          </w:tcPr>
          <w:p w14:paraId="16D56D5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Euroimmun AQP4 transfected fixed cell-based assay</w:t>
            </w:r>
          </w:p>
        </w:tc>
        <w:tc>
          <w:tcPr>
            <w:tcW w:w="893" w:type="dxa"/>
            <w:hideMark/>
          </w:tcPr>
          <w:p w14:paraId="0075DED0" w14:textId="5CC5DBCC"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44F172D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7DCF21BB"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45</w:t>
            </w:r>
          </w:p>
        </w:tc>
        <w:tc>
          <w:tcPr>
            <w:tcW w:w="554" w:type="dxa"/>
            <w:gridSpan w:val="2"/>
            <w:hideMark/>
          </w:tcPr>
          <w:p w14:paraId="0E4DEBC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40</w:t>
            </w:r>
          </w:p>
        </w:tc>
        <w:tc>
          <w:tcPr>
            <w:tcW w:w="425" w:type="dxa"/>
            <w:hideMark/>
          </w:tcPr>
          <w:p w14:paraId="5E5A4FC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w:t>
            </w:r>
          </w:p>
        </w:tc>
        <w:tc>
          <w:tcPr>
            <w:tcW w:w="1279" w:type="dxa"/>
            <w:gridSpan w:val="2"/>
            <w:hideMark/>
          </w:tcPr>
          <w:p w14:paraId="49B4AC5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58.1 ± 6.2</w:t>
            </w:r>
          </w:p>
        </w:tc>
        <w:tc>
          <w:tcPr>
            <w:tcW w:w="673" w:type="dxa"/>
            <w:gridSpan w:val="3"/>
            <w:noWrap/>
            <w:hideMark/>
          </w:tcPr>
          <w:p w14:paraId="33444DEA" w14:textId="51B14A0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5E6DC859" w14:textId="32D25FFF"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34ABDCF8" w14:textId="27111B6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4048D961" w14:textId="70C2839E"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45C83C6C" w14:textId="45E5C41C"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2DC2E170" w14:textId="397769D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284F563D" w14:textId="69CFFDD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06AC1FC1" w14:textId="07C6C85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144AEE6E" w14:textId="4611552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06E04DD9" w14:textId="77777777" w:rsidTr="008B36A4">
        <w:trPr>
          <w:cantSplit/>
          <w:trHeight w:val="136"/>
        </w:trPr>
        <w:tc>
          <w:tcPr>
            <w:tcW w:w="410" w:type="dxa"/>
            <w:noWrap/>
            <w:hideMark/>
          </w:tcPr>
          <w:p w14:paraId="1C382097" w14:textId="02E5E913" w:rsidR="00F62694" w:rsidRPr="00C77BDD" w:rsidRDefault="007C24F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88</w:t>
            </w:r>
          </w:p>
        </w:tc>
        <w:tc>
          <w:tcPr>
            <w:tcW w:w="437" w:type="dxa"/>
            <w:noWrap/>
            <w:hideMark/>
          </w:tcPr>
          <w:p w14:paraId="3046F947"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2DD5EA04" w14:textId="18EEC78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Sepulveda et al., 201</w:t>
            </w:r>
            <w:r>
              <w:rPr>
                <w:rFonts w:ascii="Arial" w:eastAsia="Times New Roman" w:hAnsi="Arial" w:cs="Arial"/>
                <w:color w:val="000000" w:themeColor="text1"/>
                <w:sz w:val="12"/>
                <w:szCs w:val="12"/>
                <w:lang w:eastAsia="en-AU"/>
              </w:rPr>
              <w:t>9</w:t>
            </w:r>
            <w:r w:rsidR="00B03C3A">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[111]</w:t>
            </w:r>
          </w:p>
        </w:tc>
        <w:tc>
          <w:tcPr>
            <w:tcW w:w="575" w:type="dxa"/>
            <w:gridSpan w:val="2"/>
            <w:hideMark/>
          </w:tcPr>
          <w:p w14:paraId="027F716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2018</w:t>
            </w:r>
          </w:p>
        </w:tc>
        <w:tc>
          <w:tcPr>
            <w:tcW w:w="1030" w:type="dxa"/>
            <w:gridSpan w:val="2"/>
            <w:hideMark/>
          </w:tcPr>
          <w:p w14:paraId="6E2E16A4"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Spain</w:t>
            </w:r>
          </w:p>
        </w:tc>
        <w:tc>
          <w:tcPr>
            <w:tcW w:w="918" w:type="dxa"/>
            <w:gridSpan w:val="2"/>
          </w:tcPr>
          <w:p w14:paraId="3A1DEBF9"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7B9DEA85" w14:textId="04793CCB"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43AF71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Multicentre</w:t>
            </w:r>
          </w:p>
        </w:tc>
        <w:tc>
          <w:tcPr>
            <w:tcW w:w="1560" w:type="dxa"/>
            <w:hideMark/>
          </w:tcPr>
          <w:p w14:paraId="1526E4AF" w14:textId="076C3D4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&gt;49 years)</w:t>
            </w:r>
          </w:p>
        </w:tc>
        <w:tc>
          <w:tcPr>
            <w:tcW w:w="1193" w:type="dxa"/>
            <w:hideMark/>
          </w:tcPr>
          <w:p w14:paraId="101FDCA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315FB1C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M23 AQP4 transfected HEK293 live cell-based assay</w:t>
            </w:r>
          </w:p>
        </w:tc>
        <w:tc>
          <w:tcPr>
            <w:tcW w:w="893" w:type="dxa"/>
            <w:hideMark/>
          </w:tcPr>
          <w:p w14:paraId="6D087378" w14:textId="2D8E16C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100</w:t>
            </w:r>
          </w:p>
        </w:tc>
        <w:tc>
          <w:tcPr>
            <w:tcW w:w="1233" w:type="dxa"/>
            <w:hideMark/>
          </w:tcPr>
          <w:p w14:paraId="7842BD1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335D67B0"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60</w:t>
            </w:r>
          </w:p>
        </w:tc>
        <w:tc>
          <w:tcPr>
            <w:tcW w:w="554" w:type="dxa"/>
            <w:gridSpan w:val="2"/>
            <w:hideMark/>
          </w:tcPr>
          <w:p w14:paraId="215F8B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48</w:t>
            </w:r>
          </w:p>
        </w:tc>
        <w:tc>
          <w:tcPr>
            <w:tcW w:w="425" w:type="dxa"/>
            <w:hideMark/>
          </w:tcPr>
          <w:p w14:paraId="696FE3EF"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hideMark/>
          </w:tcPr>
          <w:p w14:paraId="47F7B1D7" w14:textId="7D8A74FF"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63.0 ± 8.3</w:t>
            </w:r>
            <w:r w:rsidRPr="008D1DC2">
              <w:rPr>
                <w:rFonts w:ascii="Arial" w:eastAsia="Times New Roman" w:hAnsi="Arial" w:cs="Arial"/>
                <w:color w:val="000000" w:themeColor="text1"/>
                <w:sz w:val="12"/>
                <w:szCs w:val="12"/>
                <w:vertAlign w:val="superscript"/>
                <w:lang w:eastAsia="en-AU"/>
              </w:rPr>
              <w:t>‡</w:t>
            </w:r>
          </w:p>
          <w:p w14:paraId="0488354C" w14:textId="37300334"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59 (50 - 84)</w:t>
            </w:r>
          </w:p>
        </w:tc>
        <w:tc>
          <w:tcPr>
            <w:tcW w:w="673" w:type="dxa"/>
            <w:gridSpan w:val="3"/>
            <w:noWrap/>
            <w:hideMark/>
          </w:tcPr>
          <w:p w14:paraId="7871668B" w14:textId="452D9A6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3177DCB5" w14:textId="0371E12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5E5AC91E" w14:textId="7C0A607D"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5BE27B08" w14:textId="572AF68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1A96DAC5" w14:textId="0E28A07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28536A85" w14:textId="5D545D63"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232A3793" w14:textId="03902336"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25A2D247" w14:textId="585E5FF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7269B965" w14:textId="6A56F954"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r w:rsidR="00F62694" w:rsidRPr="008E4E40" w14:paraId="4D50A6A9" w14:textId="77777777" w:rsidTr="008B36A4">
        <w:trPr>
          <w:cantSplit/>
          <w:trHeight w:val="53"/>
        </w:trPr>
        <w:tc>
          <w:tcPr>
            <w:tcW w:w="410" w:type="dxa"/>
            <w:noWrap/>
            <w:hideMark/>
          </w:tcPr>
          <w:p w14:paraId="66172B3D" w14:textId="3BE4F2C1" w:rsidR="00F62694" w:rsidRPr="00C77BDD" w:rsidRDefault="007C24FB"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89</w:t>
            </w:r>
          </w:p>
        </w:tc>
        <w:tc>
          <w:tcPr>
            <w:tcW w:w="437" w:type="dxa"/>
            <w:noWrap/>
            <w:hideMark/>
          </w:tcPr>
          <w:p w14:paraId="21E29FD9"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w:t>
            </w:r>
          </w:p>
        </w:tc>
        <w:tc>
          <w:tcPr>
            <w:tcW w:w="1705" w:type="dxa"/>
            <w:noWrap/>
            <w:hideMark/>
          </w:tcPr>
          <w:p w14:paraId="0E1B15C3" w14:textId="331506C9"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Zhang et al., 201</w:t>
            </w:r>
            <w:r>
              <w:rPr>
                <w:rFonts w:ascii="Arial" w:eastAsia="Times New Roman" w:hAnsi="Arial" w:cs="Arial"/>
                <w:color w:val="000000" w:themeColor="text1"/>
                <w:sz w:val="12"/>
                <w:szCs w:val="12"/>
                <w:lang w:eastAsia="en-AU"/>
              </w:rPr>
              <w:t>7</w:t>
            </w:r>
            <w:r w:rsidR="00387E60">
              <w:rPr>
                <w:rFonts w:ascii="Arial" w:eastAsia="Times New Roman" w:hAnsi="Arial" w:cs="Arial"/>
                <w:color w:val="000000" w:themeColor="text1"/>
                <w:sz w:val="12"/>
                <w:szCs w:val="12"/>
                <w:lang w:eastAsia="en-AU"/>
              </w:rPr>
              <w:t xml:space="preserve"> </w:t>
            </w:r>
            <w:r w:rsidR="001C1BFC">
              <w:rPr>
                <w:rFonts w:ascii="Arial" w:eastAsia="Times New Roman" w:hAnsi="Arial" w:cs="Arial"/>
                <w:noProof/>
                <w:color w:val="000000" w:themeColor="text1"/>
                <w:sz w:val="12"/>
                <w:szCs w:val="12"/>
                <w:lang w:eastAsia="en-AU"/>
              </w:rPr>
              <w:t>[112]</w:t>
            </w:r>
          </w:p>
        </w:tc>
        <w:tc>
          <w:tcPr>
            <w:tcW w:w="575" w:type="dxa"/>
            <w:gridSpan w:val="2"/>
            <w:hideMark/>
          </w:tcPr>
          <w:p w14:paraId="401E89B8"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2014</w:t>
            </w:r>
          </w:p>
        </w:tc>
        <w:tc>
          <w:tcPr>
            <w:tcW w:w="1030" w:type="dxa"/>
            <w:gridSpan w:val="2"/>
            <w:hideMark/>
          </w:tcPr>
          <w:p w14:paraId="6E96344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Tianjin, China</w:t>
            </w:r>
          </w:p>
        </w:tc>
        <w:tc>
          <w:tcPr>
            <w:tcW w:w="918" w:type="dxa"/>
            <w:gridSpan w:val="2"/>
          </w:tcPr>
          <w:p w14:paraId="3A4DB113" w14:textId="77777777" w:rsidR="00F62694" w:rsidRPr="00C77BDD" w:rsidRDefault="00F62694" w:rsidP="00C77BDD">
            <w:pPr>
              <w:rPr>
                <w:rFonts w:ascii="Arial" w:eastAsia="Times New Roman" w:hAnsi="Arial" w:cs="Arial"/>
                <w:color w:val="000000" w:themeColor="text1"/>
                <w:sz w:val="12"/>
                <w:szCs w:val="12"/>
                <w:lang w:eastAsia="en-AU"/>
              </w:rPr>
            </w:pPr>
          </w:p>
        </w:tc>
        <w:tc>
          <w:tcPr>
            <w:tcW w:w="918" w:type="dxa"/>
            <w:gridSpan w:val="2"/>
            <w:hideMark/>
          </w:tcPr>
          <w:p w14:paraId="1CA13C87" w14:textId="057D7DBF"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Case series</w:t>
            </w:r>
          </w:p>
        </w:tc>
        <w:tc>
          <w:tcPr>
            <w:tcW w:w="1378" w:type="dxa"/>
            <w:hideMark/>
          </w:tcPr>
          <w:p w14:paraId="709BC2F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Single centre</w:t>
            </w:r>
          </w:p>
        </w:tc>
        <w:tc>
          <w:tcPr>
            <w:tcW w:w="1560" w:type="dxa"/>
            <w:hideMark/>
          </w:tcPr>
          <w:p w14:paraId="22942360" w14:textId="0752B2D0"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Retrospective casenote review</w:t>
            </w:r>
            <w:r w:rsidR="00656665">
              <w:rPr>
                <w:rFonts w:ascii="Arial" w:eastAsia="Times New Roman" w:hAnsi="Arial" w:cs="Arial"/>
                <w:color w:val="000000" w:themeColor="text1"/>
                <w:sz w:val="12"/>
                <w:szCs w:val="12"/>
                <w:lang w:eastAsia="en-AU"/>
              </w:rPr>
              <w:t xml:space="preserve"> (onset &gt;50 years)</w:t>
            </w:r>
          </w:p>
        </w:tc>
        <w:tc>
          <w:tcPr>
            <w:tcW w:w="1193" w:type="dxa"/>
            <w:hideMark/>
          </w:tcPr>
          <w:p w14:paraId="281DEE05"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IPND 2015</w:t>
            </w:r>
          </w:p>
        </w:tc>
        <w:tc>
          <w:tcPr>
            <w:tcW w:w="1358" w:type="dxa"/>
            <w:hideMark/>
          </w:tcPr>
          <w:p w14:paraId="1F410EF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AQP4 transfected HEK293 cell-based assay or fluorescence immunoprecipitation assay</w:t>
            </w:r>
          </w:p>
        </w:tc>
        <w:tc>
          <w:tcPr>
            <w:tcW w:w="893" w:type="dxa"/>
            <w:hideMark/>
          </w:tcPr>
          <w:p w14:paraId="7E5726C3" w14:textId="3F0B7DF8"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88.1</w:t>
            </w:r>
          </w:p>
        </w:tc>
        <w:tc>
          <w:tcPr>
            <w:tcW w:w="1233" w:type="dxa"/>
            <w:hideMark/>
          </w:tcPr>
          <w:p w14:paraId="7076F80E"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Not estimated</w:t>
            </w:r>
          </w:p>
        </w:tc>
        <w:tc>
          <w:tcPr>
            <w:tcW w:w="584" w:type="dxa"/>
            <w:gridSpan w:val="2"/>
            <w:hideMark/>
          </w:tcPr>
          <w:p w14:paraId="1F171C9C"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59</w:t>
            </w:r>
          </w:p>
        </w:tc>
        <w:tc>
          <w:tcPr>
            <w:tcW w:w="554" w:type="dxa"/>
            <w:gridSpan w:val="2"/>
            <w:hideMark/>
          </w:tcPr>
          <w:p w14:paraId="54B15953"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47</w:t>
            </w:r>
          </w:p>
        </w:tc>
        <w:tc>
          <w:tcPr>
            <w:tcW w:w="425" w:type="dxa"/>
            <w:hideMark/>
          </w:tcPr>
          <w:p w14:paraId="32BC9806" w14:textId="77777777"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12</w:t>
            </w:r>
          </w:p>
        </w:tc>
        <w:tc>
          <w:tcPr>
            <w:tcW w:w="1279" w:type="dxa"/>
            <w:gridSpan w:val="2"/>
            <w:hideMark/>
          </w:tcPr>
          <w:p w14:paraId="1475A37E" w14:textId="77777777" w:rsidR="00F62694" w:rsidRPr="008E4E40"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59.4 ±</w:t>
            </w:r>
          </w:p>
          <w:p w14:paraId="0820F3FA" w14:textId="18266822" w:rsidR="00F62694" w:rsidRPr="00C77BDD" w:rsidRDefault="00F62694" w:rsidP="00C77BDD">
            <w:pPr>
              <w:rPr>
                <w:rFonts w:ascii="Arial" w:eastAsia="Times New Roman" w:hAnsi="Arial" w:cs="Arial"/>
                <w:color w:val="000000" w:themeColor="text1"/>
                <w:sz w:val="12"/>
                <w:szCs w:val="12"/>
                <w:lang w:eastAsia="en-AU"/>
              </w:rPr>
            </w:pPr>
            <w:r w:rsidRPr="00C77BDD">
              <w:rPr>
                <w:rFonts w:ascii="Arial" w:eastAsia="Times New Roman" w:hAnsi="Arial" w:cs="Arial"/>
                <w:color w:val="000000" w:themeColor="text1"/>
                <w:sz w:val="12"/>
                <w:szCs w:val="12"/>
                <w:lang w:eastAsia="en-AU"/>
              </w:rPr>
              <w:t>(51 - 80)</w:t>
            </w:r>
          </w:p>
        </w:tc>
        <w:tc>
          <w:tcPr>
            <w:tcW w:w="673" w:type="dxa"/>
            <w:gridSpan w:val="3"/>
            <w:noWrap/>
            <w:hideMark/>
          </w:tcPr>
          <w:p w14:paraId="733C7078" w14:textId="294ACAE2"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7" w:type="dxa"/>
            <w:gridSpan w:val="3"/>
            <w:noWrap/>
            <w:hideMark/>
          </w:tcPr>
          <w:p w14:paraId="70B3A3B3" w14:textId="3E7F5A27"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665" w:type="dxa"/>
            <w:gridSpan w:val="3"/>
            <w:noWrap/>
            <w:hideMark/>
          </w:tcPr>
          <w:p w14:paraId="369C10D3" w14:textId="737460C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2" w:type="dxa"/>
            <w:gridSpan w:val="3"/>
            <w:noWrap/>
            <w:hideMark/>
          </w:tcPr>
          <w:p w14:paraId="1C3E3FCD" w14:textId="5D59F94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63" w:type="dxa"/>
            <w:gridSpan w:val="3"/>
            <w:noWrap/>
            <w:hideMark/>
          </w:tcPr>
          <w:p w14:paraId="1B226A73" w14:textId="7585D40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71" w:type="dxa"/>
            <w:gridSpan w:val="2"/>
            <w:noWrap/>
            <w:hideMark/>
          </w:tcPr>
          <w:p w14:paraId="125A827D" w14:textId="37E4B3D8"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03" w:type="dxa"/>
            <w:noWrap/>
            <w:hideMark/>
          </w:tcPr>
          <w:p w14:paraId="354CBE8B" w14:textId="780C3130"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50" w:type="dxa"/>
            <w:noWrap/>
            <w:hideMark/>
          </w:tcPr>
          <w:p w14:paraId="5C3698C3" w14:textId="407B1705"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Yes</w:t>
            </w:r>
          </w:p>
        </w:tc>
        <w:tc>
          <w:tcPr>
            <w:tcW w:w="790" w:type="dxa"/>
            <w:noWrap/>
            <w:hideMark/>
          </w:tcPr>
          <w:p w14:paraId="358F4882" w14:textId="3924570B" w:rsidR="00F62694" w:rsidRPr="00C77BDD" w:rsidRDefault="00F62694" w:rsidP="00C77BDD">
            <w:pPr>
              <w:rPr>
                <w:rFonts w:ascii="Arial" w:eastAsia="Times New Roman" w:hAnsi="Arial" w:cs="Arial"/>
                <w:color w:val="000000" w:themeColor="text1"/>
                <w:sz w:val="12"/>
                <w:szCs w:val="12"/>
                <w:lang w:eastAsia="en-AU"/>
              </w:rPr>
            </w:pPr>
            <w:r>
              <w:rPr>
                <w:rFonts w:ascii="Arial" w:eastAsia="Times New Roman" w:hAnsi="Arial" w:cs="Arial"/>
                <w:color w:val="000000" w:themeColor="text1"/>
                <w:sz w:val="12"/>
                <w:szCs w:val="12"/>
                <w:lang w:eastAsia="en-AU"/>
              </w:rPr>
              <w:t>No</w:t>
            </w:r>
          </w:p>
        </w:tc>
      </w:tr>
    </w:tbl>
    <w:p w14:paraId="4A3D0059" w14:textId="062D704E" w:rsidR="00C77BDD" w:rsidRPr="008A7603" w:rsidRDefault="008A7603" w:rsidP="008A7603">
      <w:pPr>
        <w:spacing w:before="240" w:after="0" w:line="480" w:lineRule="auto"/>
        <w:rPr>
          <w:rFonts w:ascii="Arial" w:hAnsi="Arial" w:cs="Arial"/>
          <w:sz w:val="12"/>
          <w:szCs w:val="12"/>
        </w:rPr>
      </w:pPr>
      <w:r>
        <w:rPr>
          <w:rFonts w:ascii="Arial" w:hAnsi="Arial" w:cs="Arial"/>
          <w:sz w:val="12"/>
          <w:szCs w:val="12"/>
        </w:rPr>
        <w:t>No</w:t>
      </w:r>
      <w:r w:rsidR="00E73FBD">
        <w:rPr>
          <w:rFonts w:ascii="Arial" w:hAnsi="Arial" w:cs="Arial"/>
          <w:sz w:val="12"/>
          <w:szCs w:val="12"/>
        </w:rPr>
        <w:t>.</w:t>
      </w:r>
      <w:r>
        <w:rPr>
          <w:rFonts w:ascii="Arial" w:hAnsi="Arial" w:cs="Arial"/>
          <w:sz w:val="12"/>
          <w:szCs w:val="12"/>
        </w:rPr>
        <w:t xml:space="preserve"> = study number; Seq = sequence for serial studies</w:t>
      </w:r>
      <w:r w:rsidR="002220CB">
        <w:rPr>
          <w:rFonts w:ascii="Arial" w:hAnsi="Arial" w:cs="Arial"/>
          <w:sz w:val="12"/>
          <w:szCs w:val="12"/>
        </w:rPr>
        <w:t xml:space="preserve"> within one article</w:t>
      </w:r>
      <w:r>
        <w:rPr>
          <w:rFonts w:ascii="Arial" w:hAnsi="Arial" w:cs="Arial"/>
          <w:sz w:val="12"/>
          <w:szCs w:val="12"/>
        </w:rPr>
        <w:t xml:space="preserve">; AQP4 = aquaporin-4; IPND = International Panel for Neuromyelitis Optica Diagnosis; ICD = International Classification of Diseases: HEK = human embryonic kidney; </w:t>
      </w:r>
    </w:p>
    <w:p w14:paraId="2C504022" w14:textId="15EC6019" w:rsidR="008D1DC2" w:rsidRDefault="008D1DC2" w:rsidP="008A7603">
      <w:pPr>
        <w:spacing w:after="0" w:line="480" w:lineRule="auto"/>
        <w:rPr>
          <w:rFonts w:ascii="Arial" w:hAnsi="Arial" w:cs="Arial"/>
          <w:sz w:val="12"/>
          <w:szCs w:val="12"/>
        </w:rPr>
      </w:pPr>
      <w:r w:rsidRPr="00913D62">
        <w:rPr>
          <w:rFonts w:ascii="Arial" w:hAnsi="Arial" w:cs="Arial"/>
          <w:sz w:val="12"/>
          <w:szCs w:val="12"/>
        </w:rPr>
        <w:t>* = study also provided age of onset distribution data</w:t>
      </w:r>
    </w:p>
    <w:p w14:paraId="282F6D62" w14:textId="2D69AA0E" w:rsidR="00E21582" w:rsidRPr="009648A9" w:rsidRDefault="00E21582" w:rsidP="008A7603">
      <w:pPr>
        <w:spacing w:after="0" w:line="480" w:lineRule="auto"/>
        <w:rPr>
          <w:rFonts w:ascii="Arial" w:hAnsi="Arial" w:cs="Arial"/>
          <w:sz w:val="12"/>
          <w:szCs w:val="12"/>
        </w:rPr>
      </w:pPr>
      <w:r w:rsidRPr="00E21582">
        <w:rPr>
          <w:rFonts w:ascii="Arial" w:eastAsia="Times New Roman" w:hAnsi="Arial" w:cs="Arial"/>
          <w:color w:val="000000" w:themeColor="text1"/>
          <w:sz w:val="12"/>
          <w:szCs w:val="12"/>
          <w:vertAlign w:val="superscript"/>
          <w:lang w:eastAsia="en-AU"/>
        </w:rPr>
        <w:t>§</w:t>
      </w:r>
      <w:r w:rsidR="009648A9">
        <w:rPr>
          <w:rFonts w:ascii="Arial" w:eastAsia="Times New Roman" w:hAnsi="Arial" w:cs="Arial"/>
          <w:color w:val="000000" w:themeColor="text1"/>
          <w:sz w:val="12"/>
          <w:szCs w:val="12"/>
          <w:lang w:eastAsia="en-AU"/>
        </w:rPr>
        <w:t xml:space="preserve"> = please note that this study is listed in PubMed by the authors </w:t>
      </w:r>
      <w:r w:rsidR="00510974">
        <w:rPr>
          <w:rFonts w:ascii="Arial" w:eastAsia="Times New Roman" w:hAnsi="Arial" w:cs="Arial"/>
          <w:color w:val="000000" w:themeColor="text1"/>
          <w:sz w:val="12"/>
          <w:szCs w:val="12"/>
          <w:lang w:eastAsia="en-AU"/>
        </w:rPr>
        <w:t>first name “Viktoria et al., 2021”</w:t>
      </w:r>
      <w:r w:rsidR="00E52981">
        <w:rPr>
          <w:rFonts w:ascii="Arial" w:eastAsia="Times New Roman" w:hAnsi="Arial" w:cs="Arial"/>
          <w:color w:val="000000" w:themeColor="text1"/>
          <w:sz w:val="12"/>
          <w:szCs w:val="12"/>
          <w:lang w:eastAsia="en-AU"/>
        </w:rPr>
        <w:t xml:space="preserve"> and the original article is also incorrect</w:t>
      </w:r>
    </w:p>
    <w:p w14:paraId="64235D1F" w14:textId="23E194D9" w:rsidR="008D1DC2" w:rsidRPr="00913D62" w:rsidRDefault="008D1DC2" w:rsidP="008A7603">
      <w:pPr>
        <w:spacing w:after="0" w:line="480" w:lineRule="auto"/>
        <w:rPr>
          <w:rFonts w:ascii="Arial" w:hAnsi="Arial" w:cs="Arial"/>
          <w:sz w:val="12"/>
          <w:szCs w:val="12"/>
        </w:rPr>
      </w:pPr>
      <w:r w:rsidRPr="00913D62">
        <w:rPr>
          <w:rFonts w:ascii="Arial" w:hAnsi="Arial" w:cs="Arial"/>
          <w:sz w:val="12"/>
          <w:szCs w:val="12"/>
          <w:vertAlign w:val="superscript"/>
        </w:rPr>
        <w:t>†</w:t>
      </w:r>
      <w:r w:rsidRPr="00913D62">
        <w:rPr>
          <w:rFonts w:ascii="Arial" w:hAnsi="Arial" w:cs="Arial"/>
          <w:sz w:val="12"/>
          <w:szCs w:val="12"/>
        </w:rPr>
        <w:t xml:space="preserve"> = calculated from raw data provided in manuscript or supplementary data</w:t>
      </w:r>
    </w:p>
    <w:p w14:paraId="796DABBC" w14:textId="4A561BDD" w:rsidR="008D1DC2" w:rsidRPr="00913D62" w:rsidRDefault="008D1DC2" w:rsidP="008A7603">
      <w:pPr>
        <w:spacing w:after="0" w:line="480" w:lineRule="auto"/>
        <w:rPr>
          <w:rFonts w:ascii="Arial" w:hAnsi="Arial" w:cs="Arial"/>
          <w:sz w:val="12"/>
          <w:szCs w:val="12"/>
        </w:rPr>
      </w:pPr>
      <w:r w:rsidRPr="00913D62">
        <w:rPr>
          <w:rFonts w:ascii="Arial" w:hAnsi="Arial" w:cs="Arial"/>
          <w:sz w:val="12"/>
          <w:szCs w:val="12"/>
          <w:vertAlign w:val="superscript"/>
        </w:rPr>
        <w:t>‡</w:t>
      </w:r>
      <w:r w:rsidRPr="00913D62">
        <w:rPr>
          <w:rFonts w:ascii="Arial" w:hAnsi="Arial" w:cs="Arial"/>
          <w:sz w:val="12"/>
          <w:szCs w:val="12"/>
        </w:rPr>
        <w:t xml:space="preserve"> = estimated from summary data provided as detailed in methods</w:t>
      </w:r>
    </w:p>
    <w:p w14:paraId="657F3280" w14:textId="3B9EBEF8" w:rsidR="008D1DC2" w:rsidRPr="00913D62" w:rsidRDefault="008D1DC2" w:rsidP="008A7603">
      <w:pPr>
        <w:spacing w:after="0" w:line="480" w:lineRule="auto"/>
        <w:rPr>
          <w:rFonts w:ascii="Arial" w:hAnsi="Arial" w:cs="Arial"/>
          <w:sz w:val="12"/>
          <w:szCs w:val="12"/>
        </w:rPr>
      </w:pPr>
      <w:r w:rsidRPr="00913D62">
        <w:rPr>
          <w:rFonts w:ascii="Arial" w:hAnsi="Arial" w:cs="Arial"/>
          <w:sz w:val="12"/>
          <w:szCs w:val="12"/>
          <w:vertAlign w:val="superscript"/>
        </w:rPr>
        <w:t>#</w:t>
      </w:r>
      <w:r w:rsidRPr="00913D62">
        <w:rPr>
          <w:rFonts w:ascii="Arial" w:hAnsi="Arial" w:cs="Arial"/>
          <w:sz w:val="12"/>
          <w:szCs w:val="12"/>
        </w:rPr>
        <w:t xml:space="preserve"> = standard deviation estimated from range</w:t>
      </w:r>
    </w:p>
    <w:p w14:paraId="4D06DDE4" w14:textId="77777777" w:rsidR="0007043E" w:rsidRDefault="0007043E" w:rsidP="008A7603">
      <w:pPr>
        <w:spacing w:after="0" w:line="480" w:lineRule="auto"/>
        <w:sectPr w:rsidR="0007043E" w:rsidSect="003F26DF">
          <w:type w:val="continuous"/>
          <w:pgSz w:w="23811" w:h="16838" w:orient="landscape" w:code="8"/>
          <w:pgMar w:top="720" w:right="170" w:bottom="720" w:left="170" w:header="709" w:footer="709" w:gutter="0"/>
          <w:cols w:space="708"/>
          <w:docGrid w:linePitch="360"/>
        </w:sectPr>
      </w:pPr>
    </w:p>
    <w:p w14:paraId="14A9D388" w14:textId="3B7B6E17" w:rsidR="00F84415" w:rsidRPr="002B7A72" w:rsidRDefault="00F84415" w:rsidP="00F84415">
      <w:pPr>
        <w:rPr>
          <w:rFonts w:ascii="Arial" w:hAnsi="Arial" w:cs="Arial"/>
          <w:b/>
          <w:bCs/>
        </w:rPr>
      </w:pPr>
      <w:r w:rsidRPr="002B7A72">
        <w:rPr>
          <w:rFonts w:ascii="Arial" w:hAnsi="Arial" w:cs="Arial"/>
          <w:b/>
          <w:bCs/>
        </w:rPr>
        <w:lastRenderedPageBreak/>
        <w:t xml:space="preserve">Supplementary Table 2. List of excluded studies </w:t>
      </w:r>
      <w:r>
        <w:rPr>
          <w:rFonts w:ascii="Arial" w:hAnsi="Arial" w:cs="Arial"/>
          <w:b/>
          <w:bCs/>
        </w:rPr>
        <w:t>and</w:t>
      </w:r>
      <w:r w:rsidRPr="002B7A72">
        <w:rPr>
          <w:rFonts w:ascii="Arial" w:hAnsi="Arial" w:cs="Arial"/>
          <w:b/>
          <w:bCs/>
        </w:rPr>
        <w:t xml:space="preserve"> reason for exclusion</w:t>
      </w:r>
      <w:r>
        <w:rPr>
          <w:rFonts w:ascii="Arial" w:hAnsi="Arial" w:cs="Arial"/>
          <w:b/>
          <w:bCs/>
        </w:rPr>
        <w:t>.</w:t>
      </w:r>
    </w:p>
    <w:p w14:paraId="5224B211" w14:textId="77777777" w:rsidR="00F84415" w:rsidRPr="002B7A72" w:rsidRDefault="00F84415" w:rsidP="00F84415">
      <w:pPr>
        <w:rPr>
          <w:rFonts w:ascii="Arial" w:hAnsi="Arial" w:cs="Arial"/>
        </w:rPr>
      </w:pPr>
    </w:p>
    <w:tbl>
      <w:tblPr>
        <w:tblStyle w:val="PlainTable2"/>
        <w:tblW w:w="9683" w:type="dxa"/>
        <w:tblLook w:val="0620" w:firstRow="1" w:lastRow="0" w:firstColumn="0" w:lastColumn="0" w:noHBand="1" w:noVBand="1"/>
      </w:tblPr>
      <w:tblGrid>
        <w:gridCol w:w="3119"/>
        <w:gridCol w:w="6564"/>
      </w:tblGrid>
      <w:tr w:rsidR="00F84415" w:rsidRPr="002B7A72" w14:paraId="66E66C73" w14:textId="77777777" w:rsidTr="00B43D35">
        <w:trPr>
          <w:cnfStyle w:val="100000000000" w:firstRow="1" w:lastRow="0" w:firstColumn="0" w:lastColumn="0" w:oddVBand="0" w:evenVBand="0" w:oddHBand="0" w:evenHBand="0" w:firstRowFirstColumn="0" w:firstRowLastColumn="0" w:lastRowFirstColumn="0" w:lastRowLastColumn="0"/>
          <w:trHeight w:val="283"/>
          <w:tblHeader/>
        </w:trPr>
        <w:tc>
          <w:tcPr>
            <w:tcW w:w="3119" w:type="dxa"/>
            <w:hideMark/>
          </w:tcPr>
          <w:p w14:paraId="64D00FB7" w14:textId="61058605" w:rsidR="00F84415" w:rsidRPr="002B7A72" w:rsidRDefault="00F84415" w:rsidP="0052152A">
            <w:pPr>
              <w:spacing w:before="240" w:line="480" w:lineRule="auto"/>
              <w:rPr>
                <w:rFonts w:ascii="Arial" w:eastAsia="Times New Roman" w:hAnsi="Arial" w:cs="Arial"/>
                <w:color w:val="000000"/>
                <w:lang w:eastAsia="en-AU"/>
              </w:rPr>
            </w:pPr>
            <w:r w:rsidRPr="002B7A72">
              <w:rPr>
                <w:rFonts w:ascii="Arial" w:eastAsia="Times New Roman" w:hAnsi="Arial" w:cs="Arial"/>
                <w:color w:val="000000"/>
                <w:lang w:eastAsia="en-AU"/>
              </w:rPr>
              <w:t>Study</w:t>
            </w:r>
            <w:r w:rsidR="009D5150">
              <w:rPr>
                <w:rFonts w:ascii="Arial" w:eastAsia="Times New Roman" w:hAnsi="Arial" w:cs="Arial"/>
                <w:color w:val="000000"/>
                <w:lang w:eastAsia="en-AU"/>
              </w:rPr>
              <w:t xml:space="preserve"> [</w:t>
            </w:r>
            <w:r w:rsidR="008F05C7">
              <w:rPr>
                <w:rFonts w:ascii="Arial" w:eastAsia="Times New Roman" w:hAnsi="Arial" w:cs="Arial"/>
                <w:color w:val="000000"/>
                <w:lang w:eastAsia="en-AU"/>
              </w:rPr>
              <w:t>R</w:t>
            </w:r>
            <w:r w:rsidR="00AB0144" w:rsidRPr="009D5150">
              <w:rPr>
                <w:rFonts w:ascii="Arial" w:eastAsia="Times New Roman" w:hAnsi="Arial" w:cs="Arial"/>
                <w:color w:val="000000"/>
                <w:lang w:eastAsia="en-AU"/>
              </w:rPr>
              <w:t>ef</w:t>
            </w:r>
            <w:r w:rsidR="009D5150">
              <w:rPr>
                <w:rFonts w:ascii="Arial" w:eastAsia="Times New Roman" w:hAnsi="Arial" w:cs="Arial"/>
                <w:color w:val="000000"/>
                <w:lang w:eastAsia="en-AU"/>
              </w:rPr>
              <w:t>]</w:t>
            </w:r>
          </w:p>
        </w:tc>
        <w:tc>
          <w:tcPr>
            <w:tcW w:w="0" w:type="auto"/>
            <w:hideMark/>
          </w:tcPr>
          <w:p w14:paraId="1CF7BBA5" w14:textId="0BC205AF" w:rsidR="00F84415" w:rsidRPr="002B7A72" w:rsidRDefault="00F84415" w:rsidP="0052152A">
            <w:pPr>
              <w:spacing w:before="240" w:line="480" w:lineRule="auto"/>
              <w:rPr>
                <w:rFonts w:ascii="Arial" w:eastAsia="Times New Roman" w:hAnsi="Arial" w:cs="Arial"/>
                <w:color w:val="000000"/>
                <w:lang w:eastAsia="en-AU"/>
              </w:rPr>
            </w:pPr>
            <w:r w:rsidRPr="002B7A72">
              <w:rPr>
                <w:rFonts w:ascii="Arial" w:eastAsia="Times New Roman" w:hAnsi="Arial" w:cs="Arial"/>
                <w:color w:val="000000"/>
                <w:lang w:eastAsia="en-AU"/>
              </w:rPr>
              <w:t>Reason</w:t>
            </w:r>
            <w:r>
              <w:rPr>
                <w:rFonts w:ascii="Arial" w:eastAsia="Times New Roman" w:hAnsi="Arial" w:cs="Arial"/>
                <w:color w:val="000000"/>
                <w:lang w:eastAsia="en-AU"/>
              </w:rPr>
              <w:t xml:space="preserve"> for exclusion</w:t>
            </w:r>
            <w:r w:rsidR="00AB0144">
              <w:rPr>
                <w:rFonts w:ascii="Arial" w:eastAsia="Times New Roman" w:hAnsi="Arial" w:cs="Arial"/>
                <w:color w:val="000000"/>
                <w:lang w:eastAsia="en-AU"/>
              </w:rPr>
              <w:t xml:space="preserve"> (prior</w:t>
            </w:r>
            <w:r w:rsidR="006D61B8">
              <w:rPr>
                <w:rFonts w:ascii="Arial" w:eastAsia="Times New Roman" w:hAnsi="Arial" w:cs="Arial"/>
                <w:color w:val="000000"/>
                <w:lang w:eastAsia="en-AU"/>
              </w:rPr>
              <w:t>/subsequent</w:t>
            </w:r>
            <w:r w:rsidR="00AB0144">
              <w:rPr>
                <w:rFonts w:ascii="Arial" w:eastAsia="Times New Roman" w:hAnsi="Arial" w:cs="Arial"/>
                <w:color w:val="000000"/>
                <w:lang w:eastAsia="en-AU"/>
              </w:rPr>
              <w:t xml:space="preserve"> reference)</w:t>
            </w:r>
            <w:r w:rsidR="009D5150">
              <w:rPr>
                <w:rFonts w:ascii="Arial" w:eastAsia="Times New Roman" w:hAnsi="Arial" w:cs="Arial"/>
                <w:color w:val="000000"/>
                <w:lang w:eastAsia="en-AU"/>
              </w:rPr>
              <w:t xml:space="preserve"> [</w:t>
            </w:r>
            <w:r w:rsidR="00AB0144" w:rsidRPr="009D5150">
              <w:rPr>
                <w:rFonts w:ascii="Arial" w:eastAsia="Times New Roman" w:hAnsi="Arial" w:cs="Arial"/>
                <w:color w:val="000000"/>
                <w:lang w:eastAsia="en-AU"/>
              </w:rPr>
              <w:t>ref</w:t>
            </w:r>
            <w:r w:rsidR="009D5150">
              <w:rPr>
                <w:rFonts w:ascii="Arial" w:eastAsia="Times New Roman" w:hAnsi="Arial" w:cs="Arial"/>
                <w:color w:val="000000"/>
                <w:lang w:eastAsia="en-AU"/>
              </w:rPr>
              <w:t>]</w:t>
            </w:r>
          </w:p>
        </w:tc>
      </w:tr>
      <w:tr w:rsidR="00F84415" w:rsidRPr="002B7A72" w14:paraId="42DCAD15" w14:textId="77777777" w:rsidTr="001254BA">
        <w:trPr>
          <w:trHeight w:val="283"/>
        </w:trPr>
        <w:tc>
          <w:tcPr>
            <w:tcW w:w="3119" w:type="dxa"/>
            <w:hideMark/>
          </w:tcPr>
          <w:p w14:paraId="30DB6ADE" w14:textId="71AFA3F3" w:rsidR="00F84415" w:rsidRPr="002B7A72" w:rsidRDefault="00F84415" w:rsidP="0052152A">
            <w:pPr>
              <w:spacing w:before="240" w:line="480" w:lineRule="auto"/>
              <w:rPr>
                <w:rFonts w:ascii="Arial" w:eastAsia="Times New Roman" w:hAnsi="Arial" w:cs="Arial"/>
                <w:color w:val="000000"/>
                <w:lang w:eastAsia="en-AU"/>
              </w:rPr>
            </w:pPr>
            <w:r w:rsidRPr="00E321A2">
              <w:t>Alvarenga et al., 2017</w:t>
            </w:r>
            <w:r w:rsidR="00656855">
              <w:t xml:space="preserve"> </w:t>
            </w:r>
            <w:r w:rsidR="001C1BFC">
              <w:rPr>
                <w:noProof/>
              </w:rPr>
              <w:t>[116]</w:t>
            </w:r>
          </w:p>
        </w:tc>
        <w:tc>
          <w:tcPr>
            <w:tcW w:w="0" w:type="auto"/>
            <w:hideMark/>
          </w:tcPr>
          <w:p w14:paraId="6C9FA07C" w14:textId="77777777" w:rsidR="00F84415" w:rsidRPr="002B7A72" w:rsidRDefault="00F84415" w:rsidP="0052152A">
            <w:pPr>
              <w:spacing w:before="240" w:line="480" w:lineRule="auto"/>
              <w:rPr>
                <w:rFonts w:ascii="Arial" w:eastAsia="Times New Roman" w:hAnsi="Arial" w:cs="Arial"/>
                <w:color w:val="000000"/>
                <w:lang w:eastAsia="en-AU"/>
              </w:rPr>
            </w:pPr>
            <w:r w:rsidRPr="00E321A2">
              <w:t>Review of prior studies</w:t>
            </w:r>
          </w:p>
        </w:tc>
      </w:tr>
      <w:tr w:rsidR="00F84415" w:rsidRPr="002B7A72" w14:paraId="6AE57387" w14:textId="77777777" w:rsidTr="001254BA">
        <w:trPr>
          <w:trHeight w:val="283"/>
        </w:trPr>
        <w:tc>
          <w:tcPr>
            <w:tcW w:w="3119" w:type="dxa"/>
            <w:hideMark/>
          </w:tcPr>
          <w:p w14:paraId="26E8D82C" w14:textId="5C18687F" w:rsidR="00F84415" w:rsidRPr="002B7A72" w:rsidRDefault="00F84415" w:rsidP="0052152A">
            <w:pPr>
              <w:spacing w:line="480" w:lineRule="auto"/>
              <w:rPr>
                <w:rFonts w:ascii="Arial" w:eastAsia="Times New Roman" w:hAnsi="Arial" w:cs="Arial"/>
                <w:color w:val="000000"/>
                <w:lang w:eastAsia="en-AU"/>
              </w:rPr>
            </w:pPr>
            <w:r w:rsidRPr="00E321A2">
              <w:t>Asgari et al., 2019</w:t>
            </w:r>
            <w:r w:rsidR="00656855">
              <w:t xml:space="preserve"> </w:t>
            </w:r>
            <w:r w:rsidR="001C1BFC">
              <w:rPr>
                <w:noProof/>
              </w:rPr>
              <w:t>[117]</w:t>
            </w:r>
          </w:p>
        </w:tc>
        <w:tc>
          <w:tcPr>
            <w:tcW w:w="0" w:type="auto"/>
            <w:hideMark/>
          </w:tcPr>
          <w:p w14:paraId="4DB9C5C8" w14:textId="77777777" w:rsidR="00F84415" w:rsidRPr="002B7A72" w:rsidRDefault="00F84415" w:rsidP="0052152A">
            <w:pPr>
              <w:spacing w:line="480" w:lineRule="auto"/>
              <w:rPr>
                <w:rFonts w:ascii="Arial" w:eastAsia="Times New Roman" w:hAnsi="Arial" w:cs="Arial"/>
                <w:color w:val="000000"/>
                <w:lang w:eastAsia="en-AU"/>
              </w:rPr>
            </w:pPr>
            <w:r w:rsidRPr="00E321A2">
              <w:t>Review of prior studies</w:t>
            </w:r>
          </w:p>
        </w:tc>
      </w:tr>
      <w:tr w:rsidR="00F84415" w:rsidRPr="002B7A72" w14:paraId="59DB708C" w14:textId="77777777" w:rsidTr="001254BA">
        <w:trPr>
          <w:trHeight w:val="283"/>
        </w:trPr>
        <w:tc>
          <w:tcPr>
            <w:tcW w:w="3119" w:type="dxa"/>
            <w:hideMark/>
          </w:tcPr>
          <w:p w14:paraId="7F8DF521" w14:textId="1FE78D6C" w:rsidR="00F84415" w:rsidRPr="002B7A72" w:rsidRDefault="00F84415" w:rsidP="0052152A">
            <w:pPr>
              <w:spacing w:line="480" w:lineRule="auto"/>
              <w:rPr>
                <w:rFonts w:ascii="Arial" w:eastAsia="Times New Roman" w:hAnsi="Arial" w:cs="Arial"/>
                <w:color w:val="000000"/>
                <w:lang w:eastAsia="en-AU"/>
              </w:rPr>
            </w:pPr>
            <w:r w:rsidRPr="00E321A2">
              <w:t>Ashtari et al., 2017</w:t>
            </w:r>
            <w:r w:rsidR="00656855">
              <w:t xml:space="preserve"> </w:t>
            </w:r>
            <w:r w:rsidR="001C1BFC">
              <w:rPr>
                <w:noProof/>
              </w:rPr>
              <w:t>[118]</w:t>
            </w:r>
          </w:p>
        </w:tc>
        <w:tc>
          <w:tcPr>
            <w:tcW w:w="0" w:type="auto"/>
            <w:hideMark/>
          </w:tcPr>
          <w:p w14:paraId="0401F332" w14:textId="10504D50" w:rsidR="00F84415" w:rsidRPr="002B7A72" w:rsidRDefault="00F84415" w:rsidP="0052152A">
            <w:pPr>
              <w:spacing w:line="480" w:lineRule="auto"/>
              <w:rPr>
                <w:rFonts w:ascii="Arial" w:eastAsia="Times New Roman" w:hAnsi="Arial" w:cs="Arial"/>
                <w:color w:val="000000"/>
                <w:lang w:eastAsia="en-AU"/>
              </w:rPr>
            </w:pPr>
            <w:r w:rsidRPr="00E321A2">
              <w:t>Subsequently update</w:t>
            </w:r>
            <w:r w:rsidR="00F51011">
              <w:t>d</w:t>
            </w:r>
            <w:r w:rsidRPr="00E321A2">
              <w:t xml:space="preserve"> (Shaygannejad et al., 2018)</w:t>
            </w:r>
            <w:r w:rsidR="004A2E4D">
              <w:t xml:space="preserve"> </w:t>
            </w:r>
            <w:r w:rsidR="001C1BFC">
              <w:rPr>
                <w:noProof/>
              </w:rPr>
              <w:t>[81]</w:t>
            </w:r>
          </w:p>
        </w:tc>
      </w:tr>
      <w:tr w:rsidR="00F84415" w:rsidRPr="002B7A72" w14:paraId="48B0E0E7" w14:textId="77777777" w:rsidTr="001254BA">
        <w:trPr>
          <w:trHeight w:val="283"/>
        </w:trPr>
        <w:tc>
          <w:tcPr>
            <w:tcW w:w="3119" w:type="dxa"/>
            <w:hideMark/>
          </w:tcPr>
          <w:p w14:paraId="52798B37" w14:textId="41D933E2" w:rsidR="00F84415" w:rsidRPr="002B7A72" w:rsidRDefault="00F84415" w:rsidP="0052152A">
            <w:pPr>
              <w:spacing w:line="480" w:lineRule="auto"/>
              <w:rPr>
                <w:rFonts w:ascii="Arial" w:eastAsia="Times New Roman" w:hAnsi="Arial" w:cs="Arial"/>
                <w:color w:val="000000"/>
                <w:lang w:eastAsia="en-AU"/>
              </w:rPr>
            </w:pPr>
            <w:r w:rsidRPr="00E321A2">
              <w:t>Badihian et al., 2018</w:t>
            </w:r>
            <w:r w:rsidR="0063512D">
              <w:t xml:space="preserve"> </w:t>
            </w:r>
            <w:r w:rsidR="001C1BFC">
              <w:rPr>
                <w:noProof/>
              </w:rPr>
              <w:t>[119]</w:t>
            </w:r>
          </w:p>
        </w:tc>
        <w:tc>
          <w:tcPr>
            <w:tcW w:w="0" w:type="auto"/>
            <w:hideMark/>
          </w:tcPr>
          <w:p w14:paraId="1BDEAD73"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F84415" w:rsidRPr="002B7A72" w14:paraId="34B9FF95" w14:textId="77777777" w:rsidTr="001254BA">
        <w:trPr>
          <w:trHeight w:val="283"/>
        </w:trPr>
        <w:tc>
          <w:tcPr>
            <w:tcW w:w="3119" w:type="dxa"/>
            <w:hideMark/>
          </w:tcPr>
          <w:p w14:paraId="44B0ECBD" w14:textId="06F084CD" w:rsidR="00F84415" w:rsidRPr="002B7A72" w:rsidRDefault="00F84415" w:rsidP="0052152A">
            <w:pPr>
              <w:spacing w:line="480" w:lineRule="auto"/>
              <w:rPr>
                <w:rFonts w:ascii="Arial" w:eastAsia="Times New Roman" w:hAnsi="Arial" w:cs="Arial"/>
                <w:color w:val="000000"/>
                <w:lang w:eastAsia="en-AU"/>
              </w:rPr>
            </w:pPr>
            <w:r w:rsidRPr="00E321A2">
              <w:t>Bergamaschi &amp; Ghezzi, 2004</w:t>
            </w:r>
            <w:r w:rsidR="004A2E4D">
              <w:t xml:space="preserve"> </w:t>
            </w:r>
            <w:r w:rsidR="001C1BFC">
              <w:rPr>
                <w:noProof/>
              </w:rPr>
              <w:t>[120]</w:t>
            </w:r>
          </w:p>
        </w:tc>
        <w:tc>
          <w:tcPr>
            <w:tcW w:w="0" w:type="auto"/>
            <w:hideMark/>
          </w:tcPr>
          <w:p w14:paraId="5276DAF0" w14:textId="77777777" w:rsidR="00F84415" w:rsidRPr="002B7A72" w:rsidRDefault="00F84415" w:rsidP="0052152A">
            <w:pPr>
              <w:spacing w:line="480" w:lineRule="auto"/>
              <w:rPr>
                <w:rFonts w:ascii="Arial" w:eastAsia="Times New Roman" w:hAnsi="Arial" w:cs="Arial"/>
                <w:color w:val="000000"/>
                <w:lang w:eastAsia="en-AU"/>
              </w:rPr>
            </w:pPr>
            <w:r w:rsidRPr="00E321A2">
              <w:t>Review article</w:t>
            </w:r>
          </w:p>
        </w:tc>
      </w:tr>
      <w:tr w:rsidR="00F84415" w:rsidRPr="002B7A72" w14:paraId="6B3B5968" w14:textId="77777777" w:rsidTr="001254BA">
        <w:trPr>
          <w:trHeight w:val="283"/>
        </w:trPr>
        <w:tc>
          <w:tcPr>
            <w:tcW w:w="3119" w:type="dxa"/>
            <w:hideMark/>
          </w:tcPr>
          <w:p w14:paraId="5E8EBB2A" w14:textId="176D8051" w:rsidR="00F84415" w:rsidRPr="002B7A72" w:rsidRDefault="00F84415" w:rsidP="0052152A">
            <w:pPr>
              <w:spacing w:line="480" w:lineRule="auto"/>
              <w:rPr>
                <w:rFonts w:ascii="Arial" w:eastAsia="Times New Roman" w:hAnsi="Arial" w:cs="Arial"/>
                <w:color w:val="000000"/>
                <w:lang w:eastAsia="en-AU"/>
              </w:rPr>
            </w:pPr>
            <w:r w:rsidRPr="00E321A2">
              <w:t>Bukhari et al., 202</w:t>
            </w:r>
            <w:r w:rsidR="00547B27">
              <w:t>2</w:t>
            </w:r>
            <w:r w:rsidR="00C656CB">
              <w:t xml:space="preserve"> </w:t>
            </w:r>
            <w:r w:rsidR="001C1BFC">
              <w:rPr>
                <w:noProof/>
              </w:rPr>
              <w:t>[121]</w:t>
            </w:r>
          </w:p>
        </w:tc>
        <w:tc>
          <w:tcPr>
            <w:tcW w:w="0" w:type="auto"/>
            <w:hideMark/>
          </w:tcPr>
          <w:p w14:paraId="24AF1167" w14:textId="11FD5332" w:rsidR="00F84415" w:rsidRPr="002B7A72" w:rsidRDefault="00F84415" w:rsidP="0052152A">
            <w:pPr>
              <w:spacing w:line="480" w:lineRule="auto"/>
              <w:rPr>
                <w:rFonts w:ascii="Arial" w:eastAsia="Times New Roman" w:hAnsi="Arial" w:cs="Arial"/>
                <w:color w:val="000000"/>
                <w:lang w:eastAsia="en-AU"/>
              </w:rPr>
            </w:pPr>
            <w:r w:rsidRPr="00E321A2">
              <w:t>Previously described population (Bukhari et al., 2017)</w:t>
            </w:r>
            <w:r w:rsidR="00E43D63">
              <w:t xml:space="preserve"> </w:t>
            </w:r>
            <w:r w:rsidR="001C1BFC">
              <w:rPr>
                <w:noProof/>
              </w:rPr>
              <w:t>[37]</w:t>
            </w:r>
          </w:p>
        </w:tc>
      </w:tr>
      <w:tr w:rsidR="00F84415" w:rsidRPr="002B7A72" w14:paraId="7D5E5CB1" w14:textId="77777777" w:rsidTr="001254BA">
        <w:trPr>
          <w:trHeight w:val="283"/>
        </w:trPr>
        <w:tc>
          <w:tcPr>
            <w:tcW w:w="3119" w:type="dxa"/>
            <w:hideMark/>
          </w:tcPr>
          <w:p w14:paraId="5EE1E570" w14:textId="62C18C46" w:rsidR="00F84415" w:rsidRPr="002B7A72" w:rsidRDefault="00F84415" w:rsidP="0052152A">
            <w:pPr>
              <w:spacing w:line="480" w:lineRule="auto"/>
              <w:rPr>
                <w:rFonts w:ascii="Arial" w:eastAsia="Times New Roman" w:hAnsi="Arial" w:cs="Arial"/>
                <w:color w:val="000000"/>
                <w:lang w:eastAsia="en-AU"/>
              </w:rPr>
            </w:pPr>
            <w:r w:rsidRPr="00E321A2">
              <w:t>Cabre et al., 2009</w:t>
            </w:r>
            <w:r w:rsidR="00E43D63">
              <w:t xml:space="preserve"> </w:t>
            </w:r>
            <w:r w:rsidR="001C1BFC">
              <w:rPr>
                <w:noProof/>
              </w:rPr>
              <w:t>[122]</w:t>
            </w:r>
          </w:p>
        </w:tc>
        <w:tc>
          <w:tcPr>
            <w:tcW w:w="0" w:type="auto"/>
            <w:hideMark/>
          </w:tcPr>
          <w:p w14:paraId="1B2BE0DE" w14:textId="77777777" w:rsidR="00F84415" w:rsidRPr="002B7A72" w:rsidRDefault="00F84415" w:rsidP="0052152A">
            <w:pPr>
              <w:spacing w:line="480" w:lineRule="auto"/>
              <w:rPr>
                <w:rFonts w:ascii="Arial" w:eastAsia="Times New Roman" w:hAnsi="Arial" w:cs="Arial"/>
                <w:color w:val="000000"/>
                <w:lang w:eastAsia="en-AU"/>
              </w:rPr>
            </w:pPr>
            <w:r w:rsidRPr="00E321A2">
              <w:t>Non-English</w:t>
            </w:r>
          </w:p>
        </w:tc>
      </w:tr>
      <w:tr w:rsidR="00F84415" w:rsidRPr="002B7A72" w14:paraId="696FF076" w14:textId="77777777" w:rsidTr="001254BA">
        <w:trPr>
          <w:trHeight w:val="283"/>
        </w:trPr>
        <w:tc>
          <w:tcPr>
            <w:tcW w:w="3119" w:type="dxa"/>
            <w:hideMark/>
          </w:tcPr>
          <w:p w14:paraId="2816ED69" w14:textId="050B4786" w:rsidR="00F84415" w:rsidRPr="002B7A72" w:rsidRDefault="00F84415" w:rsidP="0052152A">
            <w:pPr>
              <w:spacing w:line="480" w:lineRule="auto"/>
              <w:rPr>
                <w:rFonts w:ascii="Arial" w:eastAsia="Times New Roman" w:hAnsi="Arial" w:cs="Arial"/>
                <w:color w:val="000000"/>
                <w:lang w:eastAsia="en-AU"/>
              </w:rPr>
            </w:pPr>
            <w:r w:rsidRPr="00E321A2">
              <w:t>Carnero Contentti et al., 2020</w:t>
            </w:r>
            <w:r w:rsidR="008121FC">
              <w:t xml:space="preserve"> </w:t>
            </w:r>
            <w:r w:rsidR="001C1BFC">
              <w:rPr>
                <w:noProof/>
              </w:rPr>
              <w:t>[123]</w:t>
            </w:r>
          </w:p>
        </w:tc>
        <w:tc>
          <w:tcPr>
            <w:tcW w:w="0" w:type="auto"/>
            <w:hideMark/>
          </w:tcPr>
          <w:p w14:paraId="129E9968"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F84415" w:rsidRPr="002B7A72" w14:paraId="34D6442A" w14:textId="77777777" w:rsidTr="001254BA">
        <w:trPr>
          <w:trHeight w:val="283"/>
        </w:trPr>
        <w:tc>
          <w:tcPr>
            <w:tcW w:w="3119" w:type="dxa"/>
            <w:hideMark/>
          </w:tcPr>
          <w:p w14:paraId="0668DC3A" w14:textId="0ED53FD2" w:rsidR="00F84415" w:rsidRPr="002B7A72" w:rsidRDefault="00F84415" w:rsidP="0052152A">
            <w:pPr>
              <w:spacing w:line="480" w:lineRule="auto"/>
              <w:rPr>
                <w:rFonts w:ascii="Arial" w:eastAsia="Times New Roman" w:hAnsi="Arial" w:cs="Arial"/>
                <w:color w:val="000000"/>
                <w:lang w:eastAsia="en-AU"/>
              </w:rPr>
            </w:pPr>
            <w:r w:rsidRPr="00E321A2">
              <w:t>Cheng et al., 2008</w:t>
            </w:r>
            <w:r w:rsidR="008121FC">
              <w:t xml:space="preserve"> </w:t>
            </w:r>
            <w:r w:rsidR="001C1BFC">
              <w:rPr>
                <w:noProof/>
              </w:rPr>
              <w:t>[124]</w:t>
            </w:r>
          </w:p>
        </w:tc>
        <w:tc>
          <w:tcPr>
            <w:tcW w:w="0" w:type="auto"/>
            <w:hideMark/>
          </w:tcPr>
          <w:p w14:paraId="7FD54C1F" w14:textId="77777777" w:rsidR="00F84415" w:rsidRPr="002B7A72" w:rsidRDefault="00F84415" w:rsidP="0052152A">
            <w:pPr>
              <w:spacing w:line="480" w:lineRule="auto"/>
              <w:rPr>
                <w:rFonts w:ascii="Arial" w:eastAsia="Times New Roman" w:hAnsi="Arial" w:cs="Arial"/>
                <w:color w:val="000000"/>
                <w:lang w:eastAsia="en-AU"/>
              </w:rPr>
            </w:pPr>
            <w:r w:rsidRPr="00E321A2">
              <w:t>Not NMOSD population (MS)</w:t>
            </w:r>
          </w:p>
        </w:tc>
      </w:tr>
      <w:tr w:rsidR="00F84415" w:rsidRPr="002B7A72" w14:paraId="2F982C1E" w14:textId="77777777" w:rsidTr="001254BA">
        <w:trPr>
          <w:trHeight w:val="283"/>
        </w:trPr>
        <w:tc>
          <w:tcPr>
            <w:tcW w:w="3119" w:type="dxa"/>
            <w:hideMark/>
          </w:tcPr>
          <w:p w14:paraId="1B01BF53" w14:textId="22C71662" w:rsidR="00F84415" w:rsidRPr="002B7A72" w:rsidRDefault="00F84415" w:rsidP="0052152A">
            <w:pPr>
              <w:spacing w:line="480" w:lineRule="auto"/>
              <w:rPr>
                <w:rFonts w:ascii="Arial" w:eastAsia="Times New Roman" w:hAnsi="Arial" w:cs="Arial"/>
                <w:color w:val="000000"/>
                <w:lang w:eastAsia="en-AU"/>
              </w:rPr>
            </w:pPr>
            <w:r w:rsidRPr="00E321A2">
              <w:t>Choy et al., 2018</w:t>
            </w:r>
            <w:r w:rsidR="004054E9">
              <w:t xml:space="preserve"> </w:t>
            </w:r>
            <w:r w:rsidR="001C1BFC">
              <w:rPr>
                <w:noProof/>
              </w:rPr>
              <w:t>[125]</w:t>
            </w:r>
          </w:p>
        </w:tc>
        <w:tc>
          <w:tcPr>
            <w:tcW w:w="0" w:type="auto"/>
            <w:hideMark/>
          </w:tcPr>
          <w:p w14:paraId="2D15923E" w14:textId="77777777" w:rsidR="00F84415" w:rsidRPr="002B7A72" w:rsidRDefault="00F84415" w:rsidP="0052152A">
            <w:pPr>
              <w:spacing w:line="480" w:lineRule="auto"/>
              <w:rPr>
                <w:rFonts w:ascii="Arial" w:eastAsia="Times New Roman" w:hAnsi="Arial" w:cs="Arial"/>
                <w:color w:val="000000"/>
                <w:lang w:eastAsia="en-AU"/>
              </w:rPr>
            </w:pPr>
            <w:r w:rsidRPr="00E321A2">
              <w:t>Selected population (ON)</w:t>
            </w:r>
          </w:p>
        </w:tc>
      </w:tr>
      <w:tr w:rsidR="00F84415" w:rsidRPr="002B7A72" w14:paraId="58146568" w14:textId="77777777" w:rsidTr="001254BA">
        <w:trPr>
          <w:trHeight w:val="283"/>
        </w:trPr>
        <w:tc>
          <w:tcPr>
            <w:tcW w:w="3119" w:type="dxa"/>
            <w:hideMark/>
          </w:tcPr>
          <w:p w14:paraId="7BE13B55" w14:textId="3D4AD400" w:rsidR="00F84415" w:rsidRPr="002B7A72" w:rsidRDefault="00F84415" w:rsidP="0052152A">
            <w:pPr>
              <w:spacing w:line="480" w:lineRule="auto"/>
              <w:rPr>
                <w:rFonts w:ascii="Arial" w:eastAsia="Times New Roman" w:hAnsi="Arial" w:cs="Arial"/>
                <w:color w:val="000000"/>
                <w:lang w:eastAsia="en-AU"/>
              </w:rPr>
            </w:pPr>
            <w:r w:rsidRPr="00E321A2">
              <w:t>Collongues et al., 2011</w:t>
            </w:r>
            <w:r w:rsidR="004054E9">
              <w:t xml:space="preserve"> </w:t>
            </w:r>
            <w:r w:rsidR="001C1BFC">
              <w:rPr>
                <w:noProof/>
              </w:rPr>
              <w:t>[126]</w:t>
            </w:r>
          </w:p>
        </w:tc>
        <w:tc>
          <w:tcPr>
            <w:tcW w:w="0" w:type="auto"/>
            <w:hideMark/>
          </w:tcPr>
          <w:p w14:paraId="0AAE342D" w14:textId="77777777" w:rsidR="00F84415" w:rsidRPr="002B7A72" w:rsidRDefault="00F84415" w:rsidP="0052152A">
            <w:pPr>
              <w:spacing w:line="480" w:lineRule="auto"/>
              <w:rPr>
                <w:rFonts w:ascii="Arial" w:eastAsia="Times New Roman" w:hAnsi="Arial" w:cs="Arial"/>
                <w:color w:val="000000"/>
                <w:lang w:eastAsia="en-AU"/>
              </w:rPr>
            </w:pPr>
            <w:r w:rsidRPr="00E321A2">
              <w:t>Not NMOSD population ("high risk for NMO")</w:t>
            </w:r>
          </w:p>
        </w:tc>
      </w:tr>
      <w:tr w:rsidR="00F84415" w:rsidRPr="002B7A72" w14:paraId="4089EAE6" w14:textId="77777777" w:rsidTr="001254BA">
        <w:trPr>
          <w:trHeight w:val="283"/>
        </w:trPr>
        <w:tc>
          <w:tcPr>
            <w:tcW w:w="3119" w:type="dxa"/>
            <w:hideMark/>
          </w:tcPr>
          <w:p w14:paraId="2183366D" w14:textId="06FD8157" w:rsidR="00F84415" w:rsidRPr="002B7A72" w:rsidRDefault="00F84415" w:rsidP="0052152A">
            <w:pPr>
              <w:spacing w:line="480" w:lineRule="auto"/>
              <w:rPr>
                <w:rFonts w:ascii="Arial" w:eastAsia="Times New Roman" w:hAnsi="Arial" w:cs="Arial"/>
                <w:color w:val="000000"/>
                <w:lang w:eastAsia="en-AU"/>
              </w:rPr>
            </w:pPr>
            <w:r w:rsidRPr="00E321A2">
              <w:t>Cristiano et</w:t>
            </w:r>
            <w:r w:rsidR="003471D9">
              <w:t xml:space="preserve"> </w:t>
            </w:r>
            <w:r w:rsidRPr="00E321A2">
              <w:t>al., 2016</w:t>
            </w:r>
            <w:r w:rsidR="00E27A8C">
              <w:t xml:space="preserve"> </w:t>
            </w:r>
            <w:r w:rsidR="001C1BFC">
              <w:rPr>
                <w:noProof/>
              </w:rPr>
              <w:t>[127]</w:t>
            </w:r>
          </w:p>
        </w:tc>
        <w:tc>
          <w:tcPr>
            <w:tcW w:w="0" w:type="auto"/>
            <w:hideMark/>
          </w:tcPr>
          <w:p w14:paraId="41CBBFCD" w14:textId="77777777" w:rsidR="00F84415" w:rsidRPr="002B7A72" w:rsidRDefault="00F84415" w:rsidP="0052152A">
            <w:pPr>
              <w:spacing w:line="480" w:lineRule="auto"/>
              <w:rPr>
                <w:rFonts w:ascii="Arial" w:eastAsia="Times New Roman" w:hAnsi="Arial" w:cs="Arial"/>
                <w:color w:val="000000"/>
                <w:lang w:eastAsia="en-AU"/>
              </w:rPr>
            </w:pPr>
            <w:r w:rsidRPr="00E321A2">
              <w:t>Not NMOSD population (MS)</w:t>
            </w:r>
          </w:p>
        </w:tc>
      </w:tr>
      <w:tr w:rsidR="00F84415" w:rsidRPr="002B7A72" w14:paraId="0705F9FB" w14:textId="77777777" w:rsidTr="001254BA">
        <w:trPr>
          <w:trHeight w:val="283"/>
        </w:trPr>
        <w:tc>
          <w:tcPr>
            <w:tcW w:w="3119" w:type="dxa"/>
            <w:hideMark/>
          </w:tcPr>
          <w:p w14:paraId="060541B7" w14:textId="1FF5ED99" w:rsidR="00F84415" w:rsidRPr="002B7A72" w:rsidRDefault="00F84415" w:rsidP="0052152A">
            <w:pPr>
              <w:spacing w:line="480" w:lineRule="auto"/>
              <w:rPr>
                <w:rFonts w:ascii="Arial" w:eastAsia="Times New Roman" w:hAnsi="Arial" w:cs="Arial"/>
                <w:color w:val="000000"/>
                <w:lang w:eastAsia="en-AU"/>
              </w:rPr>
            </w:pPr>
            <w:r w:rsidRPr="00E321A2">
              <w:t>Dale et al., 2018</w:t>
            </w:r>
            <w:r w:rsidR="00E27A8C">
              <w:t xml:space="preserve"> </w:t>
            </w:r>
            <w:r w:rsidR="001C1BFC">
              <w:rPr>
                <w:noProof/>
              </w:rPr>
              <w:t>[128]</w:t>
            </w:r>
          </w:p>
        </w:tc>
        <w:tc>
          <w:tcPr>
            <w:tcW w:w="0" w:type="auto"/>
            <w:hideMark/>
          </w:tcPr>
          <w:p w14:paraId="12B6B9E3"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A627CA" w:rsidRPr="002B7A72" w14:paraId="3793AB9A" w14:textId="77777777" w:rsidTr="001254BA">
        <w:trPr>
          <w:trHeight w:val="283"/>
        </w:trPr>
        <w:tc>
          <w:tcPr>
            <w:tcW w:w="3119" w:type="dxa"/>
          </w:tcPr>
          <w:p w14:paraId="3E0CA4F4" w14:textId="5BAEDACA" w:rsidR="00A627CA" w:rsidRPr="00E321A2" w:rsidRDefault="00A627CA" w:rsidP="0052152A">
            <w:pPr>
              <w:spacing w:line="480" w:lineRule="auto"/>
            </w:pPr>
            <w:r>
              <w:t>Domingos et al</w:t>
            </w:r>
            <w:r w:rsidR="00F373AF">
              <w:t>.,</w:t>
            </w:r>
            <w:r>
              <w:t xml:space="preserve"> 20</w:t>
            </w:r>
            <w:r w:rsidR="00F373AF">
              <w:t>15</w:t>
            </w:r>
            <w:r w:rsidR="00E27A8C">
              <w:t xml:space="preserve"> </w:t>
            </w:r>
            <w:r w:rsidR="001C1BFC">
              <w:rPr>
                <w:noProof/>
              </w:rPr>
              <w:t>[129]</w:t>
            </w:r>
          </w:p>
        </w:tc>
        <w:tc>
          <w:tcPr>
            <w:tcW w:w="0" w:type="auto"/>
          </w:tcPr>
          <w:p w14:paraId="0620E8E7" w14:textId="5BFBAC37" w:rsidR="00A627CA" w:rsidRPr="00E321A2" w:rsidRDefault="00F373AF" w:rsidP="0052152A">
            <w:pPr>
              <w:spacing w:line="480" w:lineRule="auto"/>
            </w:pPr>
            <w:r>
              <w:t>Subsequently updated (Santos et al., 2021)</w:t>
            </w:r>
            <w:r w:rsidR="00E27A8C">
              <w:t xml:space="preserve"> </w:t>
            </w:r>
            <w:r w:rsidR="00134523">
              <w:rPr>
                <w:noProof/>
              </w:rPr>
              <w:t>[3]</w:t>
            </w:r>
          </w:p>
        </w:tc>
      </w:tr>
      <w:tr w:rsidR="00F84415" w:rsidRPr="002B7A72" w14:paraId="6EE8A796" w14:textId="77777777" w:rsidTr="001254BA">
        <w:trPr>
          <w:trHeight w:val="283"/>
        </w:trPr>
        <w:tc>
          <w:tcPr>
            <w:tcW w:w="3119" w:type="dxa"/>
            <w:hideMark/>
          </w:tcPr>
          <w:p w14:paraId="0B53D4B9" w14:textId="3B9B509B" w:rsidR="00F84415" w:rsidRPr="002B7A72" w:rsidRDefault="00F84415" w:rsidP="0052152A">
            <w:pPr>
              <w:spacing w:line="480" w:lineRule="auto"/>
              <w:rPr>
                <w:rFonts w:ascii="Arial" w:eastAsia="Times New Roman" w:hAnsi="Arial" w:cs="Arial"/>
                <w:color w:val="000000"/>
                <w:lang w:eastAsia="en-AU"/>
              </w:rPr>
            </w:pPr>
            <w:r w:rsidRPr="00E321A2">
              <w:t>Eskandarieh et al., 2017</w:t>
            </w:r>
            <w:r w:rsidR="009D5150">
              <w:t xml:space="preserve"> </w:t>
            </w:r>
            <w:r w:rsidR="001C1BFC">
              <w:rPr>
                <w:noProof/>
              </w:rPr>
              <w:t>[130]</w:t>
            </w:r>
          </w:p>
        </w:tc>
        <w:tc>
          <w:tcPr>
            <w:tcW w:w="0" w:type="auto"/>
            <w:hideMark/>
          </w:tcPr>
          <w:p w14:paraId="2A147C13" w14:textId="2406D2C8" w:rsidR="00F84415" w:rsidRPr="002B7A72" w:rsidRDefault="00F84415" w:rsidP="0052152A">
            <w:pPr>
              <w:spacing w:line="480" w:lineRule="auto"/>
              <w:rPr>
                <w:rFonts w:ascii="Arial" w:eastAsia="Times New Roman" w:hAnsi="Arial" w:cs="Arial"/>
                <w:color w:val="000000"/>
                <w:lang w:eastAsia="en-AU"/>
              </w:rPr>
            </w:pPr>
            <w:r w:rsidRPr="00E321A2">
              <w:t>Previously described population (Eskandarieh et al., 2017)</w:t>
            </w:r>
            <w:r w:rsidR="001E41C4">
              <w:t xml:space="preserve"> </w:t>
            </w:r>
            <w:r w:rsidR="001C1BFC">
              <w:rPr>
                <w:noProof/>
              </w:rPr>
              <w:t>[47]</w:t>
            </w:r>
          </w:p>
        </w:tc>
      </w:tr>
      <w:tr w:rsidR="00F84415" w:rsidRPr="002B7A72" w14:paraId="793D7699" w14:textId="77777777" w:rsidTr="001254BA">
        <w:trPr>
          <w:trHeight w:val="283"/>
        </w:trPr>
        <w:tc>
          <w:tcPr>
            <w:tcW w:w="3119" w:type="dxa"/>
            <w:hideMark/>
          </w:tcPr>
          <w:p w14:paraId="6E7218A8" w14:textId="37569ABB" w:rsidR="00F84415" w:rsidRPr="002B7A72" w:rsidRDefault="00F84415" w:rsidP="0052152A">
            <w:pPr>
              <w:spacing w:line="480" w:lineRule="auto"/>
              <w:rPr>
                <w:rFonts w:ascii="Arial" w:eastAsia="Times New Roman" w:hAnsi="Arial" w:cs="Arial"/>
                <w:color w:val="000000"/>
                <w:lang w:eastAsia="en-AU"/>
              </w:rPr>
            </w:pPr>
            <w:r w:rsidRPr="00E321A2">
              <w:t>Eskandarieh et al., 2018</w:t>
            </w:r>
            <w:r w:rsidR="008163FD" w:rsidRPr="008163FD">
              <w:rPr>
                <w:noProof/>
              </w:rPr>
              <w:t xml:space="preserve"> </w:t>
            </w:r>
            <w:r w:rsidR="001C1BFC">
              <w:rPr>
                <w:noProof/>
              </w:rPr>
              <w:t>[131]</w:t>
            </w:r>
          </w:p>
        </w:tc>
        <w:tc>
          <w:tcPr>
            <w:tcW w:w="0" w:type="auto"/>
            <w:hideMark/>
          </w:tcPr>
          <w:p w14:paraId="2A28C5EA" w14:textId="32310A13" w:rsidR="00F84415" w:rsidRPr="002B7A72" w:rsidRDefault="00F84415" w:rsidP="0052152A">
            <w:pPr>
              <w:spacing w:line="480" w:lineRule="auto"/>
              <w:rPr>
                <w:rFonts w:ascii="Arial" w:eastAsia="Times New Roman" w:hAnsi="Arial" w:cs="Arial"/>
                <w:color w:val="000000"/>
                <w:lang w:eastAsia="en-AU"/>
              </w:rPr>
            </w:pPr>
            <w:r w:rsidRPr="00E321A2">
              <w:t>Previously described population (Eskandarieh et al., 2017)</w:t>
            </w:r>
            <w:r w:rsidR="001E41C4">
              <w:t xml:space="preserve"> </w:t>
            </w:r>
            <w:r w:rsidR="001C1BFC">
              <w:rPr>
                <w:noProof/>
              </w:rPr>
              <w:t>[47]</w:t>
            </w:r>
          </w:p>
        </w:tc>
      </w:tr>
      <w:tr w:rsidR="00F84415" w:rsidRPr="002B7A72" w14:paraId="161F40A6" w14:textId="77777777" w:rsidTr="001254BA">
        <w:trPr>
          <w:trHeight w:val="283"/>
        </w:trPr>
        <w:tc>
          <w:tcPr>
            <w:tcW w:w="3119" w:type="dxa"/>
            <w:hideMark/>
          </w:tcPr>
          <w:p w14:paraId="45FBCE8F" w14:textId="4CD67CAC" w:rsidR="00F84415" w:rsidRPr="002B7A72" w:rsidRDefault="00F84415" w:rsidP="0052152A">
            <w:pPr>
              <w:spacing w:line="480" w:lineRule="auto"/>
              <w:rPr>
                <w:rFonts w:ascii="Arial" w:eastAsia="Times New Roman" w:hAnsi="Arial" w:cs="Arial"/>
                <w:color w:val="000000"/>
                <w:lang w:eastAsia="en-AU"/>
              </w:rPr>
            </w:pPr>
            <w:r w:rsidRPr="00E321A2">
              <w:t>Etemadifar et al., 2014</w:t>
            </w:r>
            <w:r w:rsidR="00EC04D5">
              <w:t xml:space="preserve"> </w:t>
            </w:r>
            <w:r w:rsidR="001C1BFC">
              <w:rPr>
                <w:noProof/>
              </w:rPr>
              <w:t>[132]</w:t>
            </w:r>
          </w:p>
        </w:tc>
        <w:tc>
          <w:tcPr>
            <w:tcW w:w="0" w:type="auto"/>
            <w:hideMark/>
          </w:tcPr>
          <w:p w14:paraId="68300AE7" w14:textId="670E0FBA" w:rsidR="00F84415" w:rsidRPr="002B7A72" w:rsidRDefault="00F84415" w:rsidP="0052152A">
            <w:pPr>
              <w:spacing w:line="480" w:lineRule="auto"/>
              <w:rPr>
                <w:rFonts w:ascii="Arial" w:eastAsia="Times New Roman" w:hAnsi="Arial" w:cs="Arial"/>
                <w:color w:val="000000"/>
                <w:lang w:eastAsia="en-AU"/>
              </w:rPr>
            </w:pPr>
            <w:r w:rsidRPr="00E321A2">
              <w:t>Subsequently updated (Etemadifar et al., 2020)</w:t>
            </w:r>
            <w:r w:rsidR="00C37043">
              <w:t xml:space="preserve"> </w:t>
            </w:r>
            <w:r w:rsidR="001C1BFC">
              <w:rPr>
                <w:noProof/>
              </w:rPr>
              <w:t>[49]</w:t>
            </w:r>
          </w:p>
        </w:tc>
      </w:tr>
      <w:tr w:rsidR="00F84415" w:rsidRPr="002B7A72" w14:paraId="1384E5A1" w14:textId="77777777" w:rsidTr="001254BA">
        <w:trPr>
          <w:trHeight w:val="283"/>
        </w:trPr>
        <w:tc>
          <w:tcPr>
            <w:tcW w:w="3119" w:type="dxa"/>
            <w:hideMark/>
          </w:tcPr>
          <w:p w14:paraId="47FFD607" w14:textId="02159754" w:rsidR="00F84415" w:rsidRPr="002B7A72" w:rsidRDefault="00F84415" w:rsidP="0052152A">
            <w:pPr>
              <w:spacing w:line="480" w:lineRule="auto"/>
              <w:rPr>
                <w:rFonts w:ascii="Arial" w:eastAsia="Times New Roman" w:hAnsi="Arial" w:cs="Arial"/>
                <w:color w:val="000000"/>
                <w:lang w:eastAsia="en-AU"/>
              </w:rPr>
            </w:pPr>
            <w:r w:rsidRPr="00E321A2">
              <w:t>Etemadifar et al., 2014</w:t>
            </w:r>
            <w:r w:rsidR="00EC04D5">
              <w:t xml:space="preserve"> </w:t>
            </w:r>
            <w:r w:rsidR="001C1BFC">
              <w:rPr>
                <w:noProof/>
              </w:rPr>
              <w:t>[133]</w:t>
            </w:r>
          </w:p>
        </w:tc>
        <w:tc>
          <w:tcPr>
            <w:tcW w:w="0" w:type="auto"/>
            <w:hideMark/>
          </w:tcPr>
          <w:p w14:paraId="3CC2AD73" w14:textId="6E81EEA5" w:rsidR="00F84415" w:rsidRPr="002B7A72" w:rsidRDefault="00F84415" w:rsidP="0052152A">
            <w:pPr>
              <w:spacing w:line="480" w:lineRule="auto"/>
              <w:rPr>
                <w:rFonts w:ascii="Arial" w:eastAsia="Times New Roman" w:hAnsi="Arial" w:cs="Arial"/>
                <w:color w:val="000000"/>
                <w:lang w:eastAsia="en-AU"/>
              </w:rPr>
            </w:pPr>
            <w:r w:rsidRPr="00E321A2">
              <w:t>Subsequently updated (Etemadifar et al., 2020)</w:t>
            </w:r>
            <w:r w:rsidR="00C37043">
              <w:t xml:space="preserve"> </w:t>
            </w:r>
            <w:r w:rsidR="001C1BFC">
              <w:rPr>
                <w:noProof/>
              </w:rPr>
              <w:t>[49]</w:t>
            </w:r>
          </w:p>
        </w:tc>
      </w:tr>
      <w:tr w:rsidR="00F84415" w:rsidRPr="002B7A72" w14:paraId="1AA5BC6E" w14:textId="77777777" w:rsidTr="001254BA">
        <w:trPr>
          <w:trHeight w:val="283"/>
        </w:trPr>
        <w:tc>
          <w:tcPr>
            <w:tcW w:w="3119" w:type="dxa"/>
            <w:hideMark/>
          </w:tcPr>
          <w:p w14:paraId="6C6A0496" w14:textId="32D2E0E4" w:rsidR="00F84415" w:rsidRPr="002B7A72" w:rsidRDefault="00F84415" w:rsidP="0052152A">
            <w:pPr>
              <w:spacing w:line="480" w:lineRule="auto"/>
              <w:rPr>
                <w:rFonts w:ascii="Arial" w:eastAsia="Times New Roman" w:hAnsi="Arial" w:cs="Arial"/>
                <w:color w:val="000000"/>
                <w:lang w:eastAsia="en-AU"/>
              </w:rPr>
            </w:pPr>
            <w:r w:rsidRPr="00E321A2">
              <w:t>Fragoso et al., 2019</w:t>
            </w:r>
            <w:r w:rsidR="00436E14">
              <w:t xml:space="preserve"> </w:t>
            </w:r>
            <w:r w:rsidR="001C1BFC">
              <w:rPr>
                <w:noProof/>
              </w:rPr>
              <w:t>[134]</w:t>
            </w:r>
          </w:p>
        </w:tc>
        <w:tc>
          <w:tcPr>
            <w:tcW w:w="0" w:type="auto"/>
            <w:hideMark/>
          </w:tcPr>
          <w:p w14:paraId="3A3EEA0D" w14:textId="77777777" w:rsidR="00F84415" w:rsidRPr="002B7A72" w:rsidRDefault="00F84415" w:rsidP="0052152A">
            <w:pPr>
              <w:spacing w:line="480" w:lineRule="auto"/>
              <w:rPr>
                <w:rFonts w:ascii="Arial" w:eastAsia="Times New Roman" w:hAnsi="Arial" w:cs="Arial"/>
                <w:color w:val="000000"/>
                <w:lang w:eastAsia="en-AU"/>
              </w:rPr>
            </w:pPr>
            <w:r w:rsidRPr="00E321A2">
              <w:t>Selected population (early onset)</w:t>
            </w:r>
          </w:p>
        </w:tc>
      </w:tr>
      <w:tr w:rsidR="00F84415" w:rsidRPr="002B7A72" w14:paraId="4756F358" w14:textId="77777777" w:rsidTr="001254BA">
        <w:trPr>
          <w:trHeight w:val="283"/>
        </w:trPr>
        <w:tc>
          <w:tcPr>
            <w:tcW w:w="3119" w:type="dxa"/>
            <w:hideMark/>
          </w:tcPr>
          <w:p w14:paraId="633A9B48" w14:textId="6C65A793" w:rsidR="00F84415" w:rsidRPr="002B7A72" w:rsidRDefault="00F84415" w:rsidP="0052152A">
            <w:pPr>
              <w:spacing w:line="480" w:lineRule="auto"/>
              <w:rPr>
                <w:rFonts w:ascii="Arial" w:eastAsia="Times New Roman" w:hAnsi="Arial" w:cs="Arial"/>
                <w:color w:val="000000"/>
                <w:lang w:eastAsia="en-AU"/>
              </w:rPr>
            </w:pPr>
            <w:r w:rsidRPr="00E321A2">
              <w:t>Gold et al., 2019</w:t>
            </w:r>
            <w:r w:rsidR="00F10FFF">
              <w:t xml:space="preserve"> </w:t>
            </w:r>
            <w:r w:rsidR="001C1BFC">
              <w:rPr>
                <w:noProof/>
              </w:rPr>
              <w:t>[135]</w:t>
            </w:r>
          </w:p>
        </w:tc>
        <w:tc>
          <w:tcPr>
            <w:tcW w:w="0" w:type="auto"/>
            <w:hideMark/>
          </w:tcPr>
          <w:p w14:paraId="5A63F265" w14:textId="77777777" w:rsidR="00F84415" w:rsidRPr="002B7A72" w:rsidRDefault="00F84415" w:rsidP="0052152A">
            <w:pPr>
              <w:spacing w:line="480" w:lineRule="auto"/>
              <w:rPr>
                <w:rFonts w:ascii="Arial" w:eastAsia="Times New Roman" w:hAnsi="Arial" w:cs="Arial"/>
                <w:color w:val="000000"/>
                <w:lang w:eastAsia="en-AU"/>
              </w:rPr>
            </w:pPr>
            <w:r w:rsidRPr="00E321A2">
              <w:t>Review article</w:t>
            </w:r>
          </w:p>
        </w:tc>
      </w:tr>
      <w:tr w:rsidR="00F84415" w:rsidRPr="002B7A72" w14:paraId="350B8EEE" w14:textId="77777777" w:rsidTr="001254BA">
        <w:trPr>
          <w:trHeight w:val="283"/>
        </w:trPr>
        <w:tc>
          <w:tcPr>
            <w:tcW w:w="3119" w:type="dxa"/>
            <w:hideMark/>
          </w:tcPr>
          <w:p w14:paraId="6DC24AF6" w14:textId="4B1A69B3" w:rsidR="00F84415" w:rsidRPr="002B7A72" w:rsidRDefault="00F84415" w:rsidP="0052152A">
            <w:pPr>
              <w:spacing w:line="480" w:lineRule="auto"/>
              <w:rPr>
                <w:rFonts w:ascii="Arial" w:eastAsia="Times New Roman" w:hAnsi="Arial" w:cs="Arial"/>
                <w:color w:val="000000"/>
                <w:lang w:eastAsia="en-AU"/>
              </w:rPr>
            </w:pPr>
            <w:r w:rsidRPr="00E321A2">
              <w:lastRenderedPageBreak/>
              <w:t>Höftberger et al., 2015</w:t>
            </w:r>
            <w:r w:rsidR="00F10FFF">
              <w:t xml:space="preserve"> </w:t>
            </w:r>
            <w:r w:rsidR="001C1BFC">
              <w:rPr>
                <w:noProof/>
              </w:rPr>
              <w:t>[136]</w:t>
            </w:r>
          </w:p>
        </w:tc>
        <w:tc>
          <w:tcPr>
            <w:tcW w:w="0" w:type="auto"/>
            <w:hideMark/>
          </w:tcPr>
          <w:p w14:paraId="51C2B0F5" w14:textId="62BD37D6" w:rsidR="00F84415" w:rsidRPr="002B7A72" w:rsidRDefault="00F84415" w:rsidP="0052152A">
            <w:pPr>
              <w:spacing w:line="480" w:lineRule="auto"/>
              <w:rPr>
                <w:rFonts w:ascii="Arial" w:eastAsia="Times New Roman" w:hAnsi="Arial" w:cs="Arial"/>
                <w:color w:val="000000"/>
                <w:lang w:eastAsia="en-AU"/>
              </w:rPr>
            </w:pPr>
            <w:r w:rsidRPr="00E321A2">
              <w:t>Subsequently updated (Sepulveda et al., 2016)</w:t>
            </w:r>
            <w:r w:rsidR="00F10FFF">
              <w:t xml:space="preserve"> </w:t>
            </w:r>
            <w:r w:rsidR="001C1BFC">
              <w:rPr>
                <w:noProof/>
              </w:rPr>
              <w:t>[80]</w:t>
            </w:r>
          </w:p>
        </w:tc>
      </w:tr>
      <w:tr w:rsidR="00F84415" w:rsidRPr="002B7A72" w14:paraId="1A2265F1" w14:textId="77777777" w:rsidTr="001254BA">
        <w:trPr>
          <w:trHeight w:val="283"/>
        </w:trPr>
        <w:tc>
          <w:tcPr>
            <w:tcW w:w="3119" w:type="dxa"/>
            <w:hideMark/>
          </w:tcPr>
          <w:p w14:paraId="177717D5" w14:textId="3FFD701A" w:rsidR="00F84415" w:rsidRPr="002B7A72" w:rsidRDefault="00F84415" w:rsidP="0052152A">
            <w:pPr>
              <w:spacing w:line="480" w:lineRule="auto"/>
              <w:rPr>
                <w:rFonts w:ascii="Arial" w:eastAsia="Times New Roman" w:hAnsi="Arial" w:cs="Arial"/>
                <w:color w:val="000000"/>
                <w:lang w:eastAsia="en-AU"/>
              </w:rPr>
            </w:pPr>
            <w:r w:rsidRPr="00E321A2">
              <w:t>Hor et al., 2020</w:t>
            </w:r>
            <w:r w:rsidR="00B4569E">
              <w:t xml:space="preserve"> </w:t>
            </w:r>
            <w:r w:rsidR="005E04D8">
              <w:rPr>
                <w:noProof/>
              </w:rPr>
              <w:t>[8]</w:t>
            </w:r>
          </w:p>
        </w:tc>
        <w:tc>
          <w:tcPr>
            <w:tcW w:w="0" w:type="auto"/>
            <w:hideMark/>
          </w:tcPr>
          <w:p w14:paraId="4ED9F1E9" w14:textId="77777777" w:rsidR="00F84415" w:rsidRPr="002B7A72" w:rsidRDefault="00F84415" w:rsidP="0052152A">
            <w:pPr>
              <w:spacing w:line="480" w:lineRule="auto"/>
              <w:rPr>
                <w:rFonts w:ascii="Arial" w:eastAsia="Times New Roman" w:hAnsi="Arial" w:cs="Arial"/>
                <w:color w:val="000000"/>
                <w:lang w:eastAsia="en-AU"/>
              </w:rPr>
            </w:pPr>
            <w:r w:rsidRPr="00E321A2">
              <w:t>Review article</w:t>
            </w:r>
          </w:p>
        </w:tc>
      </w:tr>
      <w:tr w:rsidR="00F84415" w:rsidRPr="002B7A72" w14:paraId="26173A61" w14:textId="77777777" w:rsidTr="001254BA">
        <w:trPr>
          <w:trHeight w:val="283"/>
        </w:trPr>
        <w:tc>
          <w:tcPr>
            <w:tcW w:w="3119" w:type="dxa"/>
            <w:hideMark/>
          </w:tcPr>
          <w:p w14:paraId="34AD906A" w14:textId="564B1428" w:rsidR="00F84415" w:rsidRPr="002B7A72" w:rsidRDefault="00F84415" w:rsidP="0052152A">
            <w:pPr>
              <w:spacing w:line="480" w:lineRule="auto"/>
              <w:rPr>
                <w:rFonts w:ascii="Arial" w:eastAsia="Times New Roman" w:hAnsi="Arial" w:cs="Arial"/>
                <w:color w:val="000000"/>
                <w:lang w:eastAsia="en-AU"/>
              </w:rPr>
            </w:pPr>
            <w:r w:rsidRPr="00E321A2">
              <w:t>Houzen et al., 2012</w:t>
            </w:r>
            <w:r w:rsidR="00F03255">
              <w:t xml:space="preserve"> </w:t>
            </w:r>
            <w:r w:rsidR="001C1BFC">
              <w:rPr>
                <w:noProof/>
              </w:rPr>
              <w:t>[137]</w:t>
            </w:r>
          </w:p>
        </w:tc>
        <w:tc>
          <w:tcPr>
            <w:tcW w:w="0" w:type="auto"/>
            <w:hideMark/>
          </w:tcPr>
          <w:p w14:paraId="0189FF63" w14:textId="587DB163" w:rsidR="00F84415" w:rsidRPr="002B7A72" w:rsidRDefault="00F84415" w:rsidP="0052152A">
            <w:pPr>
              <w:spacing w:line="480" w:lineRule="auto"/>
              <w:rPr>
                <w:rFonts w:ascii="Arial" w:eastAsia="Times New Roman" w:hAnsi="Arial" w:cs="Arial"/>
                <w:color w:val="000000"/>
                <w:lang w:eastAsia="en-AU"/>
              </w:rPr>
            </w:pPr>
            <w:r w:rsidRPr="00E321A2">
              <w:t>Subsequently updated (Miyamoto et al., 2018)</w:t>
            </w:r>
            <w:r w:rsidR="00067C29">
              <w:t xml:space="preserve"> </w:t>
            </w:r>
            <w:r w:rsidR="001C1BFC">
              <w:rPr>
                <w:noProof/>
              </w:rPr>
              <w:t>[69]</w:t>
            </w:r>
          </w:p>
        </w:tc>
      </w:tr>
      <w:tr w:rsidR="00F84415" w:rsidRPr="002B7A72" w14:paraId="03A7E3B6" w14:textId="77777777" w:rsidTr="001254BA">
        <w:trPr>
          <w:trHeight w:val="283"/>
        </w:trPr>
        <w:tc>
          <w:tcPr>
            <w:tcW w:w="3119" w:type="dxa"/>
            <w:hideMark/>
          </w:tcPr>
          <w:p w14:paraId="642764AB" w14:textId="697F4F3E" w:rsidR="00F84415" w:rsidRPr="002B7A72" w:rsidRDefault="00F84415" w:rsidP="0065273D">
            <w:pPr>
              <w:spacing w:before="240" w:line="480" w:lineRule="auto"/>
              <w:rPr>
                <w:rFonts w:ascii="Arial" w:eastAsia="Times New Roman" w:hAnsi="Arial" w:cs="Arial"/>
                <w:color w:val="000000"/>
                <w:lang w:eastAsia="en-AU"/>
              </w:rPr>
            </w:pPr>
            <w:r w:rsidRPr="00E321A2">
              <w:t>Houzen et al., 2018</w:t>
            </w:r>
            <w:r w:rsidR="00F03255">
              <w:t xml:space="preserve"> </w:t>
            </w:r>
            <w:r w:rsidR="001C1BFC">
              <w:rPr>
                <w:noProof/>
              </w:rPr>
              <w:t>[138]</w:t>
            </w:r>
          </w:p>
        </w:tc>
        <w:tc>
          <w:tcPr>
            <w:tcW w:w="0" w:type="auto"/>
            <w:hideMark/>
          </w:tcPr>
          <w:p w14:paraId="564DD9C3" w14:textId="77777777" w:rsidR="00F84415" w:rsidRPr="002B7A72" w:rsidRDefault="00F84415" w:rsidP="0065273D">
            <w:pPr>
              <w:spacing w:before="240" w:line="480" w:lineRule="auto"/>
              <w:rPr>
                <w:rFonts w:ascii="Arial" w:eastAsia="Times New Roman" w:hAnsi="Arial" w:cs="Arial"/>
                <w:color w:val="000000"/>
                <w:lang w:eastAsia="en-AU"/>
              </w:rPr>
            </w:pPr>
            <w:r w:rsidRPr="00E321A2">
              <w:t>Not NMOSD population (MS)</w:t>
            </w:r>
          </w:p>
        </w:tc>
      </w:tr>
      <w:tr w:rsidR="00F84415" w:rsidRPr="002B7A72" w14:paraId="03121742" w14:textId="77777777" w:rsidTr="001254BA">
        <w:trPr>
          <w:trHeight w:val="283"/>
        </w:trPr>
        <w:tc>
          <w:tcPr>
            <w:tcW w:w="3119" w:type="dxa"/>
            <w:hideMark/>
          </w:tcPr>
          <w:p w14:paraId="5AD776BC" w14:textId="0104C299" w:rsidR="00F84415" w:rsidRPr="002B7A72" w:rsidRDefault="00F84415" w:rsidP="0052152A">
            <w:pPr>
              <w:spacing w:line="480" w:lineRule="auto"/>
              <w:rPr>
                <w:rFonts w:ascii="Arial" w:eastAsia="Times New Roman" w:hAnsi="Arial" w:cs="Arial"/>
                <w:color w:val="000000"/>
                <w:lang w:eastAsia="en-AU"/>
              </w:rPr>
            </w:pPr>
            <w:r w:rsidRPr="00E321A2">
              <w:t>Jacob et al., 2013</w:t>
            </w:r>
            <w:r w:rsidR="00593091">
              <w:t xml:space="preserve"> </w:t>
            </w:r>
            <w:r w:rsidR="001C1BFC">
              <w:rPr>
                <w:noProof/>
              </w:rPr>
              <w:t>[139]</w:t>
            </w:r>
          </w:p>
        </w:tc>
        <w:tc>
          <w:tcPr>
            <w:tcW w:w="0" w:type="auto"/>
            <w:hideMark/>
          </w:tcPr>
          <w:p w14:paraId="16F2FE4A"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F84415" w:rsidRPr="002B7A72" w14:paraId="7D90570D" w14:textId="77777777" w:rsidTr="001254BA">
        <w:trPr>
          <w:trHeight w:val="283"/>
        </w:trPr>
        <w:tc>
          <w:tcPr>
            <w:tcW w:w="3119" w:type="dxa"/>
            <w:hideMark/>
          </w:tcPr>
          <w:p w14:paraId="6812DF32" w14:textId="20B1D9ED" w:rsidR="00F84415" w:rsidRPr="002B7A72" w:rsidRDefault="00F84415" w:rsidP="0052152A">
            <w:pPr>
              <w:spacing w:line="480" w:lineRule="auto"/>
              <w:rPr>
                <w:rFonts w:ascii="Arial" w:eastAsia="Times New Roman" w:hAnsi="Arial" w:cs="Arial"/>
                <w:color w:val="000000"/>
                <w:lang w:eastAsia="en-AU"/>
              </w:rPr>
            </w:pPr>
            <w:r w:rsidRPr="00E321A2">
              <w:t>Jarius et al., 2010</w:t>
            </w:r>
            <w:r w:rsidR="00F80429">
              <w:t xml:space="preserve"> </w:t>
            </w:r>
            <w:r w:rsidR="001C1BFC">
              <w:rPr>
                <w:noProof/>
              </w:rPr>
              <w:t>[140]</w:t>
            </w:r>
          </w:p>
        </w:tc>
        <w:tc>
          <w:tcPr>
            <w:tcW w:w="0" w:type="auto"/>
            <w:hideMark/>
          </w:tcPr>
          <w:p w14:paraId="37095F0D" w14:textId="77777777" w:rsidR="00F84415" w:rsidRPr="002B7A72" w:rsidRDefault="00F84415" w:rsidP="0052152A">
            <w:pPr>
              <w:spacing w:line="480" w:lineRule="auto"/>
              <w:rPr>
                <w:rFonts w:ascii="Arial" w:eastAsia="Times New Roman" w:hAnsi="Arial" w:cs="Arial"/>
                <w:color w:val="000000"/>
                <w:lang w:eastAsia="en-AU"/>
              </w:rPr>
            </w:pPr>
            <w:r w:rsidRPr="00E321A2">
              <w:t>Selected population (AQP4 Ab +ve ON)</w:t>
            </w:r>
          </w:p>
        </w:tc>
      </w:tr>
      <w:tr w:rsidR="00F84415" w:rsidRPr="002B7A72" w14:paraId="25AC5D6F" w14:textId="77777777" w:rsidTr="001254BA">
        <w:trPr>
          <w:trHeight w:val="283"/>
        </w:trPr>
        <w:tc>
          <w:tcPr>
            <w:tcW w:w="3119" w:type="dxa"/>
            <w:hideMark/>
          </w:tcPr>
          <w:p w14:paraId="25688C0E" w14:textId="4BD6EFBA" w:rsidR="00F84415" w:rsidRPr="002B7A72" w:rsidRDefault="00F84415" w:rsidP="0052152A">
            <w:pPr>
              <w:spacing w:line="480" w:lineRule="auto"/>
              <w:rPr>
                <w:rFonts w:ascii="Arial" w:eastAsia="Times New Roman" w:hAnsi="Arial" w:cs="Arial"/>
                <w:color w:val="000000"/>
                <w:lang w:eastAsia="en-AU"/>
              </w:rPr>
            </w:pPr>
            <w:r w:rsidRPr="00E321A2">
              <w:t>Jarius et al., 2016</w:t>
            </w:r>
            <w:r w:rsidR="00F80429">
              <w:t xml:space="preserve"> </w:t>
            </w:r>
            <w:r w:rsidR="001C1BFC">
              <w:rPr>
                <w:noProof/>
              </w:rPr>
              <w:t>[141]</w:t>
            </w:r>
          </w:p>
        </w:tc>
        <w:tc>
          <w:tcPr>
            <w:tcW w:w="0" w:type="auto"/>
            <w:hideMark/>
          </w:tcPr>
          <w:p w14:paraId="36D1B227" w14:textId="6E6D98B2" w:rsidR="00F84415" w:rsidRPr="002B7A72" w:rsidRDefault="00F84415" w:rsidP="0052152A">
            <w:pPr>
              <w:spacing w:line="480" w:lineRule="auto"/>
              <w:rPr>
                <w:rFonts w:ascii="Arial" w:eastAsia="Times New Roman" w:hAnsi="Arial" w:cs="Arial"/>
                <w:color w:val="000000"/>
                <w:lang w:eastAsia="en-AU"/>
              </w:rPr>
            </w:pPr>
            <w:r w:rsidRPr="00E321A2">
              <w:t xml:space="preserve">Not </w:t>
            </w:r>
            <w:r w:rsidR="00B5635E">
              <w:t xml:space="preserve">AQP4 Ab related </w:t>
            </w:r>
            <w:r w:rsidRPr="00E321A2">
              <w:t>NMOSD population (MOG Ab +ve)</w:t>
            </w:r>
          </w:p>
        </w:tc>
      </w:tr>
      <w:tr w:rsidR="00F84415" w:rsidRPr="002B7A72" w14:paraId="66BC8B7D" w14:textId="77777777" w:rsidTr="001254BA">
        <w:trPr>
          <w:trHeight w:val="283"/>
        </w:trPr>
        <w:tc>
          <w:tcPr>
            <w:tcW w:w="3119" w:type="dxa"/>
            <w:hideMark/>
          </w:tcPr>
          <w:p w14:paraId="608927F1" w14:textId="4C09C95F" w:rsidR="00F84415" w:rsidRPr="002B7A72" w:rsidRDefault="00F84415" w:rsidP="0052152A">
            <w:pPr>
              <w:spacing w:line="480" w:lineRule="auto"/>
              <w:rPr>
                <w:rFonts w:ascii="Arial" w:eastAsia="Times New Roman" w:hAnsi="Arial" w:cs="Arial"/>
                <w:color w:val="000000"/>
                <w:lang w:eastAsia="en-AU"/>
              </w:rPr>
            </w:pPr>
            <w:r w:rsidRPr="00E321A2">
              <w:t>Kim et al., 2018</w:t>
            </w:r>
            <w:r w:rsidR="00F80429">
              <w:t xml:space="preserve"> </w:t>
            </w:r>
            <w:r w:rsidR="001C1BFC">
              <w:rPr>
                <w:noProof/>
              </w:rPr>
              <w:t>[142]</w:t>
            </w:r>
          </w:p>
        </w:tc>
        <w:tc>
          <w:tcPr>
            <w:tcW w:w="0" w:type="auto"/>
            <w:hideMark/>
          </w:tcPr>
          <w:p w14:paraId="08CE205F" w14:textId="2F7348CF" w:rsidR="00F84415" w:rsidRPr="002B7A72" w:rsidRDefault="00F84415" w:rsidP="0052152A">
            <w:pPr>
              <w:spacing w:line="480" w:lineRule="auto"/>
              <w:rPr>
                <w:rFonts w:ascii="Arial" w:eastAsia="Times New Roman" w:hAnsi="Arial" w:cs="Arial"/>
                <w:color w:val="000000"/>
                <w:lang w:eastAsia="en-AU"/>
              </w:rPr>
            </w:pPr>
            <w:r w:rsidRPr="00E321A2">
              <w:t>Previously described population (Kim et al., 2012)</w:t>
            </w:r>
            <w:r w:rsidR="00F80429">
              <w:t xml:space="preserve"> </w:t>
            </w:r>
            <w:r w:rsidR="001C1BFC">
              <w:rPr>
                <w:noProof/>
              </w:rPr>
              <w:t>[62]</w:t>
            </w:r>
            <w:r w:rsidRPr="00E321A2">
              <w:t xml:space="preserve"> and data presented based on ethnic ancestry</w:t>
            </w:r>
          </w:p>
        </w:tc>
      </w:tr>
      <w:tr w:rsidR="00F84415" w:rsidRPr="002B7A72" w14:paraId="6BFDE760" w14:textId="77777777" w:rsidTr="001254BA">
        <w:trPr>
          <w:trHeight w:val="283"/>
        </w:trPr>
        <w:tc>
          <w:tcPr>
            <w:tcW w:w="3119" w:type="dxa"/>
            <w:hideMark/>
          </w:tcPr>
          <w:p w14:paraId="6A403657" w14:textId="5DD7A1FF" w:rsidR="00F84415" w:rsidRPr="002B7A72" w:rsidRDefault="00F84415" w:rsidP="0052152A">
            <w:pPr>
              <w:spacing w:line="480" w:lineRule="auto"/>
              <w:rPr>
                <w:rFonts w:ascii="Arial" w:eastAsia="Times New Roman" w:hAnsi="Arial" w:cs="Arial"/>
                <w:color w:val="000000"/>
                <w:lang w:eastAsia="en-AU"/>
              </w:rPr>
            </w:pPr>
            <w:r w:rsidRPr="00E321A2">
              <w:t>Kim et al., 20</w:t>
            </w:r>
            <w:r>
              <w:t>20</w:t>
            </w:r>
            <w:r w:rsidR="00F80429">
              <w:t xml:space="preserve"> </w:t>
            </w:r>
            <w:r w:rsidR="001C1BFC">
              <w:rPr>
                <w:noProof/>
              </w:rPr>
              <w:t>[143]</w:t>
            </w:r>
          </w:p>
        </w:tc>
        <w:tc>
          <w:tcPr>
            <w:tcW w:w="0" w:type="auto"/>
            <w:hideMark/>
          </w:tcPr>
          <w:p w14:paraId="3C719214"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F84415" w:rsidRPr="002B7A72" w14:paraId="7AD17E8D" w14:textId="77777777" w:rsidTr="001254BA">
        <w:trPr>
          <w:trHeight w:val="283"/>
        </w:trPr>
        <w:tc>
          <w:tcPr>
            <w:tcW w:w="3119" w:type="dxa"/>
            <w:hideMark/>
          </w:tcPr>
          <w:p w14:paraId="06A22D1D" w14:textId="13414FF3" w:rsidR="00F84415" w:rsidRPr="002B7A72" w:rsidRDefault="00F84415" w:rsidP="0052152A">
            <w:pPr>
              <w:spacing w:line="480" w:lineRule="auto"/>
              <w:rPr>
                <w:rFonts w:ascii="Arial" w:eastAsia="Times New Roman" w:hAnsi="Arial" w:cs="Arial"/>
                <w:color w:val="000000"/>
                <w:lang w:eastAsia="en-AU"/>
              </w:rPr>
            </w:pPr>
            <w:r w:rsidRPr="00E321A2">
              <w:t>Krumbholz et al., 2015</w:t>
            </w:r>
            <w:r w:rsidR="00F80429">
              <w:t xml:space="preserve"> </w:t>
            </w:r>
            <w:r w:rsidR="001C1BFC">
              <w:rPr>
                <w:noProof/>
              </w:rPr>
              <w:t>[144]</w:t>
            </w:r>
          </w:p>
        </w:tc>
        <w:tc>
          <w:tcPr>
            <w:tcW w:w="0" w:type="auto"/>
            <w:hideMark/>
          </w:tcPr>
          <w:p w14:paraId="16A95FEB" w14:textId="77777777" w:rsidR="00F84415" w:rsidRPr="002B7A72" w:rsidRDefault="00F84415" w:rsidP="0052152A">
            <w:pPr>
              <w:spacing w:line="480" w:lineRule="auto"/>
              <w:rPr>
                <w:rFonts w:ascii="Arial" w:eastAsia="Times New Roman" w:hAnsi="Arial" w:cs="Arial"/>
                <w:color w:val="000000"/>
                <w:lang w:eastAsia="en-AU"/>
              </w:rPr>
            </w:pPr>
            <w:r w:rsidRPr="00E321A2">
              <w:t>Case report</w:t>
            </w:r>
          </w:p>
        </w:tc>
      </w:tr>
      <w:tr w:rsidR="00F84415" w:rsidRPr="002B7A72" w14:paraId="6F6DA5EC" w14:textId="77777777" w:rsidTr="001254BA">
        <w:trPr>
          <w:trHeight w:val="283"/>
        </w:trPr>
        <w:tc>
          <w:tcPr>
            <w:tcW w:w="3119" w:type="dxa"/>
            <w:hideMark/>
          </w:tcPr>
          <w:p w14:paraId="51F0F2AA" w14:textId="4A05E24C" w:rsidR="00F84415" w:rsidRPr="002B7A72" w:rsidRDefault="00F84415" w:rsidP="0052152A">
            <w:pPr>
              <w:spacing w:line="480" w:lineRule="auto"/>
              <w:rPr>
                <w:rFonts w:ascii="Arial" w:eastAsia="Times New Roman" w:hAnsi="Arial" w:cs="Arial"/>
                <w:color w:val="000000"/>
                <w:lang w:eastAsia="en-AU"/>
              </w:rPr>
            </w:pPr>
            <w:r w:rsidRPr="00E321A2">
              <w:t>Lee et al., 2015</w:t>
            </w:r>
            <w:r w:rsidR="00F80429">
              <w:t xml:space="preserve"> </w:t>
            </w:r>
            <w:r w:rsidR="001C1BFC">
              <w:rPr>
                <w:noProof/>
              </w:rPr>
              <w:t>[145]</w:t>
            </w:r>
          </w:p>
        </w:tc>
        <w:tc>
          <w:tcPr>
            <w:tcW w:w="0" w:type="auto"/>
            <w:hideMark/>
          </w:tcPr>
          <w:p w14:paraId="239A3EF3" w14:textId="77777777" w:rsidR="00F84415" w:rsidRPr="002B7A72" w:rsidRDefault="00F84415" w:rsidP="0052152A">
            <w:pPr>
              <w:spacing w:line="480" w:lineRule="auto"/>
              <w:rPr>
                <w:rFonts w:ascii="Arial" w:eastAsia="Times New Roman" w:hAnsi="Arial" w:cs="Arial"/>
                <w:color w:val="000000"/>
                <w:lang w:eastAsia="en-AU"/>
              </w:rPr>
            </w:pPr>
            <w:r w:rsidRPr="00E321A2">
              <w:t>Selected population (Asian ancestry)</w:t>
            </w:r>
          </w:p>
        </w:tc>
      </w:tr>
      <w:tr w:rsidR="00F84415" w:rsidRPr="002B7A72" w14:paraId="0EFB2C20" w14:textId="77777777" w:rsidTr="001254BA">
        <w:trPr>
          <w:trHeight w:val="283"/>
        </w:trPr>
        <w:tc>
          <w:tcPr>
            <w:tcW w:w="3119" w:type="dxa"/>
            <w:hideMark/>
          </w:tcPr>
          <w:p w14:paraId="5C835109" w14:textId="01427C94" w:rsidR="00F84415" w:rsidRPr="002B7A72" w:rsidRDefault="00F84415" w:rsidP="0052152A">
            <w:pPr>
              <w:spacing w:line="480" w:lineRule="auto"/>
              <w:rPr>
                <w:rFonts w:ascii="Arial" w:eastAsia="Times New Roman" w:hAnsi="Arial" w:cs="Arial"/>
                <w:color w:val="000000"/>
                <w:lang w:eastAsia="en-AU"/>
              </w:rPr>
            </w:pPr>
            <w:r w:rsidRPr="00E321A2">
              <w:t>Lee et al., 2020</w:t>
            </w:r>
            <w:r w:rsidR="00F80429">
              <w:t xml:space="preserve"> </w:t>
            </w:r>
            <w:r w:rsidR="001C1BFC">
              <w:rPr>
                <w:noProof/>
              </w:rPr>
              <w:t>[146]</w:t>
            </w:r>
          </w:p>
        </w:tc>
        <w:tc>
          <w:tcPr>
            <w:tcW w:w="0" w:type="auto"/>
            <w:hideMark/>
          </w:tcPr>
          <w:p w14:paraId="34C89B50"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F84415" w:rsidRPr="002B7A72" w14:paraId="79D471F0" w14:textId="77777777" w:rsidTr="001254BA">
        <w:trPr>
          <w:trHeight w:val="283"/>
        </w:trPr>
        <w:tc>
          <w:tcPr>
            <w:tcW w:w="3119" w:type="dxa"/>
            <w:hideMark/>
          </w:tcPr>
          <w:p w14:paraId="54D875DB" w14:textId="3B854E16" w:rsidR="00F84415" w:rsidRPr="002B7A72" w:rsidRDefault="00F84415" w:rsidP="0052152A">
            <w:pPr>
              <w:spacing w:line="480" w:lineRule="auto"/>
              <w:rPr>
                <w:rFonts w:ascii="Arial" w:eastAsia="Times New Roman" w:hAnsi="Arial" w:cs="Arial"/>
                <w:color w:val="000000"/>
                <w:lang w:eastAsia="en-AU"/>
              </w:rPr>
            </w:pPr>
            <w:r w:rsidRPr="00E321A2">
              <w:t>Li et al., 2021</w:t>
            </w:r>
            <w:r w:rsidR="00F80429">
              <w:t xml:space="preserve"> </w:t>
            </w:r>
            <w:r w:rsidR="001C1BFC">
              <w:rPr>
                <w:noProof/>
              </w:rPr>
              <w:t>[147]</w:t>
            </w:r>
          </w:p>
        </w:tc>
        <w:tc>
          <w:tcPr>
            <w:tcW w:w="0" w:type="auto"/>
            <w:hideMark/>
          </w:tcPr>
          <w:p w14:paraId="0F2E2F2C" w14:textId="77777777" w:rsidR="00F84415" w:rsidRPr="002B7A72" w:rsidRDefault="00F84415" w:rsidP="0052152A">
            <w:pPr>
              <w:spacing w:line="480" w:lineRule="auto"/>
              <w:rPr>
                <w:rFonts w:ascii="Arial" w:eastAsia="Times New Roman" w:hAnsi="Arial" w:cs="Arial"/>
                <w:color w:val="000000"/>
                <w:lang w:eastAsia="en-AU"/>
              </w:rPr>
            </w:pPr>
            <w:r w:rsidRPr="00E321A2">
              <w:t>Selected population (highly active NMSOD)</w:t>
            </w:r>
          </w:p>
        </w:tc>
      </w:tr>
      <w:tr w:rsidR="00F84415" w:rsidRPr="002B7A72" w14:paraId="5DE8785D" w14:textId="77777777" w:rsidTr="001254BA">
        <w:trPr>
          <w:trHeight w:val="283"/>
        </w:trPr>
        <w:tc>
          <w:tcPr>
            <w:tcW w:w="3119" w:type="dxa"/>
            <w:hideMark/>
          </w:tcPr>
          <w:p w14:paraId="662404EA" w14:textId="2A3C14EB" w:rsidR="00F84415" w:rsidRPr="002B7A72" w:rsidRDefault="00F84415" w:rsidP="0052152A">
            <w:pPr>
              <w:spacing w:line="480" w:lineRule="auto"/>
              <w:rPr>
                <w:rFonts w:ascii="Arial" w:eastAsia="Times New Roman" w:hAnsi="Arial" w:cs="Arial"/>
                <w:color w:val="000000"/>
                <w:lang w:eastAsia="en-AU"/>
              </w:rPr>
            </w:pPr>
            <w:r w:rsidRPr="00E321A2">
              <w:t>Marignier et al., 2017</w:t>
            </w:r>
            <w:r w:rsidR="00F80429">
              <w:t xml:space="preserve"> </w:t>
            </w:r>
            <w:r w:rsidR="001C1BFC">
              <w:rPr>
                <w:noProof/>
              </w:rPr>
              <w:t>[148]</w:t>
            </w:r>
          </w:p>
        </w:tc>
        <w:tc>
          <w:tcPr>
            <w:tcW w:w="0" w:type="auto"/>
            <w:hideMark/>
          </w:tcPr>
          <w:p w14:paraId="0EDD613F" w14:textId="77777777" w:rsidR="00F84415" w:rsidRPr="002B7A72" w:rsidRDefault="00F84415" w:rsidP="0052152A">
            <w:pPr>
              <w:spacing w:line="480" w:lineRule="auto"/>
              <w:rPr>
                <w:rFonts w:ascii="Arial" w:eastAsia="Times New Roman" w:hAnsi="Arial" w:cs="Arial"/>
                <w:color w:val="000000"/>
                <w:lang w:eastAsia="en-AU"/>
              </w:rPr>
            </w:pPr>
            <w:r w:rsidRPr="00E321A2">
              <w:t>Review article</w:t>
            </w:r>
          </w:p>
        </w:tc>
      </w:tr>
      <w:tr w:rsidR="00F84415" w:rsidRPr="002B7A72" w14:paraId="47F2F8AA" w14:textId="77777777" w:rsidTr="001254BA">
        <w:trPr>
          <w:trHeight w:val="283"/>
        </w:trPr>
        <w:tc>
          <w:tcPr>
            <w:tcW w:w="3119" w:type="dxa"/>
            <w:hideMark/>
          </w:tcPr>
          <w:p w14:paraId="3A5E76C1" w14:textId="0D9F0EB1" w:rsidR="00F84415" w:rsidRPr="002B7A72" w:rsidRDefault="00F84415" w:rsidP="0052152A">
            <w:pPr>
              <w:spacing w:line="480" w:lineRule="auto"/>
              <w:rPr>
                <w:rFonts w:ascii="Arial" w:eastAsia="Times New Roman" w:hAnsi="Arial" w:cs="Arial"/>
                <w:color w:val="000000"/>
                <w:lang w:eastAsia="en-AU"/>
              </w:rPr>
            </w:pPr>
            <w:r w:rsidRPr="00E321A2">
              <w:t>Mealy et al., 2012</w:t>
            </w:r>
            <w:r w:rsidR="00F80429">
              <w:t xml:space="preserve"> </w:t>
            </w:r>
            <w:r w:rsidR="001C1BFC">
              <w:rPr>
                <w:noProof/>
              </w:rPr>
              <w:t>[149]</w:t>
            </w:r>
          </w:p>
        </w:tc>
        <w:tc>
          <w:tcPr>
            <w:tcW w:w="0" w:type="auto"/>
            <w:hideMark/>
          </w:tcPr>
          <w:p w14:paraId="54FEA453" w14:textId="5A076EC2" w:rsidR="00F84415" w:rsidRPr="002B7A72" w:rsidRDefault="00F84415" w:rsidP="0052152A">
            <w:pPr>
              <w:spacing w:line="480" w:lineRule="auto"/>
              <w:rPr>
                <w:rFonts w:ascii="Arial" w:eastAsia="Times New Roman" w:hAnsi="Arial" w:cs="Arial"/>
                <w:color w:val="000000"/>
                <w:lang w:eastAsia="en-AU"/>
              </w:rPr>
            </w:pPr>
            <w:r w:rsidRPr="00E321A2">
              <w:t>Subsequently updated (Mealy et al., 2018)</w:t>
            </w:r>
            <w:r w:rsidR="00F80429">
              <w:t xml:space="preserve"> </w:t>
            </w:r>
            <w:r w:rsidR="001C1BFC">
              <w:rPr>
                <w:noProof/>
              </w:rPr>
              <w:t>[66]</w:t>
            </w:r>
          </w:p>
        </w:tc>
      </w:tr>
      <w:tr w:rsidR="00F84415" w:rsidRPr="002B7A72" w14:paraId="6CBD2CE8" w14:textId="77777777" w:rsidTr="001254BA">
        <w:trPr>
          <w:trHeight w:val="283"/>
        </w:trPr>
        <w:tc>
          <w:tcPr>
            <w:tcW w:w="3119" w:type="dxa"/>
            <w:hideMark/>
          </w:tcPr>
          <w:p w14:paraId="5B583C6D" w14:textId="02E6B546" w:rsidR="00F84415" w:rsidRPr="002B7A72" w:rsidRDefault="00F84415" w:rsidP="0052152A">
            <w:pPr>
              <w:spacing w:line="480" w:lineRule="auto"/>
              <w:rPr>
                <w:rFonts w:ascii="Arial" w:eastAsia="Times New Roman" w:hAnsi="Arial" w:cs="Arial"/>
                <w:color w:val="000000"/>
                <w:lang w:eastAsia="en-AU"/>
              </w:rPr>
            </w:pPr>
            <w:r w:rsidRPr="00E321A2">
              <w:t>O'Connell et al., 2020</w:t>
            </w:r>
            <w:r w:rsidR="00F80429">
              <w:t xml:space="preserve"> </w:t>
            </w:r>
            <w:r w:rsidR="001C1BFC">
              <w:rPr>
                <w:noProof/>
              </w:rPr>
              <w:t>[150]</w:t>
            </w:r>
          </w:p>
        </w:tc>
        <w:tc>
          <w:tcPr>
            <w:tcW w:w="0" w:type="auto"/>
            <w:hideMark/>
          </w:tcPr>
          <w:p w14:paraId="63130BEB"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F84415" w:rsidRPr="002B7A72" w14:paraId="7E399A2E" w14:textId="77777777" w:rsidTr="001254BA">
        <w:trPr>
          <w:trHeight w:val="283"/>
        </w:trPr>
        <w:tc>
          <w:tcPr>
            <w:tcW w:w="3119" w:type="dxa"/>
            <w:hideMark/>
          </w:tcPr>
          <w:p w14:paraId="3070A7C2" w14:textId="0F5658C7" w:rsidR="00F84415" w:rsidRPr="002B7A72" w:rsidRDefault="00F84415" w:rsidP="0052152A">
            <w:pPr>
              <w:spacing w:line="480" w:lineRule="auto"/>
              <w:rPr>
                <w:rFonts w:ascii="Arial" w:eastAsia="Times New Roman" w:hAnsi="Arial" w:cs="Arial"/>
                <w:color w:val="000000"/>
                <w:lang w:eastAsia="en-AU"/>
              </w:rPr>
            </w:pPr>
            <w:r w:rsidRPr="00E321A2">
              <w:t>Ortiz Salas et al., 202</w:t>
            </w:r>
            <w:r w:rsidR="00042E89">
              <w:t>2</w:t>
            </w:r>
            <w:r w:rsidR="00F80429">
              <w:t xml:space="preserve"> </w:t>
            </w:r>
            <w:r w:rsidR="001C1BFC">
              <w:rPr>
                <w:noProof/>
              </w:rPr>
              <w:t>[151]</w:t>
            </w:r>
          </w:p>
        </w:tc>
        <w:tc>
          <w:tcPr>
            <w:tcW w:w="0" w:type="auto"/>
            <w:hideMark/>
          </w:tcPr>
          <w:p w14:paraId="6CE09178" w14:textId="77777777" w:rsidR="00F84415" w:rsidRPr="002B7A72" w:rsidRDefault="00F84415" w:rsidP="0052152A">
            <w:pPr>
              <w:spacing w:line="480" w:lineRule="auto"/>
              <w:rPr>
                <w:rFonts w:ascii="Arial" w:eastAsia="Times New Roman" w:hAnsi="Arial" w:cs="Arial"/>
                <w:color w:val="000000"/>
                <w:lang w:eastAsia="en-AU"/>
              </w:rPr>
            </w:pPr>
            <w:r w:rsidRPr="00E321A2">
              <w:t>Non-English</w:t>
            </w:r>
          </w:p>
        </w:tc>
      </w:tr>
      <w:tr w:rsidR="00F84415" w:rsidRPr="002B7A72" w14:paraId="0632AFEC" w14:textId="77777777" w:rsidTr="001254BA">
        <w:trPr>
          <w:trHeight w:val="283"/>
        </w:trPr>
        <w:tc>
          <w:tcPr>
            <w:tcW w:w="3119" w:type="dxa"/>
            <w:hideMark/>
          </w:tcPr>
          <w:p w14:paraId="02DCE501" w14:textId="6BE360A1" w:rsidR="00F84415" w:rsidRPr="002B7A72" w:rsidRDefault="00F84415" w:rsidP="0052152A">
            <w:pPr>
              <w:spacing w:line="480" w:lineRule="auto"/>
              <w:rPr>
                <w:rFonts w:ascii="Arial" w:eastAsia="Times New Roman" w:hAnsi="Arial" w:cs="Arial"/>
                <w:color w:val="000000"/>
                <w:lang w:eastAsia="en-AU"/>
              </w:rPr>
            </w:pPr>
            <w:r w:rsidRPr="00E321A2">
              <w:t>Papp et al., 2018</w:t>
            </w:r>
            <w:r w:rsidR="00F80429">
              <w:t xml:space="preserve"> </w:t>
            </w:r>
            <w:r w:rsidR="001C1BFC">
              <w:rPr>
                <w:noProof/>
              </w:rPr>
              <w:t>[152]</w:t>
            </w:r>
          </w:p>
        </w:tc>
        <w:tc>
          <w:tcPr>
            <w:tcW w:w="0" w:type="auto"/>
            <w:hideMark/>
          </w:tcPr>
          <w:p w14:paraId="6F4A0870" w14:textId="4C774DE3" w:rsidR="00F84415" w:rsidRPr="002B7A72" w:rsidRDefault="00F84415" w:rsidP="0052152A">
            <w:pPr>
              <w:spacing w:line="480" w:lineRule="auto"/>
              <w:rPr>
                <w:rFonts w:ascii="Arial" w:eastAsia="Times New Roman" w:hAnsi="Arial" w:cs="Arial"/>
                <w:color w:val="000000"/>
                <w:lang w:eastAsia="en-AU"/>
              </w:rPr>
            </w:pPr>
            <w:r w:rsidRPr="00E321A2">
              <w:t>Subsequently updated (Papp et al., 2021b)</w:t>
            </w:r>
            <w:r w:rsidR="00F80429">
              <w:t xml:space="preserve"> </w:t>
            </w:r>
            <w:r w:rsidR="001C1BFC">
              <w:rPr>
                <w:noProof/>
              </w:rPr>
              <w:t>[74]</w:t>
            </w:r>
          </w:p>
        </w:tc>
      </w:tr>
      <w:tr w:rsidR="00F84415" w:rsidRPr="002B7A72" w14:paraId="0D2023BF" w14:textId="77777777" w:rsidTr="001254BA">
        <w:trPr>
          <w:trHeight w:val="283"/>
        </w:trPr>
        <w:tc>
          <w:tcPr>
            <w:tcW w:w="3119" w:type="dxa"/>
            <w:hideMark/>
          </w:tcPr>
          <w:p w14:paraId="6193A542" w14:textId="49AE8095" w:rsidR="00F84415" w:rsidRPr="002B7A72" w:rsidRDefault="00F84415" w:rsidP="0052152A">
            <w:pPr>
              <w:spacing w:line="480" w:lineRule="auto"/>
              <w:rPr>
                <w:rFonts w:ascii="Arial" w:eastAsia="Times New Roman" w:hAnsi="Arial" w:cs="Arial"/>
                <w:color w:val="000000"/>
                <w:lang w:eastAsia="en-AU"/>
              </w:rPr>
            </w:pPr>
            <w:r w:rsidRPr="00E321A2">
              <w:t>Park et al., 2014</w:t>
            </w:r>
            <w:r w:rsidR="00F80429">
              <w:t xml:space="preserve"> </w:t>
            </w:r>
            <w:r w:rsidR="001C1BFC">
              <w:rPr>
                <w:noProof/>
              </w:rPr>
              <w:t>[153]</w:t>
            </w:r>
          </w:p>
        </w:tc>
        <w:tc>
          <w:tcPr>
            <w:tcW w:w="0" w:type="auto"/>
            <w:hideMark/>
          </w:tcPr>
          <w:p w14:paraId="7837BB7A" w14:textId="1F4DA75C" w:rsidR="00F84415" w:rsidRPr="002B7A72" w:rsidRDefault="00F84415" w:rsidP="0052152A">
            <w:pPr>
              <w:spacing w:line="480" w:lineRule="auto"/>
              <w:rPr>
                <w:rFonts w:ascii="Arial" w:eastAsia="Times New Roman" w:hAnsi="Arial" w:cs="Arial"/>
                <w:color w:val="000000"/>
                <w:lang w:eastAsia="en-AU"/>
              </w:rPr>
            </w:pPr>
            <w:r w:rsidRPr="00E321A2">
              <w:t>Previously described population (Kim et al., 2012)</w:t>
            </w:r>
            <w:r w:rsidR="00F80429">
              <w:t xml:space="preserve"> </w:t>
            </w:r>
            <w:r w:rsidR="001C1BFC">
              <w:rPr>
                <w:noProof/>
              </w:rPr>
              <w:t>[62]</w:t>
            </w:r>
          </w:p>
        </w:tc>
      </w:tr>
      <w:tr w:rsidR="00F84415" w:rsidRPr="002B7A72" w14:paraId="5634B594" w14:textId="77777777" w:rsidTr="001254BA">
        <w:trPr>
          <w:trHeight w:val="283"/>
        </w:trPr>
        <w:tc>
          <w:tcPr>
            <w:tcW w:w="3119" w:type="dxa"/>
            <w:hideMark/>
          </w:tcPr>
          <w:p w14:paraId="25080392" w14:textId="7C6137BE" w:rsidR="00F84415" w:rsidRPr="002B7A72" w:rsidRDefault="00F84415" w:rsidP="0052152A">
            <w:pPr>
              <w:spacing w:line="480" w:lineRule="auto"/>
              <w:rPr>
                <w:rFonts w:ascii="Arial" w:eastAsia="Times New Roman" w:hAnsi="Arial" w:cs="Arial"/>
                <w:color w:val="000000"/>
                <w:lang w:eastAsia="en-AU"/>
              </w:rPr>
            </w:pPr>
            <w:r w:rsidRPr="00E321A2">
              <w:t>Pittock et al., 2014</w:t>
            </w:r>
            <w:r w:rsidR="00F80429">
              <w:t xml:space="preserve"> </w:t>
            </w:r>
            <w:r w:rsidR="001C1BFC">
              <w:rPr>
                <w:noProof/>
              </w:rPr>
              <w:t>[154]</w:t>
            </w:r>
          </w:p>
        </w:tc>
        <w:tc>
          <w:tcPr>
            <w:tcW w:w="0" w:type="auto"/>
            <w:hideMark/>
          </w:tcPr>
          <w:p w14:paraId="3F7DBFD2" w14:textId="77777777" w:rsidR="00F84415" w:rsidRPr="002B7A72" w:rsidRDefault="00F84415" w:rsidP="0052152A">
            <w:pPr>
              <w:spacing w:line="480" w:lineRule="auto"/>
              <w:rPr>
                <w:rFonts w:ascii="Arial" w:eastAsia="Times New Roman" w:hAnsi="Arial" w:cs="Arial"/>
                <w:color w:val="000000"/>
                <w:lang w:eastAsia="en-AU"/>
              </w:rPr>
            </w:pPr>
            <w:r w:rsidRPr="00E321A2">
              <w:t>Selected population (previously diagnosed as MS)</w:t>
            </w:r>
          </w:p>
        </w:tc>
      </w:tr>
      <w:tr w:rsidR="00F84415" w:rsidRPr="002B7A72" w14:paraId="1CB36E77" w14:textId="77777777" w:rsidTr="001254BA">
        <w:trPr>
          <w:trHeight w:val="283"/>
        </w:trPr>
        <w:tc>
          <w:tcPr>
            <w:tcW w:w="3119" w:type="dxa"/>
            <w:hideMark/>
          </w:tcPr>
          <w:p w14:paraId="3F26C3E2" w14:textId="17C6A9EC" w:rsidR="00F84415" w:rsidRPr="002B7A72" w:rsidRDefault="00F84415" w:rsidP="0052152A">
            <w:pPr>
              <w:spacing w:line="480" w:lineRule="auto"/>
              <w:rPr>
                <w:rFonts w:ascii="Arial" w:eastAsia="Times New Roman" w:hAnsi="Arial" w:cs="Arial"/>
                <w:color w:val="000000"/>
                <w:lang w:eastAsia="en-AU"/>
              </w:rPr>
            </w:pPr>
            <w:r w:rsidRPr="00E321A2">
              <w:t>R</w:t>
            </w:r>
            <w:r w:rsidR="004313AF">
              <w:t>e</w:t>
            </w:r>
            <w:r w:rsidRPr="00E321A2">
              <w:t>zaeimanesh et al., 2020</w:t>
            </w:r>
            <w:r w:rsidR="00F80429">
              <w:t xml:space="preserve"> </w:t>
            </w:r>
            <w:r w:rsidR="001C1BFC">
              <w:rPr>
                <w:noProof/>
              </w:rPr>
              <w:t>[155]</w:t>
            </w:r>
          </w:p>
        </w:tc>
        <w:tc>
          <w:tcPr>
            <w:tcW w:w="0" w:type="auto"/>
            <w:hideMark/>
          </w:tcPr>
          <w:p w14:paraId="4D359C21" w14:textId="77777777" w:rsidR="00F84415" w:rsidRPr="002B7A72" w:rsidRDefault="00F84415" w:rsidP="0052152A">
            <w:pPr>
              <w:spacing w:line="480" w:lineRule="auto"/>
              <w:rPr>
                <w:rFonts w:ascii="Arial" w:eastAsia="Times New Roman" w:hAnsi="Arial" w:cs="Arial"/>
                <w:color w:val="000000"/>
                <w:lang w:eastAsia="en-AU"/>
              </w:rPr>
            </w:pPr>
            <w:r w:rsidRPr="00E321A2">
              <w:t>No relevant data</w:t>
            </w:r>
          </w:p>
        </w:tc>
      </w:tr>
      <w:tr w:rsidR="00F84415" w:rsidRPr="002B7A72" w14:paraId="32C50965" w14:textId="77777777" w:rsidTr="001254BA">
        <w:trPr>
          <w:trHeight w:val="283"/>
        </w:trPr>
        <w:tc>
          <w:tcPr>
            <w:tcW w:w="3119" w:type="dxa"/>
            <w:hideMark/>
          </w:tcPr>
          <w:p w14:paraId="2AA181DB" w14:textId="0F1DB5C3" w:rsidR="00F84415" w:rsidRPr="002B7A72" w:rsidRDefault="00F84415" w:rsidP="0052152A">
            <w:pPr>
              <w:spacing w:line="480" w:lineRule="auto"/>
              <w:rPr>
                <w:rFonts w:ascii="Arial" w:eastAsia="Times New Roman" w:hAnsi="Arial" w:cs="Arial"/>
                <w:color w:val="000000"/>
                <w:lang w:eastAsia="en-AU"/>
              </w:rPr>
            </w:pPr>
            <w:r w:rsidRPr="00E321A2">
              <w:t>Sahraian et al., 2010</w:t>
            </w:r>
            <w:r w:rsidR="00F80429">
              <w:t xml:space="preserve"> </w:t>
            </w:r>
            <w:r w:rsidR="001C1BFC">
              <w:rPr>
                <w:noProof/>
              </w:rPr>
              <w:t>[156]</w:t>
            </w:r>
          </w:p>
        </w:tc>
        <w:tc>
          <w:tcPr>
            <w:tcW w:w="0" w:type="auto"/>
            <w:hideMark/>
          </w:tcPr>
          <w:p w14:paraId="10FF71FF" w14:textId="2AE7C11D" w:rsidR="00F84415" w:rsidRPr="002B7A72" w:rsidRDefault="00F84415" w:rsidP="0052152A">
            <w:pPr>
              <w:spacing w:line="480" w:lineRule="auto"/>
              <w:rPr>
                <w:rFonts w:ascii="Arial" w:eastAsia="Times New Roman" w:hAnsi="Arial" w:cs="Arial"/>
                <w:color w:val="000000"/>
                <w:lang w:eastAsia="en-AU"/>
              </w:rPr>
            </w:pPr>
            <w:r w:rsidRPr="00E321A2">
              <w:t>Subsequently update (Eskandarieh et al., 2017)</w:t>
            </w:r>
            <w:r w:rsidR="006D61B8">
              <w:t xml:space="preserve"> </w:t>
            </w:r>
            <w:r w:rsidR="001C1BFC">
              <w:rPr>
                <w:noProof/>
              </w:rPr>
              <w:t>[47]</w:t>
            </w:r>
          </w:p>
        </w:tc>
      </w:tr>
      <w:tr w:rsidR="00F84415" w:rsidRPr="002B7A72" w14:paraId="62B828A4" w14:textId="77777777" w:rsidTr="001254BA">
        <w:trPr>
          <w:trHeight w:val="283"/>
        </w:trPr>
        <w:tc>
          <w:tcPr>
            <w:tcW w:w="3119" w:type="dxa"/>
            <w:hideMark/>
          </w:tcPr>
          <w:p w14:paraId="4C0645A7" w14:textId="7BD5CA90" w:rsidR="00F84415" w:rsidRPr="002B7A72" w:rsidRDefault="00F84415" w:rsidP="0052152A">
            <w:pPr>
              <w:spacing w:line="480" w:lineRule="auto"/>
              <w:rPr>
                <w:rFonts w:ascii="Arial" w:eastAsia="Times New Roman" w:hAnsi="Arial" w:cs="Arial"/>
                <w:color w:val="000000"/>
                <w:lang w:eastAsia="en-AU"/>
              </w:rPr>
            </w:pPr>
            <w:r w:rsidRPr="00E321A2">
              <w:t>Saiz et al., 2007</w:t>
            </w:r>
            <w:r w:rsidR="006D61B8">
              <w:t xml:space="preserve"> </w:t>
            </w:r>
            <w:r w:rsidR="001C1BFC">
              <w:rPr>
                <w:noProof/>
              </w:rPr>
              <w:t>[157]</w:t>
            </w:r>
          </w:p>
        </w:tc>
        <w:tc>
          <w:tcPr>
            <w:tcW w:w="0" w:type="auto"/>
            <w:hideMark/>
          </w:tcPr>
          <w:p w14:paraId="27AAE8F8" w14:textId="22D6B5DC" w:rsidR="00F84415" w:rsidRPr="002B7A72" w:rsidRDefault="00F84415" w:rsidP="0052152A">
            <w:pPr>
              <w:spacing w:line="480" w:lineRule="auto"/>
              <w:rPr>
                <w:rFonts w:ascii="Arial" w:eastAsia="Times New Roman" w:hAnsi="Arial" w:cs="Arial"/>
                <w:color w:val="000000"/>
                <w:lang w:eastAsia="en-AU"/>
              </w:rPr>
            </w:pPr>
            <w:r w:rsidRPr="00E321A2">
              <w:t>Subsequently updated (Sepulveda et al., 2016)</w:t>
            </w:r>
            <w:r w:rsidR="006D61B8">
              <w:t xml:space="preserve"> </w:t>
            </w:r>
            <w:r w:rsidR="001C1BFC">
              <w:rPr>
                <w:noProof/>
              </w:rPr>
              <w:t>[80]</w:t>
            </w:r>
          </w:p>
        </w:tc>
      </w:tr>
      <w:tr w:rsidR="00F84415" w:rsidRPr="002B7A72" w14:paraId="77AEDFC3" w14:textId="77777777" w:rsidTr="001254BA">
        <w:trPr>
          <w:trHeight w:val="283"/>
        </w:trPr>
        <w:tc>
          <w:tcPr>
            <w:tcW w:w="3119" w:type="dxa"/>
            <w:hideMark/>
          </w:tcPr>
          <w:p w14:paraId="4DFBFE68" w14:textId="1A1AB803" w:rsidR="00F84415" w:rsidRPr="002B7A72" w:rsidRDefault="00F84415" w:rsidP="0052152A">
            <w:pPr>
              <w:spacing w:line="480" w:lineRule="auto"/>
              <w:rPr>
                <w:rFonts w:ascii="Arial" w:eastAsia="Times New Roman" w:hAnsi="Arial" w:cs="Arial"/>
                <w:color w:val="000000"/>
                <w:lang w:eastAsia="en-AU"/>
              </w:rPr>
            </w:pPr>
            <w:r w:rsidRPr="00E321A2">
              <w:lastRenderedPageBreak/>
              <w:t>Sepulveda et al., 2018</w:t>
            </w:r>
            <w:r w:rsidR="006D61B8">
              <w:t xml:space="preserve"> </w:t>
            </w:r>
            <w:r w:rsidR="001C1BFC">
              <w:rPr>
                <w:noProof/>
              </w:rPr>
              <w:t>[158]</w:t>
            </w:r>
          </w:p>
        </w:tc>
        <w:tc>
          <w:tcPr>
            <w:tcW w:w="0" w:type="auto"/>
            <w:hideMark/>
          </w:tcPr>
          <w:p w14:paraId="575BCC06" w14:textId="230401D6" w:rsidR="00F84415" w:rsidRPr="002B7A72" w:rsidRDefault="00F84415" w:rsidP="0052152A">
            <w:pPr>
              <w:spacing w:line="480" w:lineRule="auto"/>
              <w:rPr>
                <w:rFonts w:ascii="Arial" w:eastAsia="Times New Roman" w:hAnsi="Arial" w:cs="Arial"/>
                <w:color w:val="000000"/>
                <w:lang w:eastAsia="en-AU"/>
              </w:rPr>
            </w:pPr>
            <w:r w:rsidRPr="00E321A2">
              <w:t>Previously described population (Sepulveda et al., 2016)</w:t>
            </w:r>
            <w:r w:rsidR="006D61B8">
              <w:t xml:space="preserve"> </w:t>
            </w:r>
            <w:r w:rsidR="001C1BFC">
              <w:rPr>
                <w:noProof/>
              </w:rPr>
              <w:t>[80]</w:t>
            </w:r>
          </w:p>
        </w:tc>
      </w:tr>
      <w:tr w:rsidR="00F84415" w:rsidRPr="002B7A72" w14:paraId="018219D7" w14:textId="77777777" w:rsidTr="001254BA">
        <w:trPr>
          <w:trHeight w:val="283"/>
        </w:trPr>
        <w:tc>
          <w:tcPr>
            <w:tcW w:w="3119" w:type="dxa"/>
            <w:hideMark/>
          </w:tcPr>
          <w:p w14:paraId="0ACB3707" w14:textId="5D404E82" w:rsidR="00F84415" w:rsidRPr="002B7A72" w:rsidRDefault="00F84415" w:rsidP="0052152A">
            <w:pPr>
              <w:spacing w:line="480" w:lineRule="auto"/>
              <w:rPr>
                <w:rFonts w:ascii="Arial" w:eastAsia="Times New Roman" w:hAnsi="Arial" w:cs="Arial"/>
                <w:color w:val="000000"/>
                <w:lang w:eastAsia="en-AU"/>
              </w:rPr>
            </w:pPr>
            <w:r w:rsidRPr="00E321A2">
              <w:t>Simaniv et al., 2021</w:t>
            </w:r>
            <w:r w:rsidR="006D61B8">
              <w:t xml:space="preserve"> </w:t>
            </w:r>
            <w:r w:rsidR="001C1BFC">
              <w:rPr>
                <w:noProof/>
              </w:rPr>
              <w:t>[159]</w:t>
            </w:r>
          </w:p>
        </w:tc>
        <w:tc>
          <w:tcPr>
            <w:tcW w:w="0" w:type="auto"/>
            <w:hideMark/>
          </w:tcPr>
          <w:p w14:paraId="310AAC56" w14:textId="77777777" w:rsidR="00F84415" w:rsidRPr="002B7A72" w:rsidRDefault="00F84415" w:rsidP="0052152A">
            <w:pPr>
              <w:spacing w:line="480" w:lineRule="auto"/>
              <w:rPr>
                <w:rFonts w:ascii="Arial" w:eastAsia="Times New Roman" w:hAnsi="Arial" w:cs="Arial"/>
                <w:color w:val="000000"/>
                <w:lang w:eastAsia="en-AU"/>
              </w:rPr>
            </w:pPr>
            <w:r w:rsidRPr="00E321A2">
              <w:t>Non-English</w:t>
            </w:r>
          </w:p>
        </w:tc>
      </w:tr>
      <w:tr w:rsidR="00F84415" w:rsidRPr="002B7A72" w14:paraId="435127FF" w14:textId="77777777" w:rsidTr="001254BA">
        <w:trPr>
          <w:trHeight w:val="283"/>
        </w:trPr>
        <w:tc>
          <w:tcPr>
            <w:tcW w:w="3119" w:type="dxa"/>
            <w:hideMark/>
          </w:tcPr>
          <w:p w14:paraId="7726023A" w14:textId="223DD659" w:rsidR="00F84415" w:rsidRPr="002B7A72" w:rsidRDefault="00F84415" w:rsidP="0052152A">
            <w:pPr>
              <w:spacing w:line="480" w:lineRule="auto"/>
              <w:rPr>
                <w:rFonts w:ascii="Arial" w:eastAsia="Times New Roman" w:hAnsi="Arial" w:cs="Arial"/>
                <w:color w:val="000000"/>
                <w:lang w:eastAsia="en-AU"/>
              </w:rPr>
            </w:pPr>
            <w:r w:rsidRPr="00E321A2">
              <w:t>Vanikieti et al., 2017</w:t>
            </w:r>
            <w:r w:rsidR="006D61B8">
              <w:t xml:space="preserve"> </w:t>
            </w:r>
            <w:r w:rsidR="001C1BFC">
              <w:rPr>
                <w:noProof/>
              </w:rPr>
              <w:t>[160]</w:t>
            </w:r>
          </w:p>
        </w:tc>
        <w:tc>
          <w:tcPr>
            <w:tcW w:w="0" w:type="auto"/>
            <w:hideMark/>
          </w:tcPr>
          <w:p w14:paraId="083062F6" w14:textId="77777777" w:rsidR="00F84415" w:rsidRPr="002B7A72" w:rsidRDefault="00F84415" w:rsidP="0052152A">
            <w:pPr>
              <w:spacing w:line="480" w:lineRule="auto"/>
              <w:rPr>
                <w:rFonts w:ascii="Arial" w:eastAsia="Times New Roman" w:hAnsi="Arial" w:cs="Arial"/>
                <w:color w:val="000000"/>
                <w:lang w:eastAsia="en-AU"/>
              </w:rPr>
            </w:pPr>
            <w:r w:rsidRPr="00E321A2">
              <w:t>Selected population (NMOSD with ON)</w:t>
            </w:r>
          </w:p>
        </w:tc>
      </w:tr>
      <w:tr w:rsidR="00E5651B" w:rsidRPr="002B7A72" w14:paraId="51E5B9EE" w14:textId="77777777" w:rsidTr="001254BA">
        <w:trPr>
          <w:trHeight w:val="283"/>
        </w:trPr>
        <w:tc>
          <w:tcPr>
            <w:tcW w:w="3119" w:type="dxa"/>
          </w:tcPr>
          <w:p w14:paraId="4803A0C3" w14:textId="0CF6E8EA" w:rsidR="00E5651B" w:rsidRPr="00E321A2" w:rsidRDefault="00E5651B" w:rsidP="0065273D">
            <w:pPr>
              <w:spacing w:before="240" w:line="480" w:lineRule="auto"/>
            </w:pPr>
            <w:r>
              <w:t>Wang et al.,</w:t>
            </w:r>
            <w:r w:rsidR="00B43D35">
              <w:t xml:space="preserve"> 2011</w:t>
            </w:r>
            <w:r w:rsidR="006D61B8">
              <w:t xml:space="preserve"> </w:t>
            </w:r>
            <w:r w:rsidR="001C1BFC">
              <w:rPr>
                <w:noProof/>
              </w:rPr>
              <w:t>[161]</w:t>
            </w:r>
          </w:p>
        </w:tc>
        <w:tc>
          <w:tcPr>
            <w:tcW w:w="0" w:type="auto"/>
          </w:tcPr>
          <w:p w14:paraId="4E3B3ED1" w14:textId="7082D0CF" w:rsidR="00E5651B" w:rsidRPr="00E321A2" w:rsidRDefault="00B43D35" w:rsidP="0065273D">
            <w:pPr>
              <w:spacing w:before="240" w:line="480" w:lineRule="auto"/>
            </w:pPr>
            <w:r>
              <w:t>Selected population (genetic analysis of NMOSD)</w:t>
            </w:r>
          </w:p>
        </w:tc>
      </w:tr>
      <w:tr w:rsidR="00F84415" w:rsidRPr="002B7A72" w14:paraId="2B401C41" w14:textId="77777777" w:rsidTr="001254BA">
        <w:trPr>
          <w:trHeight w:val="283"/>
        </w:trPr>
        <w:tc>
          <w:tcPr>
            <w:tcW w:w="3119" w:type="dxa"/>
            <w:hideMark/>
          </w:tcPr>
          <w:p w14:paraId="48F5392B" w14:textId="210C2A5A" w:rsidR="00F84415" w:rsidRPr="002B7A72" w:rsidRDefault="00F84415" w:rsidP="0052152A">
            <w:pPr>
              <w:spacing w:line="480" w:lineRule="auto"/>
              <w:rPr>
                <w:rFonts w:ascii="Arial" w:eastAsia="Times New Roman" w:hAnsi="Arial" w:cs="Arial"/>
                <w:color w:val="000000"/>
                <w:lang w:eastAsia="en-AU"/>
              </w:rPr>
            </w:pPr>
            <w:r w:rsidRPr="00E321A2">
              <w:t>Wingerchuk et al., 2009</w:t>
            </w:r>
            <w:r w:rsidR="006D61B8">
              <w:t xml:space="preserve"> </w:t>
            </w:r>
            <w:r w:rsidR="008644DF">
              <w:rPr>
                <w:noProof/>
              </w:rPr>
              <w:t>[9]</w:t>
            </w:r>
          </w:p>
        </w:tc>
        <w:tc>
          <w:tcPr>
            <w:tcW w:w="0" w:type="auto"/>
            <w:hideMark/>
          </w:tcPr>
          <w:p w14:paraId="029F1047" w14:textId="77777777" w:rsidR="00F84415" w:rsidRPr="002B7A72" w:rsidRDefault="00F84415" w:rsidP="0052152A">
            <w:pPr>
              <w:spacing w:line="480" w:lineRule="auto"/>
              <w:rPr>
                <w:rFonts w:ascii="Arial" w:eastAsia="Times New Roman" w:hAnsi="Arial" w:cs="Arial"/>
                <w:color w:val="000000"/>
                <w:lang w:eastAsia="en-AU"/>
              </w:rPr>
            </w:pPr>
            <w:r w:rsidRPr="00E321A2">
              <w:t>Review article</w:t>
            </w:r>
          </w:p>
        </w:tc>
      </w:tr>
    </w:tbl>
    <w:p w14:paraId="5588C6C0" w14:textId="77777777" w:rsidR="00F84415" w:rsidRPr="002B7A72" w:rsidRDefault="00F84415" w:rsidP="00F84415">
      <w:pPr>
        <w:rPr>
          <w:rFonts w:ascii="Arial" w:hAnsi="Arial" w:cs="Arial"/>
        </w:rPr>
      </w:pPr>
    </w:p>
    <w:p w14:paraId="41D61CFF" w14:textId="77777777" w:rsidR="000670CD" w:rsidRDefault="000670CD" w:rsidP="008A7603">
      <w:pPr>
        <w:spacing w:after="0" w:line="480" w:lineRule="auto"/>
        <w:sectPr w:rsidR="000670CD" w:rsidSect="003F26DF">
          <w:type w:val="continuous"/>
          <w:pgSz w:w="11906" w:h="16838"/>
          <w:pgMar w:top="1440" w:right="1440" w:bottom="1440" w:left="1440" w:header="708" w:footer="708" w:gutter="0"/>
          <w:cols w:space="708"/>
          <w:docGrid w:linePitch="360"/>
        </w:sectPr>
      </w:pPr>
    </w:p>
    <w:p w14:paraId="068C9518" w14:textId="77777777" w:rsidR="00F9572D" w:rsidRPr="001C1085" w:rsidRDefault="00F9572D" w:rsidP="00F9572D">
      <w:pPr>
        <w:rPr>
          <w:rFonts w:ascii="Arial" w:hAnsi="Arial" w:cs="Arial"/>
          <w:b/>
          <w:bCs/>
        </w:rPr>
      </w:pPr>
      <w:r w:rsidRPr="001C1085">
        <w:rPr>
          <w:rFonts w:ascii="Arial" w:hAnsi="Arial" w:cs="Arial"/>
          <w:b/>
          <w:bCs/>
        </w:rPr>
        <w:lastRenderedPageBreak/>
        <w:t xml:space="preserve">Supplementary Table </w:t>
      </w:r>
      <w:r>
        <w:rPr>
          <w:rFonts w:ascii="Arial" w:hAnsi="Arial" w:cs="Arial"/>
          <w:b/>
          <w:bCs/>
        </w:rPr>
        <w:t>3. Age of onset distribution data for NMOSD</w:t>
      </w:r>
    </w:p>
    <w:p w14:paraId="5A4078BB" w14:textId="77777777" w:rsidR="00F9572D" w:rsidRDefault="00F9572D" w:rsidP="00F9572D"/>
    <w:tbl>
      <w:tblPr>
        <w:tblW w:w="15594" w:type="dxa"/>
        <w:tblLook w:val="04A0" w:firstRow="1" w:lastRow="0" w:firstColumn="1" w:lastColumn="0" w:noHBand="0" w:noVBand="1"/>
      </w:tblPr>
      <w:tblGrid>
        <w:gridCol w:w="3544"/>
        <w:gridCol w:w="706"/>
        <w:gridCol w:w="2554"/>
        <w:gridCol w:w="879"/>
        <w:gridCol w:w="879"/>
        <w:gridCol w:w="879"/>
        <w:gridCol w:w="879"/>
        <w:gridCol w:w="879"/>
        <w:gridCol w:w="879"/>
        <w:gridCol w:w="879"/>
        <w:gridCol w:w="879"/>
        <w:gridCol w:w="879"/>
        <w:gridCol w:w="879"/>
      </w:tblGrid>
      <w:tr w:rsidR="00F9572D" w:rsidRPr="001C1085" w14:paraId="75983A1D" w14:textId="77777777" w:rsidTr="0018403F">
        <w:trPr>
          <w:trHeight w:val="300"/>
        </w:trPr>
        <w:tc>
          <w:tcPr>
            <w:tcW w:w="3544" w:type="dxa"/>
            <w:tcBorders>
              <w:top w:val="single" w:sz="8" w:space="0" w:color="000000" w:themeColor="text1"/>
              <w:left w:val="nil"/>
              <w:bottom w:val="nil"/>
              <w:right w:val="nil"/>
            </w:tcBorders>
            <w:shd w:val="clear" w:color="auto" w:fill="auto"/>
            <w:noWrap/>
            <w:vAlign w:val="bottom"/>
            <w:hideMark/>
          </w:tcPr>
          <w:p w14:paraId="766494EB" w14:textId="77777777" w:rsidR="00F9572D" w:rsidRPr="001C1085" w:rsidRDefault="00F9572D" w:rsidP="0018403F">
            <w:pPr>
              <w:spacing w:before="240" w:after="0" w:line="480" w:lineRule="auto"/>
              <w:rPr>
                <w:rFonts w:ascii="Times New Roman" w:eastAsia="Times New Roman" w:hAnsi="Times New Roman" w:cs="Times New Roman"/>
                <w:sz w:val="24"/>
                <w:szCs w:val="24"/>
                <w:lang w:eastAsia="en-AU"/>
              </w:rPr>
            </w:pPr>
          </w:p>
        </w:tc>
        <w:tc>
          <w:tcPr>
            <w:tcW w:w="706" w:type="dxa"/>
            <w:tcBorders>
              <w:top w:val="single" w:sz="8" w:space="0" w:color="000000" w:themeColor="text1"/>
              <w:left w:val="nil"/>
              <w:bottom w:val="nil"/>
              <w:right w:val="nil"/>
            </w:tcBorders>
            <w:shd w:val="clear" w:color="auto" w:fill="auto"/>
            <w:noWrap/>
            <w:vAlign w:val="bottom"/>
            <w:hideMark/>
          </w:tcPr>
          <w:p w14:paraId="0BB1E64C" w14:textId="77777777" w:rsidR="00F9572D" w:rsidRPr="001C1085" w:rsidRDefault="00F9572D" w:rsidP="0018403F">
            <w:pPr>
              <w:spacing w:before="240" w:after="0" w:line="480" w:lineRule="auto"/>
              <w:rPr>
                <w:rFonts w:ascii="Times New Roman" w:eastAsia="Times New Roman" w:hAnsi="Times New Roman" w:cs="Times New Roman"/>
                <w:sz w:val="20"/>
                <w:szCs w:val="20"/>
                <w:lang w:eastAsia="en-AU"/>
              </w:rPr>
            </w:pPr>
          </w:p>
        </w:tc>
        <w:tc>
          <w:tcPr>
            <w:tcW w:w="2554" w:type="dxa"/>
            <w:tcBorders>
              <w:top w:val="single" w:sz="8" w:space="0" w:color="000000" w:themeColor="text1"/>
              <w:left w:val="nil"/>
              <w:bottom w:val="nil"/>
              <w:right w:val="nil"/>
            </w:tcBorders>
            <w:shd w:val="clear" w:color="auto" w:fill="auto"/>
            <w:noWrap/>
            <w:vAlign w:val="bottom"/>
            <w:hideMark/>
          </w:tcPr>
          <w:p w14:paraId="42DCACE1" w14:textId="77777777" w:rsidR="00F9572D" w:rsidRPr="001C1085" w:rsidRDefault="00F9572D" w:rsidP="0018403F">
            <w:pPr>
              <w:spacing w:before="240" w:after="0" w:line="480" w:lineRule="auto"/>
              <w:rPr>
                <w:rFonts w:ascii="Times New Roman" w:eastAsia="Times New Roman" w:hAnsi="Times New Roman" w:cs="Times New Roman"/>
                <w:sz w:val="20"/>
                <w:szCs w:val="20"/>
                <w:lang w:eastAsia="en-AU"/>
              </w:rPr>
            </w:pPr>
          </w:p>
        </w:tc>
        <w:tc>
          <w:tcPr>
            <w:tcW w:w="7911" w:type="dxa"/>
            <w:gridSpan w:val="9"/>
            <w:tcBorders>
              <w:top w:val="single" w:sz="8" w:space="0" w:color="000000" w:themeColor="text1"/>
              <w:left w:val="nil"/>
              <w:bottom w:val="nil"/>
              <w:right w:val="nil"/>
            </w:tcBorders>
            <w:shd w:val="clear" w:color="auto" w:fill="auto"/>
            <w:noWrap/>
            <w:vAlign w:val="bottom"/>
            <w:hideMark/>
          </w:tcPr>
          <w:p w14:paraId="26E10137" w14:textId="77777777" w:rsidR="00F9572D" w:rsidRPr="001C1085" w:rsidRDefault="00F9572D" w:rsidP="0018403F">
            <w:pPr>
              <w:spacing w:before="240" w:after="0" w:line="480" w:lineRule="auto"/>
              <w:jc w:val="center"/>
              <w:rPr>
                <w:rFonts w:ascii="Arial" w:eastAsia="Times New Roman" w:hAnsi="Arial" w:cs="Arial"/>
                <w:b/>
                <w:bCs/>
                <w:color w:val="000000"/>
                <w:lang w:eastAsia="en-AU"/>
              </w:rPr>
            </w:pPr>
            <w:r w:rsidRPr="001C1085">
              <w:rPr>
                <w:rFonts w:ascii="Arial" w:eastAsia="Times New Roman" w:hAnsi="Arial" w:cs="Arial"/>
                <w:b/>
                <w:bCs/>
                <w:color w:val="000000"/>
                <w:lang w:eastAsia="en-AU"/>
              </w:rPr>
              <w:t>Age Range (Years)</w:t>
            </w:r>
          </w:p>
        </w:tc>
        <w:tc>
          <w:tcPr>
            <w:tcW w:w="879" w:type="dxa"/>
            <w:tcBorders>
              <w:top w:val="single" w:sz="8" w:space="0" w:color="000000" w:themeColor="text1"/>
              <w:left w:val="nil"/>
              <w:bottom w:val="nil"/>
              <w:right w:val="nil"/>
            </w:tcBorders>
            <w:shd w:val="clear" w:color="auto" w:fill="auto"/>
            <w:noWrap/>
            <w:vAlign w:val="bottom"/>
            <w:hideMark/>
          </w:tcPr>
          <w:p w14:paraId="20F86DC7" w14:textId="77777777" w:rsidR="00F9572D" w:rsidRPr="001C1085" w:rsidRDefault="00F9572D" w:rsidP="0018403F">
            <w:pPr>
              <w:spacing w:before="240" w:after="0" w:line="480" w:lineRule="auto"/>
              <w:jc w:val="center"/>
              <w:rPr>
                <w:rFonts w:ascii="Arial" w:eastAsia="Times New Roman" w:hAnsi="Arial" w:cs="Arial"/>
                <w:b/>
                <w:bCs/>
                <w:color w:val="000000"/>
                <w:lang w:eastAsia="en-AU"/>
              </w:rPr>
            </w:pPr>
          </w:p>
        </w:tc>
      </w:tr>
      <w:tr w:rsidR="00F9572D" w:rsidRPr="001C1085" w14:paraId="3FC0B447" w14:textId="77777777" w:rsidTr="0018403F">
        <w:trPr>
          <w:trHeight w:val="300"/>
        </w:trPr>
        <w:tc>
          <w:tcPr>
            <w:tcW w:w="3544" w:type="dxa"/>
            <w:tcBorders>
              <w:top w:val="nil"/>
              <w:left w:val="nil"/>
              <w:bottom w:val="single" w:sz="8" w:space="0" w:color="000000" w:themeColor="text1"/>
              <w:right w:val="nil"/>
            </w:tcBorders>
            <w:shd w:val="clear" w:color="auto" w:fill="auto"/>
            <w:noWrap/>
            <w:vAlign w:val="bottom"/>
            <w:hideMark/>
          </w:tcPr>
          <w:p w14:paraId="6BFA6E08" w14:textId="4272DDAA" w:rsidR="00F9572D" w:rsidRPr="001C1085" w:rsidRDefault="00F9572D" w:rsidP="0018403F">
            <w:pPr>
              <w:spacing w:after="0" w:line="480" w:lineRule="auto"/>
              <w:rPr>
                <w:rFonts w:ascii="Arial" w:eastAsia="Times New Roman" w:hAnsi="Arial" w:cs="Arial"/>
                <w:b/>
                <w:bCs/>
                <w:color w:val="000000"/>
                <w:lang w:eastAsia="en-AU"/>
              </w:rPr>
            </w:pPr>
            <w:r w:rsidRPr="001C1085">
              <w:rPr>
                <w:rFonts w:ascii="Arial" w:eastAsia="Times New Roman" w:hAnsi="Arial" w:cs="Arial"/>
                <w:b/>
                <w:bCs/>
                <w:color w:val="000000"/>
                <w:lang w:eastAsia="en-AU"/>
              </w:rPr>
              <w:t>Study</w:t>
            </w:r>
            <w:r w:rsidR="008F05C7">
              <w:rPr>
                <w:rFonts w:ascii="Arial" w:eastAsia="Times New Roman" w:hAnsi="Arial" w:cs="Arial"/>
                <w:b/>
                <w:bCs/>
                <w:color w:val="000000"/>
                <w:lang w:eastAsia="en-AU"/>
              </w:rPr>
              <w:t xml:space="preserve"> [Ref]</w:t>
            </w:r>
          </w:p>
        </w:tc>
        <w:tc>
          <w:tcPr>
            <w:tcW w:w="706" w:type="dxa"/>
            <w:tcBorders>
              <w:top w:val="nil"/>
              <w:left w:val="nil"/>
              <w:bottom w:val="single" w:sz="8" w:space="0" w:color="000000" w:themeColor="text1"/>
              <w:right w:val="nil"/>
            </w:tcBorders>
            <w:shd w:val="clear" w:color="auto" w:fill="auto"/>
            <w:noWrap/>
            <w:vAlign w:val="bottom"/>
            <w:hideMark/>
          </w:tcPr>
          <w:p w14:paraId="015C20B9" w14:textId="77777777" w:rsidR="00F9572D" w:rsidRPr="001C1085" w:rsidRDefault="00F9572D" w:rsidP="0018403F">
            <w:pPr>
              <w:spacing w:after="0" w:line="480" w:lineRule="auto"/>
              <w:rPr>
                <w:rFonts w:ascii="Arial" w:eastAsia="Times New Roman" w:hAnsi="Arial" w:cs="Arial"/>
                <w:b/>
                <w:bCs/>
                <w:color w:val="000000"/>
                <w:lang w:eastAsia="en-AU"/>
              </w:rPr>
            </w:pPr>
            <w:r w:rsidRPr="001C1085">
              <w:rPr>
                <w:rFonts w:ascii="Arial" w:eastAsia="Times New Roman" w:hAnsi="Arial" w:cs="Arial"/>
                <w:b/>
                <w:bCs/>
                <w:color w:val="000000"/>
                <w:lang w:eastAsia="en-AU"/>
              </w:rPr>
              <w:t>Year</w:t>
            </w:r>
          </w:p>
        </w:tc>
        <w:tc>
          <w:tcPr>
            <w:tcW w:w="2554" w:type="dxa"/>
            <w:tcBorders>
              <w:top w:val="nil"/>
              <w:left w:val="nil"/>
              <w:bottom w:val="single" w:sz="8" w:space="0" w:color="000000" w:themeColor="text1"/>
              <w:right w:val="nil"/>
            </w:tcBorders>
            <w:shd w:val="clear" w:color="auto" w:fill="auto"/>
            <w:noWrap/>
            <w:vAlign w:val="bottom"/>
            <w:hideMark/>
          </w:tcPr>
          <w:p w14:paraId="465FF767" w14:textId="77777777" w:rsidR="00F9572D" w:rsidRPr="001C1085" w:rsidRDefault="00F9572D" w:rsidP="0018403F">
            <w:pPr>
              <w:spacing w:after="0" w:line="480" w:lineRule="auto"/>
              <w:rPr>
                <w:rFonts w:ascii="Arial" w:eastAsia="Times New Roman" w:hAnsi="Arial" w:cs="Arial"/>
                <w:b/>
                <w:bCs/>
                <w:color w:val="000000"/>
                <w:lang w:eastAsia="en-AU"/>
              </w:rPr>
            </w:pPr>
            <w:r w:rsidRPr="001C1085">
              <w:rPr>
                <w:rFonts w:ascii="Arial" w:eastAsia="Times New Roman" w:hAnsi="Arial" w:cs="Arial"/>
                <w:b/>
                <w:bCs/>
                <w:color w:val="000000"/>
                <w:lang w:eastAsia="en-AU"/>
              </w:rPr>
              <w:t>Region</w:t>
            </w:r>
          </w:p>
        </w:tc>
        <w:tc>
          <w:tcPr>
            <w:tcW w:w="879" w:type="dxa"/>
            <w:tcBorders>
              <w:top w:val="nil"/>
              <w:left w:val="nil"/>
              <w:bottom w:val="single" w:sz="8" w:space="0" w:color="000000" w:themeColor="text1"/>
              <w:right w:val="nil"/>
            </w:tcBorders>
            <w:shd w:val="clear" w:color="auto" w:fill="auto"/>
            <w:noWrap/>
            <w:vAlign w:val="bottom"/>
            <w:hideMark/>
          </w:tcPr>
          <w:p w14:paraId="6AA30BF9"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0-9</w:t>
            </w:r>
          </w:p>
        </w:tc>
        <w:tc>
          <w:tcPr>
            <w:tcW w:w="879" w:type="dxa"/>
            <w:tcBorders>
              <w:top w:val="nil"/>
              <w:left w:val="nil"/>
              <w:bottom w:val="single" w:sz="8" w:space="0" w:color="000000" w:themeColor="text1"/>
              <w:right w:val="nil"/>
            </w:tcBorders>
            <w:shd w:val="clear" w:color="auto" w:fill="auto"/>
            <w:noWrap/>
            <w:vAlign w:val="bottom"/>
            <w:hideMark/>
          </w:tcPr>
          <w:p w14:paraId="0C0F47CC"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10-19</w:t>
            </w:r>
          </w:p>
        </w:tc>
        <w:tc>
          <w:tcPr>
            <w:tcW w:w="879" w:type="dxa"/>
            <w:tcBorders>
              <w:top w:val="nil"/>
              <w:left w:val="nil"/>
              <w:bottom w:val="single" w:sz="8" w:space="0" w:color="000000" w:themeColor="text1"/>
              <w:right w:val="nil"/>
            </w:tcBorders>
            <w:shd w:val="clear" w:color="auto" w:fill="auto"/>
            <w:noWrap/>
            <w:vAlign w:val="bottom"/>
            <w:hideMark/>
          </w:tcPr>
          <w:p w14:paraId="414205A5"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20-29</w:t>
            </w:r>
          </w:p>
        </w:tc>
        <w:tc>
          <w:tcPr>
            <w:tcW w:w="879" w:type="dxa"/>
            <w:tcBorders>
              <w:top w:val="nil"/>
              <w:left w:val="nil"/>
              <w:bottom w:val="single" w:sz="8" w:space="0" w:color="000000" w:themeColor="text1"/>
              <w:right w:val="nil"/>
            </w:tcBorders>
            <w:shd w:val="clear" w:color="auto" w:fill="auto"/>
            <w:noWrap/>
            <w:vAlign w:val="bottom"/>
            <w:hideMark/>
          </w:tcPr>
          <w:p w14:paraId="1CDF6F0C"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30-39</w:t>
            </w:r>
          </w:p>
        </w:tc>
        <w:tc>
          <w:tcPr>
            <w:tcW w:w="879" w:type="dxa"/>
            <w:tcBorders>
              <w:top w:val="nil"/>
              <w:left w:val="nil"/>
              <w:bottom w:val="single" w:sz="8" w:space="0" w:color="000000" w:themeColor="text1"/>
              <w:right w:val="nil"/>
            </w:tcBorders>
            <w:shd w:val="clear" w:color="auto" w:fill="auto"/>
            <w:noWrap/>
            <w:vAlign w:val="bottom"/>
            <w:hideMark/>
          </w:tcPr>
          <w:p w14:paraId="42B3EC9C"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40-49</w:t>
            </w:r>
          </w:p>
        </w:tc>
        <w:tc>
          <w:tcPr>
            <w:tcW w:w="879" w:type="dxa"/>
            <w:tcBorders>
              <w:top w:val="nil"/>
              <w:left w:val="nil"/>
              <w:bottom w:val="single" w:sz="8" w:space="0" w:color="000000" w:themeColor="text1"/>
              <w:right w:val="nil"/>
            </w:tcBorders>
            <w:shd w:val="clear" w:color="auto" w:fill="auto"/>
            <w:noWrap/>
            <w:vAlign w:val="bottom"/>
            <w:hideMark/>
          </w:tcPr>
          <w:p w14:paraId="0B8900EE"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50-59</w:t>
            </w:r>
          </w:p>
        </w:tc>
        <w:tc>
          <w:tcPr>
            <w:tcW w:w="879" w:type="dxa"/>
            <w:tcBorders>
              <w:top w:val="nil"/>
              <w:left w:val="nil"/>
              <w:bottom w:val="single" w:sz="8" w:space="0" w:color="000000" w:themeColor="text1"/>
              <w:right w:val="nil"/>
            </w:tcBorders>
            <w:shd w:val="clear" w:color="auto" w:fill="auto"/>
            <w:noWrap/>
            <w:vAlign w:val="bottom"/>
            <w:hideMark/>
          </w:tcPr>
          <w:p w14:paraId="21F55F4A"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60-69</w:t>
            </w:r>
          </w:p>
        </w:tc>
        <w:tc>
          <w:tcPr>
            <w:tcW w:w="879" w:type="dxa"/>
            <w:tcBorders>
              <w:top w:val="nil"/>
              <w:left w:val="nil"/>
              <w:bottom w:val="single" w:sz="8" w:space="0" w:color="000000" w:themeColor="text1"/>
              <w:right w:val="nil"/>
            </w:tcBorders>
            <w:shd w:val="clear" w:color="auto" w:fill="auto"/>
            <w:noWrap/>
            <w:vAlign w:val="bottom"/>
            <w:hideMark/>
          </w:tcPr>
          <w:p w14:paraId="5D554F88"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70-79</w:t>
            </w:r>
          </w:p>
        </w:tc>
        <w:tc>
          <w:tcPr>
            <w:tcW w:w="879" w:type="dxa"/>
            <w:tcBorders>
              <w:top w:val="nil"/>
              <w:left w:val="nil"/>
              <w:bottom w:val="single" w:sz="8" w:space="0" w:color="000000" w:themeColor="text1"/>
              <w:right w:val="nil"/>
            </w:tcBorders>
            <w:shd w:val="clear" w:color="auto" w:fill="auto"/>
            <w:noWrap/>
            <w:vAlign w:val="bottom"/>
            <w:hideMark/>
          </w:tcPr>
          <w:p w14:paraId="2CD8F058"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80+</w:t>
            </w:r>
          </w:p>
        </w:tc>
        <w:tc>
          <w:tcPr>
            <w:tcW w:w="879" w:type="dxa"/>
            <w:tcBorders>
              <w:top w:val="nil"/>
              <w:left w:val="nil"/>
              <w:bottom w:val="single" w:sz="8" w:space="0" w:color="000000" w:themeColor="text1"/>
              <w:right w:val="nil"/>
            </w:tcBorders>
            <w:shd w:val="clear" w:color="auto" w:fill="auto"/>
            <w:noWrap/>
            <w:vAlign w:val="bottom"/>
            <w:hideMark/>
          </w:tcPr>
          <w:p w14:paraId="198934F1" w14:textId="77777777" w:rsidR="00F9572D" w:rsidRPr="001C1085" w:rsidRDefault="00F9572D" w:rsidP="0018403F">
            <w:pPr>
              <w:spacing w:after="0" w:line="480" w:lineRule="auto"/>
              <w:jc w:val="right"/>
              <w:rPr>
                <w:rFonts w:ascii="Arial" w:eastAsia="Times New Roman" w:hAnsi="Arial" w:cs="Arial"/>
                <w:b/>
                <w:bCs/>
                <w:color w:val="000000"/>
                <w:lang w:eastAsia="en-AU"/>
              </w:rPr>
            </w:pPr>
            <w:r w:rsidRPr="001C1085">
              <w:rPr>
                <w:rFonts w:ascii="Arial" w:eastAsia="Times New Roman" w:hAnsi="Arial" w:cs="Arial"/>
                <w:b/>
                <w:bCs/>
                <w:color w:val="000000"/>
                <w:lang w:eastAsia="en-AU"/>
              </w:rPr>
              <w:t>Total</w:t>
            </w:r>
          </w:p>
        </w:tc>
      </w:tr>
      <w:tr w:rsidR="00F9572D" w:rsidRPr="001C1085" w14:paraId="022A1B9F" w14:textId="77777777" w:rsidTr="0018403F">
        <w:trPr>
          <w:trHeight w:val="300"/>
        </w:trPr>
        <w:tc>
          <w:tcPr>
            <w:tcW w:w="3544" w:type="dxa"/>
            <w:tcBorders>
              <w:top w:val="single" w:sz="8" w:space="0" w:color="000000" w:themeColor="text1"/>
              <w:left w:val="nil"/>
              <w:bottom w:val="nil"/>
              <w:right w:val="nil"/>
            </w:tcBorders>
            <w:shd w:val="clear" w:color="auto" w:fill="auto"/>
            <w:noWrap/>
            <w:vAlign w:val="bottom"/>
          </w:tcPr>
          <w:p w14:paraId="5ED0E082" w14:textId="1C28BDEF" w:rsidR="00F9572D" w:rsidRPr="001C1085" w:rsidRDefault="00F9572D" w:rsidP="0018403F">
            <w:pPr>
              <w:spacing w:before="240"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Cabrera-Gomez et al., 2009</w:t>
            </w:r>
            <w:r>
              <w:rPr>
                <w:rFonts w:ascii="Arial" w:eastAsia="Times New Roman" w:hAnsi="Arial" w:cs="Arial"/>
                <w:color w:val="000000"/>
                <w:lang w:eastAsia="en-AU"/>
              </w:rPr>
              <w:t xml:space="preserve"> </w:t>
            </w:r>
            <w:r w:rsidR="001C1BFC">
              <w:rPr>
                <w:rFonts w:ascii="Arial" w:eastAsia="Times New Roman" w:hAnsi="Arial" w:cs="Arial"/>
                <w:noProof/>
                <w:color w:val="000000"/>
                <w:lang w:eastAsia="en-AU"/>
              </w:rPr>
              <w:t>[39]</w:t>
            </w:r>
          </w:p>
        </w:tc>
        <w:tc>
          <w:tcPr>
            <w:tcW w:w="706" w:type="dxa"/>
            <w:tcBorders>
              <w:top w:val="single" w:sz="8" w:space="0" w:color="000000" w:themeColor="text1"/>
              <w:left w:val="nil"/>
              <w:bottom w:val="nil"/>
              <w:right w:val="nil"/>
            </w:tcBorders>
            <w:shd w:val="clear" w:color="auto" w:fill="auto"/>
            <w:noWrap/>
            <w:vAlign w:val="bottom"/>
          </w:tcPr>
          <w:p w14:paraId="0E41B777"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2004</w:t>
            </w:r>
          </w:p>
        </w:tc>
        <w:tc>
          <w:tcPr>
            <w:tcW w:w="2554" w:type="dxa"/>
            <w:tcBorders>
              <w:top w:val="single" w:sz="8" w:space="0" w:color="000000" w:themeColor="text1"/>
              <w:left w:val="nil"/>
              <w:bottom w:val="nil"/>
              <w:right w:val="nil"/>
            </w:tcBorders>
            <w:shd w:val="clear" w:color="auto" w:fill="auto"/>
            <w:noWrap/>
            <w:vAlign w:val="bottom"/>
          </w:tcPr>
          <w:p w14:paraId="0A281AB6" w14:textId="77777777" w:rsidR="00F9572D" w:rsidRPr="001C1085" w:rsidRDefault="00F9572D" w:rsidP="0018403F">
            <w:pPr>
              <w:spacing w:before="240"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Cuba</w:t>
            </w:r>
          </w:p>
        </w:tc>
        <w:tc>
          <w:tcPr>
            <w:tcW w:w="879" w:type="dxa"/>
            <w:tcBorders>
              <w:top w:val="single" w:sz="8" w:space="0" w:color="000000" w:themeColor="text1"/>
              <w:left w:val="nil"/>
              <w:bottom w:val="nil"/>
              <w:right w:val="nil"/>
            </w:tcBorders>
            <w:shd w:val="clear" w:color="auto" w:fill="auto"/>
            <w:noWrap/>
            <w:vAlign w:val="bottom"/>
          </w:tcPr>
          <w:p w14:paraId="3F9580B9"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single" w:sz="8" w:space="0" w:color="000000" w:themeColor="text1"/>
              <w:left w:val="nil"/>
              <w:bottom w:val="nil"/>
              <w:right w:val="nil"/>
            </w:tcBorders>
            <w:shd w:val="clear" w:color="auto" w:fill="auto"/>
            <w:noWrap/>
            <w:vAlign w:val="bottom"/>
          </w:tcPr>
          <w:p w14:paraId="6578136B"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w:t>
            </w:r>
          </w:p>
        </w:tc>
        <w:tc>
          <w:tcPr>
            <w:tcW w:w="879" w:type="dxa"/>
            <w:tcBorders>
              <w:top w:val="single" w:sz="8" w:space="0" w:color="000000" w:themeColor="text1"/>
              <w:left w:val="nil"/>
              <w:bottom w:val="nil"/>
              <w:right w:val="nil"/>
            </w:tcBorders>
            <w:shd w:val="clear" w:color="auto" w:fill="auto"/>
            <w:noWrap/>
            <w:vAlign w:val="bottom"/>
          </w:tcPr>
          <w:p w14:paraId="4A8DE462"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w:t>
            </w:r>
          </w:p>
        </w:tc>
        <w:tc>
          <w:tcPr>
            <w:tcW w:w="879" w:type="dxa"/>
            <w:tcBorders>
              <w:top w:val="single" w:sz="8" w:space="0" w:color="000000" w:themeColor="text1"/>
              <w:left w:val="nil"/>
              <w:bottom w:val="nil"/>
              <w:right w:val="nil"/>
            </w:tcBorders>
            <w:shd w:val="clear" w:color="auto" w:fill="auto"/>
            <w:noWrap/>
            <w:vAlign w:val="bottom"/>
          </w:tcPr>
          <w:p w14:paraId="407F6EC0"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17</w:t>
            </w:r>
          </w:p>
        </w:tc>
        <w:tc>
          <w:tcPr>
            <w:tcW w:w="879" w:type="dxa"/>
            <w:tcBorders>
              <w:top w:val="single" w:sz="8" w:space="0" w:color="000000" w:themeColor="text1"/>
              <w:left w:val="nil"/>
              <w:bottom w:val="nil"/>
              <w:right w:val="nil"/>
            </w:tcBorders>
            <w:shd w:val="clear" w:color="auto" w:fill="auto"/>
            <w:noWrap/>
            <w:vAlign w:val="bottom"/>
          </w:tcPr>
          <w:p w14:paraId="73C88BD8"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18</w:t>
            </w:r>
          </w:p>
        </w:tc>
        <w:tc>
          <w:tcPr>
            <w:tcW w:w="879" w:type="dxa"/>
            <w:tcBorders>
              <w:top w:val="single" w:sz="8" w:space="0" w:color="000000" w:themeColor="text1"/>
              <w:left w:val="nil"/>
              <w:bottom w:val="nil"/>
              <w:right w:val="nil"/>
            </w:tcBorders>
            <w:shd w:val="clear" w:color="auto" w:fill="auto"/>
            <w:noWrap/>
            <w:vAlign w:val="bottom"/>
          </w:tcPr>
          <w:p w14:paraId="6FA9E456"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13</w:t>
            </w:r>
          </w:p>
        </w:tc>
        <w:tc>
          <w:tcPr>
            <w:tcW w:w="879" w:type="dxa"/>
            <w:tcBorders>
              <w:top w:val="single" w:sz="8" w:space="0" w:color="000000" w:themeColor="text1"/>
              <w:left w:val="nil"/>
              <w:bottom w:val="nil"/>
              <w:right w:val="nil"/>
            </w:tcBorders>
            <w:shd w:val="clear" w:color="auto" w:fill="auto"/>
            <w:noWrap/>
            <w:vAlign w:val="bottom"/>
          </w:tcPr>
          <w:p w14:paraId="63A9B5A5"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w:t>
            </w:r>
          </w:p>
        </w:tc>
        <w:tc>
          <w:tcPr>
            <w:tcW w:w="879" w:type="dxa"/>
            <w:tcBorders>
              <w:top w:val="single" w:sz="8" w:space="0" w:color="000000" w:themeColor="text1"/>
              <w:left w:val="nil"/>
              <w:bottom w:val="nil"/>
              <w:right w:val="nil"/>
            </w:tcBorders>
            <w:shd w:val="clear" w:color="auto" w:fill="auto"/>
            <w:noWrap/>
            <w:vAlign w:val="bottom"/>
          </w:tcPr>
          <w:p w14:paraId="00AA6545"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single" w:sz="8" w:space="0" w:color="000000" w:themeColor="text1"/>
              <w:left w:val="nil"/>
              <w:bottom w:val="nil"/>
              <w:right w:val="nil"/>
            </w:tcBorders>
            <w:shd w:val="clear" w:color="auto" w:fill="auto"/>
            <w:noWrap/>
            <w:vAlign w:val="bottom"/>
          </w:tcPr>
          <w:p w14:paraId="23FBB1E1"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single" w:sz="8" w:space="0" w:color="000000" w:themeColor="text1"/>
              <w:left w:val="nil"/>
              <w:bottom w:val="nil"/>
              <w:right w:val="nil"/>
            </w:tcBorders>
            <w:shd w:val="clear" w:color="auto" w:fill="auto"/>
            <w:noWrap/>
            <w:vAlign w:val="bottom"/>
          </w:tcPr>
          <w:p w14:paraId="09E3C5DB" w14:textId="77777777" w:rsidR="00F9572D" w:rsidRPr="001C1085" w:rsidRDefault="00F9572D" w:rsidP="0018403F">
            <w:pPr>
              <w:spacing w:before="240"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58</w:t>
            </w:r>
          </w:p>
        </w:tc>
      </w:tr>
      <w:tr w:rsidR="00F9572D" w:rsidRPr="001C1085" w14:paraId="053DE8CF" w14:textId="77777777" w:rsidTr="0018403F">
        <w:trPr>
          <w:trHeight w:val="300"/>
        </w:trPr>
        <w:tc>
          <w:tcPr>
            <w:tcW w:w="3544" w:type="dxa"/>
            <w:tcBorders>
              <w:top w:val="nil"/>
              <w:left w:val="nil"/>
              <w:bottom w:val="nil"/>
              <w:right w:val="nil"/>
            </w:tcBorders>
            <w:shd w:val="clear" w:color="auto" w:fill="auto"/>
            <w:noWrap/>
            <w:vAlign w:val="bottom"/>
            <w:hideMark/>
          </w:tcPr>
          <w:p w14:paraId="24724F4F" w14:textId="723F8E9C"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Bizzoco et al 2009</w:t>
            </w:r>
            <w:r>
              <w:rPr>
                <w:rFonts w:ascii="Arial" w:eastAsia="Times New Roman" w:hAnsi="Arial" w:cs="Arial"/>
                <w:color w:val="000000"/>
                <w:lang w:eastAsia="en-AU"/>
              </w:rPr>
              <w:t xml:space="preserve"> </w:t>
            </w:r>
            <w:r w:rsidR="001C1BFC">
              <w:rPr>
                <w:rFonts w:ascii="Arial" w:eastAsia="Times New Roman" w:hAnsi="Arial" w:cs="Arial"/>
                <w:noProof/>
                <w:color w:val="000000"/>
                <w:lang w:eastAsia="en-AU"/>
              </w:rPr>
              <w:t>[36]</w:t>
            </w:r>
          </w:p>
        </w:tc>
        <w:tc>
          <w:tcPr>
            <w:tcW w:w="706" w:type="dxa"/>
            <w:tcBorders>
              <w:top w:val="nil"/>
              <w:left w:val="nil"/>
              <w:bottom w:val="nil"/>
              <w:right w:val="nil"/>
            </w:tcBorders>
            <w:shd w:val="clear" w:color="auto" w:fill="auto"/>
            <w:noWrap/>
            <w:vAlign w:val="bottom"/>
            <w:hideMark/>
          </w:tcPr>
          <w:p w14:paraId="50594FC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2006</w:t>
            </w:r>
          </w:p>
        </w:tc>
        <w:tc>
          <w:tcPr>
            <w:tcW w:w="2554" w:type="dxa"/>
            <w:tcBorders>
              <w:top w:val="nil"/>
              <w:left w:val="nil"/>
              <w:bottom w:val="nil"/>
              <w:right w:val="nil"/>
            </w:tcBorders>
            <w:shd w:val="clear" w:color="auto" w:fill="auto"/>
            <w:noWrap/>
            <w:vAlign w:val="bottom"/>
            <w:hideMark/>
          </w:tcPr>
          <w:p w14:paraId="0D571FE3"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Italy</w:t>
            </w:r>
          </w:p>
        </w:tc>
        <w:tc>
          <w:tcPr>
            <w:tcW w:w="879" w:type="dxa"/>
            <w:tcBorders>
              <w:top w:val="nil"/>
              <w:left w:val="nil"/>
              <w:bottom w:val="nil"/>
              <w:right w:val="nil"/>
            </w:tcBorders>
            <w:shd w:val="clear" w:color="auto" w:fill="auto"/>
            <w:noWrap/>
            <w:vAlign w:val="bottom"/>
            <w:hideMark/>
          </w:tcPr>
          <w:p w14:paraId="626F104B"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hideMark/>
          </w:tcPr>
          <w:p w14:paraId="59D0FC5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hideMark/>
          </w:tcPr>
          <w:p w14:paraId="416E63F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w:t>
            </w:r>
          </w:p>
        </w:tc>
        <w:tc>
          <w:tcPr>
            <w:tcW w:w="879" w:type="dxa"/>
            <w:tcBorders>
              <w:top w:val="nil"/>
              <w:left w:val="nil"/>
              <w:bottom w:val="nil"/>
              <w:right w:val="nil"/>
            </w:tcBorders>
            <w:shd w:val="clear" w:color="auto" w:fill="auto"/>
            <w:noWrap/>
            <w:vAlign w:val="bottom"/>
            <w:hideMark/>
          </w:tcPr>
          <w:p w14:paraId="42FCB419"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hideMark/>
          </w:tcPr>
          <w:p w14:paraId="7395E89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w:t>
            </w:r>
          </w:p>
        </w:tc>
        <w:tc>
          <w:tcPr>
            <w:tcW w:w="879" w:type="dxa"/>
            <w:tcBorders>
              <w:top w:val="nil"/>
              <w:left w:val="nil"/>
              <w:bottom w:val="nil"/>
              <w:right w:val="nil"/>
            </w:tcBorders>
            <w:shd w:val="clear" w:color="auto" w:fill="auto"/>
            <w:noWrap/>
            <w:vAlign w:val="bottom"/>
            <w:hideMark/>
          </w:tcPr>
          <w:p w14:paraId="5909BE74"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w:t>
            </w:r>
          </w:p>
        </w:tc>
        <w:tc>
          <w:tcPr>
            <w:tcW w:w="879" w:type="dxa"/>
            <w:tcBorders>
              <w:top w:val="nil"/>
              <w:left w:val="nil"/>
              <w:bottom w:val="nil"/>
              <w:right w:val="nil"/>
            </w:tcBorders>
            <w:shd w:val="clear" w:color="auto" w:fill="auto"/>
            <w:noWrap/>
            <w:vAlign w:val="bottom"/>
            <w:hideMark/>
          </w:tcPr>
          <w:p w14:paraId="65DC45E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hideMark/>
          </w:tcPr>
          <w:p w14:paraId="4E718521"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hideMark/>
          </w:tcPr>
          <w:p w14:paraId="740D2C4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hideMark/>
          </w:tcPr>
          <w:p w14:paraId="3867E80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13</w:t>
            </w:r>
          </w:p>
        </w:tc>
      </w:tr>
      <w:tr w:rsidR="00F9572D" w:rsidRPr="001C1085" w14:paraId="38F02EA3" w14:textId="77777777" w:rsidTr="0018403F">
        <w:trPr>
          <w:trHeight w:val="296"/>
        </w:trPr>
        <w:tc>
          <w:tcPr>
            <w:tcW w:w="3544" w:type="dxa"/>
            <w:tcBorders>
              <w:top w:val="nil"/>
              <w:left w:val="nil"/>
              <w:bottom w:val="nil"/>
              <w:right w:val="nil"/>
            </w:tcBorders>
            <w:shd w:val="clear" w:color="auto" w:fill="auto"/>
            <w:noWrap/>
            <w:vAlign w:val="bottom"/>
          </w:tcPr>
          <w:p w14:paraId="3318F583" w14:textId="6BF508A4"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Cossburn et al., 2012</w:t>
            </w:r>
            <w:r>
              <w:rPr>
                <w:rFonts w:ascii="Arial" w:eastAsia="Times New Roman" w:hAnsi="Arial" w:cs="Arial"/>
                <w:color w:val="000000"/>
                <w:lang w:eastAsia="en-AU"/>
              </w:rPr>
              <w:t xml:space="preserve"> </w:t>
            </w:r>
            <w:r w:rsidR="001C1BFC">
              <w:rPr>
                <w:rFonts w:ascii="Arial" w:eastAsia="Times New Roman" w:hAnsi="Arial" w:cs="Arial"/>
                <w:noProof/>
                <w:color w:val="000000"/>
                <w:lang w:eastAsia="en-AU"/>
              </w:rPr>
              <w:t>[43]</w:t>
            </w:r>
          </w:p>
        </w:tc>
        <w:tc>
          <w:tcPr>
            <w:tcW w:w="706" w:type="dxa"/>
            <w:tcBorders>
              <w:top w:val="nil"/>
              <w:left w:val="nil"/>
              <w:bottom w:val="nil"/>
              <w:right w:val="nil"/>
            </w:tcBorders>
            <w:shd w:val="clear" w:color="auto" w:fill="auto"/>
            <w:noWrap/>
            <w:vAlign w:val="bottom"/>
          </w:tcPr>
          <w:p w14:paraId="5F8F71CA"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2010</w:t>
            </w:r>
          </w:p>
        </w:tc>
        <w:tc>
          <w:tcPr>
            <w:tcW w:w="2554" w:type="dxa"/>
            <w:tcBorders>
              <w:top w:val="nil"/>
              <w:left w:val="nil"/>
              <w:bottom w:val="nil"/>
              <w:right w:val="nil"/>
            </w:tcBorders>
            <w:shd w:val="clear" w:color="auto" w:fill="auto"/>
            <w:noWrap/>
            <w:vAlign w:val="bottom"/>
          </w:tcPr>
          <w:p w14:paraId="1D0D2C00"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UK</w:t>
            </w:r>
          </w:p>
        </w:tc>
        <w:tc>
          <w:tcPr>
            <w:tcW w:w="879" w:type="dxa"/>
            <w:tcBorders>
              <w:top w:val="nil"/>
              <w:left w:val="nil"/>
              <w:bottom w:val="nil"/>
              <w:right w:val="nil"/>
            </w:tcBorders>
            <w:shd w:val="clear" w:color="auto" w:fill="auto"/>
            <w:noWrap/>
            <w:vAlign w:val="bottom"/>
          </w:tcPr>
          <w:p w14:paraId="1D5DB8C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w:t>
            </w:r>
          </w:p>
        </w:tc>
        <w:tc>
          <w:tcPr>
            <w:tcW w:w="879" w:type="dxa"/>
            <w:tcBorders>
              <w:top w:val="nil"/>
              <w:left w:val="nil"/>
              <w:bottom w:val="nil"/>
              <w:right w:val="nil"/>
            </w:tcBorders>
            <w:shd w:val="clear" w:color="auto" w:fill="auto"/>
            <w:noWrap/>
            <w:vAlign w:val="bottom"/>
          </w:tcPr>
          <w:p w14:paraId="2F861CF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w:t>
            </w:r>
          </w:p>
        </w:tc>
        <w:tc>
          <w:tcPr>
            <w:tcW w:w="879" w:type="dxa"/>
            <w:tcBorders>
              <w:top w:val="nil"/>
              <w:left w:val="nil"/>
              <w:bottom w:val="nil"/>
              <w:right w:val="nil"/>
            </w:tcBorders>
            <w:shd w:val="clear" w:color="auto" w:fill="auto"/>
            <w:noWrap/>
            <w:vAlign w:val="bottom"/>
          </w:tcPr>
          <w:p w14:paraId="4711B01B"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0C9DD221"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tcPr>
          <w:p w14:paraId="1D92F90F"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w:t>
            </w:r>
          </w:p>
        </w:tc>
        <w:tc>
          <w:tcPr>
            <w:tcW w:w="879" w:type="dxa"/>
            <w:tcBorders>
              <w:top w:val="nil"/>
              <w:left w:val="nil"/>
              <w:bottom w:val="nil"/>
              <w:right w:val="nil"/>
            </w:tcBorders>
            <w:shd w:val="clear" w:color="auto" w:fill="auto"/>
            <w:noWrap/>
            <w:vAlign w:val="bottom"/>
          </w:tcPr>
          <w:p w14:paraId="2A69695A"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tcPr>
          <w:p w14:paraId="28FB5E5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w:t>
            </w:r>
          </w:p>
        </w:tc>
        <w:tc>
          <w:tcPr>
            <w:tcW w:w="879" w:type="dxa"/>
            <w:tcBorders>
              <w:top w:val="nil"/>
              <w:left w:val="nil"/>
              <w:bottom w:val="nil"/>
              <w:right w:val="nil"/>
            </w:tcBorders>
            <w:shd w:val="clear" w:color="auto" w:fill="auto"/>
            <w:noWrap/>
            <w:vAlign w:val="bottom"/>
          </w:tcPr>
          <w:p w14:paraId="4E5DFAE1"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tcPr>
          <w:p w14:paraId="066E5F16"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53427E3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14</w:t>
            </w:r>
          </w:p>
        </w:tc>
      </w:tr>
      <w:tr w:rsidR="00F9572D" w:rsidRPr="001C1085" w14:paraId="52E89893" w14:textId="77777777" w:rsidTr="0018403F">
        <w:trPr>
          <w:trHeight w:val="300"/>
        </w:trPr>
        <w:tc>
          <w:tcPr>
            <w:tcW w:w="3544" w:type="dxa"/>
            <w:tcBorders>
              <w:top w:val="nil"/>
              <w:left w:val="nil"/>
              <w:bottom w:val="nil"/>
              <w:right w:val="nil"/>
            </w:tcBorders>
            <w:shd w:val="clear" w:color="auto" w:fill="auto"/>
            <w:noWrap/>
            <w:vAlign w:val="bottom"/>
          </w:tcPr>
          <w:p w14:paraId="713A0152" w14:textId="28D85410"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Adoni et al., 2010</w:t>
            </w:r>
            <w:r>
              <w:rPr>
                <w:rFonts w:ascii="Arial" w:eastAsia="Times New Roman" w:hAnsi="Arial" w:cs="Arial"/>
                <w:color w:val="000000"/>
                <w:lang w:eastAsia="en-AU"/>
              </w:rPr>
              <w:t xml:space="preserve"> </w:t>
            </w:r>
            <w:r w:rsidR="001C1BFC">
              <w:rPr>
                <w:rFonts w:ascii="Arial" w:eastAsia="Times New Roman" w:hAnsi="Arial" w:cs="Arial"/>
                <w:noProof/>
                <w:color w:val="000000"/>
                <w:lang w:eastAsia="en-AU"/>
              </w:rPr>
              <w:t>[29]</w:t>
            </w:r>
          </w:p>
        </w:tc>
        <w:tc>
          <w:tcPr>
            <w:tcW w:w="706" w:type="dxa"/>
            <w:tcBorders>
              <w:top w:val="nil"/>
              <w:left w:val="nil"/>
              <w:bottom w:val="nil"/>
              <w:right w:val="nil"/>
            </w:tcBorders>
            <w:shd w:val="clear" w:color="auto" w:fill="auto"/>
            <w:noWrap/>
            <w:vAlign w:val="bottom"/>
          </w:tcPr>
          <w:p w14:paraId="5951AC63"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2010</w:t>
            </w:r>
          </w:p>
        </w:tc>
        <w:tc>
          <w:tcPr>
            <w:tcW w:w="2554" w:type="dxa"/>
            <w:tcBorders>
              <w:top w:val="nil"/>
              <w:left w:val="nil"/>
              <w:bottom w:val="nil"/>
              <w:right w:val="nil"/>
            </w:tcBorders>
            <w:shd w:val="clear" w:color="auto" w:fill="auto"/>
            <w:noWrap/>
            <w:vAlign w:val="bottom"/>
          </w:tcPr>
          <w:p w14:paraId="2D4F26B6"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Brazil</w:t>
            </w:r>
          </w:p>
        </w:tc>
        <w:tc>
          <w:tcPr>
            <w:tcW w:w="879" w:type="dxa"/>
            <w:tcBorders>
              <w:top w:val="nil"/>
              <w:left w:val="nil"/>
              <w:bottom w:val="nil"/>
              <w:right w:val="nil"/>
            </w:tcBorders>
            <w:shd w:val="clear" w:color="auto" w:fill="auto"/>
            <w:noWrap/>
            <w:vAlign w:val="bottom"/>
          </w:tcPr>
          <w:p w14:paraId="508CD84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w:t>
            </w:r>
          </w:p>
        </w:tc>
        <w:tc>
          <w:tcPr>
            <w:tcW w:w="879" w:type="dxa"/>
            <w:tcBorders>
              <w:top w:val="nil"/>
              <w:left w:val="nil"/>
              <w:bottom w:val="nil"/>
              <w:right w:val="nil"/>
            </w:tcBorders>
            <w:shd w:val="clear" w:color="auto" w:fill="auto"/>
            <w:noWrap/>
            <w:vAlign w:val="bottom"/>
          </w:tcPr>
          <w:p w14:paraId="4652E70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w:t>
            </w:r>
          </w:p>
        </w:tc>
        <w:tc>
          <w:tcPr>
            <w:tcW w:w="879" w:type="dxa"/>
            <w:tcBorders>
              <w:top w:val="nil"/>
              <w:left w:val="nil"/>
              <w:bottom w:val="nil"/>
              <w:right w:val="nil"/>
            </w:tcBorders>
            <w:shd w:val="clear" w:color="auto" w:fill="auto"/>
            <w:noWrap/>
            <w:vAlign w:val="bottom"/>
          </w:tcPr>
          <w:p w14:paraId="7576B8D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13</w:t>
            </w:r>
          </w:p>
        </w:tc>
        <w:tc>
          <w:tcPr>
            <w:tcW w:w="879" w:type="dxa"/>
            <w:tcBorders>
              <w:top w:val="nil"/>
              <w:left w:val="nil"/>
              <w:bottom w:val="nil"/>
              <w:right w:val="nil"/>
            </w:tcBorders>
            <w:shd w:val="clear" w:color="auto" w:fill="auto"/>
            <w:noWrap/>
            <w:vAlign w:val="bottom"/>
          </w:tcPr>
          <w:p w14:paraId="669DBEC9"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w:t>
            </w:r>
          </w:p>
        </w:tc>
        <w:tc>
          <w:tcPr>
            <w:tcW w:w="879" w:type="dxa"/>
            <w:tcBorders>
              <w:top w:val="nil"/>
              <w:left w:val="nil"/>
              <w:bottom w:val="nil"/>
              <w:right w:val="nil"/>
            </w:tcBorders>
            <w:shd w:val="clear" w:color="auto" w:fill="auto"/>
            <w:noWrap/>
            <w:vAlign w:val="bottom"/>
          </w:tcPr>
          <w:p w14:paraId="4CAD052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tcPr>
          <w:p w14:paraId="24AB84BB"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tcPr>
          <w:p w14:paraId="630FD26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710866E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6A618F4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3BC36AE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27</w:t>
            </w:r>
          </w:p>
        </w:tc>
      </w:tr>
      <w:tr w:rsidR="00F9572D" w:rsidRPr="001C1085" w14:paraId="16B5AFF2" w14:textId="77777777" w:rsidTr="0018403F">
        <w:trPr>
          <w:trHeight w:val="300"/>
        </w:trPr>
        <w:tc>
          <w:tcPr>
            <w:tcW w:w="3544" w:type="dxa"/>
            <w:tcBorders>
              <w:top w:val="nil"/>
              <w:left w:val="nil"/>
              <w:bottom w:val="nil"/>
              <w:right w:val="nil"/>
            </w:tcBorders>
            <w:shd w:val="clear" w:color="auto" w:fill="auto"/>
            <w:noWrap/>
            <w:vAlign w:val="bottom"/>
          </w:tcPr>
          <w:p w14:paraId="403220E2" w14:textId="252B5B3B" w:rsidR="00F9572D" w:rsidRPr="001C1085" w:rsidRDefault="00F9572D" w:rsidP="0018403F">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Papais-</w:t>
            </w:r>
            <w:r w:rsidRPr="001C1085">
              <w:rPr>
                <w:rFonts w:ascii="Arial" w:eastAsia="Times New Roman" w:hAnsi="Arial" w:cs="Arial"/>
                <w:color w:val="000000"/>
                <w:lang w:eastAsia="en-AU"/>
              </w:rPr>
              <w:t>Alvarenga et al., 201</w:t>
            </w:r>
            <w:r>
              <w:rPr>
                <w:rFonts w:ascii="Arial" w:eastAsia="Times New Roman" w:hAnsi="Arial" w:cs="Arial"/>
                <w:color w:val="000000"/>
                <w:lang w:eastAsia="en-AU"/>
              </w:rPr>
              <w:t xml:space="preserve">5 </w:t>
            </w:r>
            <w:r w:rsidR="001C1BFC">
              <w:rPr>
                <w:rFonts w:ascii="Arial" w:eastAsia="Times New Roman" w:hAnsi="Arial" w:cs="Arial"/>
                <w:noProof/>
                <w:color w:val="000000"/>
                <w:lang w:eastAsia="en-AU"/>
              </w:rPr>
              <w:t>[72]</w:t>
            </w:r>
          </w:p>
        </w:tc>
        <w:tc>
          <w:tcPr>
            <w:tcW w:w="706" w:type="dxa"/>
            <w:tcBorders>
              <w:top w:val="nil"/>
              <w:left w:val="nil"/>
              <w:bottom w:val="nil"/>
              <w:right w:val="nil"/>
            </w:tcBorders>
            <w:shd w:val="clear" w:color="auto" w:fill="auto"/>
            <w:noWrap/>
            <w:vAlign w:val="bottom"/>
          </w:tcPr>
          <w:p w14:paraId="5E246401"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2017</w:t>
            </w:r>
          </w:p>
        </w:tc>
        <w:tc>
          <w:tcPr>
            <w:tcW w:w="2554" w:type="dxa"/>
            <w:tcBorders>
              <w:top w:val="nil"/>
              <w:left w:val="nil"/>
              <w:bottom w:val="nil"/>
              <w:right w:val="nil"/>
            </w:tcBorders>
            <w:shd w:val="clear" w:color="auto" w:fill="auto"/>
            <w:noWrap/>
            <w:vAlign w:val="bottom"/>
          </w:tcPr>
          <w:p w14:paraId="351D5567"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Latin America</w:t>
            </w:r>
          </w:p>
        </w:tc>
        <w:tc>
          <w:tcPr>
            <w:tcW w:w="879" w:type="dxa"/>
            <w:tcBorders>
              <w:top w:val="nil"/>
              <w:left w:val="nil"/>
              <w:bottom w:val="nil"/>
              <w:right w:val="nil"/>
            </w:tcBorders>
            <w:shd w:val="clear" w:color="auto" w:fill="auto"/>
            <w:noWrap/>
            <w:vAlign w:val="bottom"/>
          </w:tcPr>
          <w:p w14:paraId="41621E7E"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10</w:t>
            </w:r>
          </w:p>
        </w:tc>
        <w:tc>
          <w:tcPr>
            <w:tcW w:w="879" w:type="dxa"/>
            <w:tcBorders>
              <w:top w:val="nil"/>
              <w:left w:val="nil"/>
              <w:bottom w:val="nil"/>
              <w:right w:val="nil"/>
            </w:tcBorders>
            <w:shd w:val="clear" w:color="auto" w:fill="auto"/>
            <w:noWrap/>
            <w:vAlign w:val="bottom"/>
          </w:tcPr>
          <w:p w14:paraId="6C38ABF3"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36</w:t>
            </w:r>
          </w:p>
        </w:tc>
        <w:tc>
          <w:tcPr>
            <w:tcW w:w="879" w:type="dxa"/>
            <w:tcBorders>
              <w:top w:val="nil"/>
              <w:left w:val="nil"/>
              <w:bottom w:val="nil"/>
              <w:right w:val="nil"/>
            </w:tcBorders>
            <w:shd w:val="clear" w:color="auto" w:fill="auto"/>
            <w:noWrap/>
            <w:vAlign w:val="bottom"/>
          </w:tcPr>
          <w:p w14:paraId="552983D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69</w:t>
            </w:r>
          </w:p>
        </w:tc>
        <w:tc>
          <w:tcPr>
            <w:tcW w:w="879" w:type="dxa"/>
            <w:tcBorders>
              <w:top w:val="nil"/>
              <w:left w:val="nil"/>
              <w:bottom w:val="nil"/>
              <w:right w:val="nil"/>
            </w:tcBorders>
            <w:shd w:val="clear" w:color="auto" w:fill="auto"/>
            <w:noWrap/>
            <w:vAlign w:val="bottom"/>
          </w:tcPr>
          <w:p w14:paraId="34B46F0E"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48</w:t>
            </w:r>
          </w:p>
        </w:tc>
        <w:tc>
          <w:tcPr>
            <w:tcW w:w="879" w:type="dxa"/>
            <w:tcBorders>
              <w:top w:val="nil"/>
              <w:left w:val="nil"/>
              <w:bottom w:val="nil"/>
              <w:right w:val="nil"/>
            </w:tcBorders>
            <w:shd w:val="clear" w:color="auto" w:fill="auto"/>
            <w:noWrap/>
            <w:vAlign w:val="bottom"/>
          </w:tcPr>
          <w:p w14:paraId="091547A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38</w:t>
            </w:r>
          </w:p>
        </w:tc>
        <w:tc>
          <w:tcPr>
            <w:tcW w:w="879" w:type="dxa"/>
            <w:tcBorders>
              <w:top w:val="nil"/>
              <w:left w:val="nil"/>
              <w:bottom w:val="nil"/>
              <w:right w:val="nil"/>
            </w:tcBorders>
            <w:shd w:val="clear" w:color="auto" w:fill="auto"/>
            <w:noWrap/>
            <w:vAlign w:val="bottom"/>
          </w:tcPr>
          <w:p w14:paraId="106A83C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22</w:t>
            </w:r>
          </w:p>
        </w:tc>
        <w:tc>
          <w:tcPr>
            <w:tcW w:w="879" w:type="dxa"/>
            <w:tcBorders>
              <w:top w:val="nil"/>
              <w:left w:val="nil"/>
              <w:bottom w:val="nil"/>
              <w:right w:val="nil"/>
            </w:tcBorders>
            <w:shd w:val="clear" w:color="auto" w:fill="auto"/>
            <w:noWrap/>
            <w:vAlign w:val="bottom"/>
          </w:tcPr>
          <w:p w14:paraId="614EF07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w:t>
            </w:r>
          </w:p>
        </w:tc>
        <w:tc>
          <w:tcPr>
            <w:tcW w:w="879" w:type="dxa"/>
            <w:tcBorders>
              <w:top w:val="nil"/>
              <w:left w:val="nil"/>
              <w:bottom w:val="nil"/>
              <w:right w:val="nil"/>
            </w:tcBorders>
            <w:shd w:val="clear" w:color="auto" w:fill="auto"/>
            <w:noWrap/>
            <w:vAlign w:val="bottom"/>
          </w:tcPr>
          <w:p w14:paraId="2C6AF5E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1E6819A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1AADC044"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226</w:t>
            </w:r>
          </w:p>
        </w:tc>
      </w:tr>
      <w:tr w:rsidR="00F9572D" w:rsidRPr="001C1085" w14:paraId="500537D8" w14:textId="77777777" w:rsidTr="0018403F">
        <w:trPr>
          <w:trHeight w:val="300"/>
        </w:trPr>
        <w:tc>
          <w:tcPr>
            <w:tcW w:w="3544" w:type="dxa"/>
            <w:tcBorders>
              <w:top w:val="nil"/>
              <w:left w:val="nil"/>
              <w:bottom w:val="nil"/>
              <w:right w:val="nil"/>
            </w:tcBorders>
            <w:shd w:val="clear" w:color="auto" w:fill="auto"/>
            <w:noWrap/>
            <w:vAlign w:val="bottom"/>
          </w:tcPr>
          <w:p w14:paraId="532B9614" w14:textId="27E68EF5"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Bukhari et al., 2017</w:t>
            </w:r>
            <w:r>
              <w:rPr>
                <w:rFonts w:ascii="Arial" w:eastAsia="Times New Roman" w:hAnsi="Arial" w:cs="Arial"/>
                <w:color w:val="000000"/>
                <w:lang w:eastAsia="en-AU"/>
              </w:rPr>
              <w:t xml:space="preserve"> </w:t>
            </w:r>
            <w:r w:rsidR="001C1BFC">
              <w:rPr>
                <w:rFonts w:ascii="Arial" w:eastAsia="Times New Roman" w:hAnsi="Arial" w:cs="Arial"/>
                <w:noProof/>
                <w:color w:val="000000"/>
                <w:lang w:eastAsia="en-AU"/>
              </w:rPr>
              <w:t>[37]</w:t>
            </w:r>
          </w:p>
        </w:tc>
        <w:tc>
          <w:tcPr>
            <w:tcW w:w="706" w:type="dxa"/>
            <w:tcBorders>
              <w:top w:val="nil"/>
              <w:left w:val="nil"/>
              <w:bottom w:val="nil"/>
              <w:right w:val="nil"/>
            </w:tcBorders>
            <w:shd w:val="clear" w:color="auto" w:fill="auto"/>
            <w:noWrap/>
            <w:vAlign w:val="bottom"/>
          </w:tcPr>
          <w:p w14:paraId="4A295BD3"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2013</w:t>
            </w:r>
          </w:p>
        </w:tc>
        <w:tc>
          <w:tcPr>
            <w:tcW w:w="2554" w:type="dxa"/>
            <w:tcBorders>
              <w:top w:val="nil"/>
              <w:left w:val="nil"/>
              <w:bottom w:val="nil"/>
              <w:right w:val="nil"/>
            </w:tcBorders>
            <w:shd w:val="clear" w:color="auto" w:fill="auto"/>
            <w:noWrap/>
            <w:vAlign w:val="bottom"/>
          </w:tcPr>
          <w:p w14:paraId="2FB49056"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Australia/New Zealand</w:t>
            </w:r>
          </w:p>
        </w:tc>
        <w:tc>
          <w:tcPr>
            <w:tcW w:w="879" w:type="dxa"/>
            <w:tcBorders>
              <w:top w:val="nil"/>
              <w:left w:val="nil"/>
              <w:bottom w:val="nil"/>
              <w:right w:val="nil"/>
            </w:tcBorders>
            <w:shd w:val="clear" w:color="auto" w:fill="auto"/>
            <w:noWrap/>
            <w:vAlign w:val="bottom"/>
          </w:tcPr>
          <w:p w14:paraId="3D11EF2F"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7411C3E6"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10</w:t>
            </w:r>
          </w:p>
        </w:tc>
        <w:tc>
          <w:tcPr>
            <w:tcW w:w="879" w:type="dxa"/>
            <w:tcBorders>
              <w:top w:val="nil"/>
              <w:left w:val="nil"/>
              <w:bottom w:val="nil"/>
              <w:right w:val="nil"/>
            </w:tcBorders>
            <w:shd w:val="clear" w:color="auto" w:fill="auto"/>
            <w:noWrap/>
            <w:vAlign w:val="bottom"/>
          </w:tcPr>
          <w:p w14:paraId="689548F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12</w:t>
            </w:r>
          </w:p>
        </w:tc>
        <w:tc>
          <w:tcPr>
            <w:tcW w:w="879" w:type="dxa"/>
            <w:tcBorders>
              <w:top w:val="nil"/>
              <w:left w:val="nil"/>
              <w:bottom w:val="nil"/>
              <w:right w:val="nil"/>
            </w:tcBorders>
            <w:shd w:val="clear" w:color="auto" w:fill="auto"/>
            <w:noWrap/>
            <w:vAlign w:val="bottom"/>
          </w:tcPr>
          <w:p w14:paraId="421DE44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17</w:t>
            </w:r>
          </w:p>
        </w:tc>
        <w:tc>
          <w:tcPr>
            <w:tcW w:w="879" w:type="dxa"/>
            <w:tcBorders>
              <w:top w:val="nil"/>
              <w:left w:val="nil"/>
              <w:bottom w:val="nil"/>
              <w:right w:val="nil"/>
            </w:tcBorders>
            <w:shd w:val="clear" w:color="auto" w:fill="auto"/>
            <w:noWrap/>
            <w:vAlign w:val="bottom"/>
          </w:tcPr>
          <w:p w14:paraId="0FCA835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15</w:t>
            </w:r>
          </w:p>
        </w:tc>
        <w:tc>
          <w:tcPr>
            <w:tcW w:w="879" w:type="dxa"/>
            <w:tcBorders>
              <w:top w:val="nil"/>
              <w:left w:val="nil"/>
              <w:bottom w:val="nil"/>
              <w:right w:val="nil"/>
            </w:tcBorders>
            <w:shd w:val="clear" w:color="auto" w:fill="auto"/>
            <w:noWrap/>
            <w:vAlign w:val="bottom"/>
          </w:tcPr>
          <w:p w14:paraId="671E098E"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11</w:t>
            </w:r>
          </w:p>
        </w:tc>
        <w:tc>
          <w:tcPr>
            <w:tcW w:w="879" w:type="dxa"/>
            <w:tcBorders>
              <w:top w:val="nil"/>
              <w:left w:val="nil"/>
              <w:bottom w:val="nil"/>
              <w:right w:val="nil"/>
            </w:tcBorders>
            <w:shd w:val="clear" w:color="auto" w:fill="auto"/>
            <w:noWrap/>
            <w:vAlign w:val="bottom"/>
          </w:tcPr>
          <w:p w14:paraId="06618214"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10</w:t>
            </w:r>
          </w:p>
        </w:tc>
        <w:tc>
          <w:tcPr>
            <w:tcW w:w="879" w:type="dxa"/>
            <w:tcBorders>
              <w:top w:val="nil"/>
              <w:left w:val="nil"/>
              <w:bottom w:val="nil"/>
              <w:right w:val="nil"/>
            </w:tcBorders>
            <w:shd w:val="clear" w:color="auto" w:fill="auto"/>
            <w:noWrap/>
            <w:vAlign w:val="bottom"/>
          </w:tcPr>
          <w:p w14:paraId="65C7E58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w:t>
            </w:r>
          </w:p>
        </w:tc>
        <w:tc>
          <w:tcPr>
            <w:tcW w:w="879" w:type="dxa"/>
            <w:tcBorders>
              <w:top w:val="nil"/>
              <w:left w:val="nil"/>
              <w:bottom w:val="nil"/>
              <w:right w:val="nil"/>
            </w:tcBorders>
            <w:shd w:val="clear" w:color="auto" w:fill="auto"/>
            <w:noWrap/>
            <w:vAlign w:val="bottom"/>
          </w:tcPr>
          <w:p w14:paraId="40BE131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tcPr>
          <w:p w14:paraId="56EFFE8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79</w:t>
            </w:r>
          </w:p>
        </w:tc>
      </w:tr>
      <w:tr w:rsidR="00F9572D" w:rsidRPr="001C1085" w14:paraId="5366F871" w14:textId="77777777" w:rsidTr="0018403F">
        <w:trPr>
          <w:trHeight w:val="300"/>
        </w:trPr>
        <w:tc>
          <w:tcPr>
            <w:tcW w:w="3544" w:type="dxa"/>
            <w:tcBorders>
              <w:top w:val="nil"/>
              <w:left w:val="nil"/>
              <w:bottom w:val="nil"/>
              <w:right w:val="nil"/>
            </w:tcBorders>
            <w:shd w:val="clear" w:color="auto" w:fill="auto"/>
            <w:noWrap/>
            <w:vAlign w:val="bottom"/>
          </w:tcPr>
          <w:p w14:paraId="733C4463" w14:textId="54710109"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Eskand</w:t>
            </w:r>
            <w:r>
              <w:rPr>
                <w:rFonts w:ascii="Arial" w:eastAsia="Times New Roman" w:hAnsi="Arial" w:cs="Arial"/>
                <w:color w:val="000000"/>
                <w:lang w:eastAsia="en-AU"/>
              </w:rPr>
              <w:t>ar</w:t>
            </w:r>
            <w:r w:rsidRPr="001C1085">
              <w:rPr>
                <w:rFonts w:ascii="Arial" w:eastAsia="Times New Roman" w:hAnsi="Arial" w:cs="Arial"/>
                <w:color w:val="000000"/>
                <w:lang w:eastAsia="en-AU"/>
              </w:rPr>
              <w:t>ieh et al., 2017</w:t>
            </w:r>
            <w:r>
              <w:rPr>
                <w:rFonts w:ascii="Arial" w:eastAsia="Times New Roman" w:hAnsi="Arial" w:cs="Arial"/>
                <w:color w:val="000000"/>
                <w:lang w:eastAsia="en-AU"/>
              </w:rPr>
              <w:t xml:space="preserve"> </w:t>
            </w:r>
            <w:r w:rsidR="001C1BFC">
              <w:rPr>
                <w:rFonts w:ascii="Arial" w:eastAsia="Times New Roman" w:hAnsi="Arial" w:cs="Arial"/>
                <w:noProof/>
                <w:color w:val="000000"/>
                <w:lang w:eastAsia="en-AU"/>
              </w:rPr>
              <w:t>[47]</w:t>
            </w:r>
          </w:p>
        </w:tc>
        <w:tc>
          <w:tcPr>
            <w:tcW w:w="706" w:type="dxa"/>
            <w:tcBorders>
              <w:top w:val="nil"/>
              <w:left w:val="nil"/>
              <w:bottom w:val="nil"/>
              <w:right w:val="nil"/>
            </w:tcBorders>
            <w:shd w:val="clear" w:color="auto" w:fill="auto"/>
            <w:noWrap/>
            <w:vAlign w:val="bottom"/>
          </w:tcPr>
          <w:p w14:paraId="6A1891E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2016</w:t>
            </w:r>
          </w:p>
        </w:tc>
        <w:tc>
          <w:tcPr>
            <w:tcW w:w="2554" w:type="dxa"/>
            <w:tcBorders>
              <w:top w:val="nil"/>
              <w:left w:val="nil"/>
              <w:bottom w:val="nil"/>
              <w:right w:val="nil"/>
            </w:tcBorders>
            <w:shd w:val="clear" w:color="auto" w:fill="auto"/>
            <w:noWrap/>
            <w:vAlign w:val="bottom"/>
          </w:tcPr>
          <w:p w14:paraId="4BA1781F"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Iran</w:t>
            </w:r>
          </w:p>
        </w:tc>
        <w:tc>
          <w:tcPr>
            <w:tcW w:w="879" w:type="dxa"/>
            <w:tcBorders>
              <w:top w:val="nil"/>
              <w:left w:val="nil"/>
              <w:bottom w:val="nil"/>
              <w:right w:val="nil"/>
            </w:tcBorders>
            <w:shd w:val="clear" w:color="auto" w:fill="auto"/>
            <w:noWrap/>
            <w:vAlign w:val="bottom"/>
          </w:tcPr>
          <w:p w14:paraId="0C8A221E"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w:t>
            </w:r>
          </w:p>
        </w:tc>
        <w:tc>
          <w:tcPr>
            <w:tcW w:w="879" w:type="dxa"/>
            <w:tcBorders>
              <w:top w:val="nil"/>
              <w:left w:val="nil"/>
              <w:bottom w:val="nil"/>
              <w:right w:val="nil"/>
            </w:tcBorders>
            <w:shd w:val="clear" w:color="auto" w:fill="auto"/>
            <w:noWrap/>
            <w:vAlign w:val="bottom"/>
          </w:tcPr>
          <w:p w14:paraId="2A4B9F1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15</w:t>
            </w:r>
          </w:p>
        </w:tc>
        <w:tc>
          <w:tcPr>
            <w:tcW w:w="879" w:type="dxa"/>
            <w:tcBorders>
              <w:top w:val="nil"/>
              <w:left w:val="nil"/>
              <w:bottom w:val="nil"/>
              <w:right w:val="nil"/>
            </w:tcBorders>
            <w:shd w:val="clear" w:color="auto" w:fill="auto"/>
            <w:noWrap/>
            <w:vAlign w:val="bottom"/>
          </w:tcPr>
          <w:p w14:paraId="3223B03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37</w:t>
            </w:r>
          </w:p>
        </w:tc>
        <w:tc>
          <w:tcPr>
            <w:tcW w:w="879" w:type="dxa"/>
            <w:tcBorders>
              <w:top w:val="nil"/>
              <w:left w:val="nil"/>
              <w:bottom w:val="nil"/>
              <w:right w:val="nil"/>
            </w:tcBorders>
            <w:shd w:val="clear" w:color="auto" w:fill="auto"/>
            <w:noWrap/>
            <w:vAlign w:val="bottom"/>
          </w:tcPr>
          <w:p w14:paraId="1E2C0CEB"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26</w:t>
            </w:r>
          </w:p>
        </w:tc>
        <w:tc>
          <w:tcPr>
            <w:tcW w:w="879" w:type="dxa"/>
            <w:tcBorders>
              <w:top w:val="nil"/>
              <w:left w:val="nil"/>
              <w:bottom w:val="nil"/>
              <w:right w:val="nil"/>
            </w:tcBorders>
            <w:shd w:val="clear" w:color="auto" w:fill="auto"/>
            <w:noWrap/>
            <w:vAlign w:val="bottom"/>
          </w:tcPr>
          <w:p w14:paraId="1AF84C2B"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18</w:t>
            </w:r>
          </w:p>
        </w:tc>
        <w:tc>
          <w:tcPr>
            <w:tcW w:w="879" w:type="dxa"/>
            <w:tcBorders>
              <w:top w:val="nil"/>
              <w:left w:val="nil"/>
              <w:bottom w:val="nil"/>
              <w:right w:val="nil"/>
            </w:tcBorders>
            <w:shd w:val="clear" w:color="auto" w:fill="auto"/>
            <w:noWrap/>
            <w:vAlign w:val="bottom"/>
          </w:tcPr>
          <w:p w14:paraId="428EDB5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w:t>
            </w:r>
          </w:p>
        </w:tc>
        <w:tc>
          <w:tcPr>
            <w:tcW w:w="879" w:type="dxa"/>
            <w:tcBorders>
              <w:top w:val="nil"/>
              <w:left w:val="nil"/>
              <w:bottom w:val="nil"/>
              <w:right w:val="nil"/>
            </w:tcBorders>
            <w:shd w:val="clear" w:color="auto" w:fill="auto"/>
            <w:noWrap/>
            <w:vAlign w:val="bottom"/>
          </w:tcPr>
          <w:p w14:paraId="7D80C07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nil"/>
              <w:right w:val="nil"/>
            </w:tcBorders>
            <w:shd w:val="clear" w:color="auto" w:fill="auto"/>
            <w:noWrap/>
            <w:vAlign w:val="bottom"/>
          </w:tcPr>
          <w:p w14:paraId="4F65643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7FC33021"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nil"/>
              <w:right w:val="nil"/>
            </w:tcBorders>
            <w:shd w:val="clear" w:color="auto" w:fill="auto"/>
            <w:noWrap/>
            <w:vAlign w:val="bottom"/>
          </w:tcPr>
          <w:p w14:paraId="7E1A562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103</w:t>
            </w:r>
          </w:p>
        </w:tc>
      </w:tr>
      <w:tr w:rsidR="00F9572D" w:rsidRPr="001C1085" w14:paraId="4413B523" w14:textId="77777777" w:rsidTr="0018403F">
        <w:trPr>
          <w:trHeight w:val="300"/>
        </w:trPr>
        <w:tc>
          <w:tcPr>
            <w:tcW w:w="3544" w:type="dxa"/>
            <w:tcBorders>
              <w:top w:val="nil"/>
              <w:left w:val="nil"/>
              <w:bottom w:val="nil"/>
              <w:right w:val="nil"/>
            </w:tcBorders>
            <w:shd w:val="clear" w:color="auto" w:fill="auto"/>
            <w:noWrap/>
            <w:vAlign w:val="bottom"/>
          </w:tcPr>
          <w:p w14:paraId="3055F9C4" w14:textId="061F7E61"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Tian et al., 2020</w:t>
            </w:r>
            <w:r>
              <w:rPr>
                <w:rFonts w:ascii="Arial" w:eastAsia="Times New Roman" w:hAnsi="Arial" w:cs="Arial"/>
                <w:color w:val="000000"/>
                <w:lang w:eastAsia="en-AU"/>
              </w:rPr>
              <w:t xml:space="preserve">a </w:t>
            </w:r>
            <w:r w:rsidR="001C1BFC">
              <w:rPr>
                <w:rFonts w:ascii="Arial" w:eastAsia="Times New Roman" w:hAnsi="Arial" w:cs="Arial"/>
                <w:noProof/>
                <w:color w:val="000000"/>
                <w:lang w:eastAsia="en-AU"/>
              </w:rPr>
              <w:t>[87]</w:t>
            </w:r>
          </w:p>
        </w:tc>
        <w:tc>
          <w:tcPr>
            <w:tcW w:w="706" w:type="dxa"/>
            <w:tcBorders>
              <w:top w:val="nil"/>
              <w:left w:val="nil"/>
              <w:bottom w:val="nil"/>
              <w:right w:val="nil"/>
            </w:tcBorders>
            <w:shd w:val="clear" w:color="auto" w:fill="auto"/>
            <w:noWrap/>
            <w:vAlign w:val="bottom"/>
          </w:tcPr>
          <w:p w14:paraId="6D5BB19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2016</w:t>
            </w:r>
          </w:p>
        </w:tc>
        <w:tc>
          <w:tcPr>
            <w:tcW w:w="2554" w:type="dxa"/>
            <w:tcBorders>
              <w:top w:val="nil"/>
              <w:left w:val="nil"/>
              <w:bottom w:val="nil"/>
              <w:right w:val="nil"/>
            </w:tcBorders>
            <w:shd w:val="clear" w:color="auto" w:fill="auto"/>
            <w:noWrap/>
            <w:vAlign w:val="bottom"/>
          </w:tcPr>
          <w:p w14:paraId="71B7C796"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China</w:t>
            </w:r>
          </w:p>
        </w:tc>
        <w:tc>
          <w:tcPr>
            <w:tcW w:w="879" w:type="dxa"/>
            <w:tcBorders>
              <w:top w:val="nil"/>
              <w:left w:val="nil"/>
              <w:bottom w:val="nil"/>
              <w:right w:val="nil"/>
            </w:tcBorders>
            <w:shd w:val="clear" w:color="auto" w:fill="auto"/>
            <w:noWrap/>
            <w:vAlign w:val="bottom"/>
          </w:tcPr>
          <w:p w14:paraId="3270C373"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42</w:t>
            </w:r>
          </w:p>
        </w:tc>
        <w:tc>
          <w:tcPr>
            <w:tcW w:w="879" w:type="dxa"/>
            <w:tcBorders>
              <w:top w:val="nil"/>
              <w:left w:val="nil"/>
              <w:bottom w:val="nil"/>
              <w:right w:val="nil"/>
            </w:tcBorders>
            <w:shd w:val="clear" w:color="auto" w:fill="auto"/>
            <w:noWrap/>
            <w:vAlign w:val="bottom"/>
          </w:tcPr>
          <w:p w14:paraId="2B06D34B"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150</w:t>
            </w:r>
          </w:p>
        </w:tc>
        <w:tc>
          <w:tcPr>
            <w:tcW w:w="879" w:type="dxa"/>
            <w:tcBorders>
              <w:top w:val="nil"/>
              <w:left w:val="nil"/>
              <w:bottom w:val="nil"/>
              <w:right w:val="nil"/>
            </w:tcBorders>
            <w:shd w:val="clear" w:color="auto" w:fill="auto"/>
            <w:noWrap/>
            <w:vAlign w:val="bottom"/>
          </w:tcPr>
          <w:p w14:paraId="3FE4A6C8"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526</w:t>
            </w:r>
          </w:p>
        </w:tc>
        <w:tc>
          <w:tcPr>
            <w:tcW w:w="879" w:type="dxa"/>
            <w:tcBorders>
              <w:top w:val="nil"/>
              <w:left w:val="nil"/>
              <w:bottom w:val="nil"/>
              <w:right w:val="nil"/>
            </w:tcBorders>
            <w:shd w:val="clear" w:color="auto" w:fill="auto"/>
            <w:noWrap/>
            <w:vAlign w:val="bottom"/>
          </w:tcPr>
          <w:p w14:paraId="41DF2BE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626</w:t>
            </w:r>
          </w:p>
        </w:tc>
        <w:tc>
          <w:tcPr>
            <w:tcW w:w="879" w:type="dxa"/>
            <w:tcBorders>
              <w:top w:val="nil"/>
              <w:left w:val="nil"/>
              <w:bottom w:val="nil"/>
              <w:right w:val="nil"/>
            </w:tcBorders>
            <w:shd w:val="clear" w:color="auto" w:fill="auto"/>
            <w:noWrap/>
            <w:vAlign w:val="bottom"/>
          </w:tcPr>
          <w:p w14:paraId="29A3662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960</w:t>
            </w:r>
          </w:p>
        </w:tc>
        <w:tc>
          <w:tcPr>
            <w:tcW w:w="879" w:type="dxa"/>
            <w:tcBorders>
              <w:top w:val="nil"/>
              <w:left w:val="nil"/>
              <w:bottom w:val="nil"/>
              <w:right w:val="nil"/>
            </w:tcBorders>
            <w:shd w:val="clear" w:color="auto" w:fill="auto"/>
            <w:noWrap/>
            <w:vAlign w:val="bottom"/>
          </w:tcPr>
          <w:p w14:paraId="7C92B2F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843</w:t>
            </w:r>
          </w:p>
        </w:tc>
        <w:tc>
          <w:tcPr>
            <w:tcW w:w="879" w:type="dxa"/>
            <w:tcBorders>
              <w:top w:val="nil"/>
              <w:left w:val="nil"/>
              <w:bottom w:val="nil"/>
              <w:right w:val="nil"/>
            </w:tcBorders>
            <w:shd w:val="clear" w:color="auto" w:fill="auto"/>
            <w:noWrap/>
            <w:vAlign w:val="bottom"/>
          </w:tcPr>
          <w:p w14:paraId="22E8B4E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500</w:t>
            </w:r>
          </w:p>
        </w:tc>
        <w:tc>
          <w:tcPr>
            <w:tcW w:w="879" w:type="dxa"/>
            <w:tcBorders>
              <w:top w:val="nil"/>
              <w:left w:val="nil"/>
              <w:bottom w:val="nil"/>
              <w:right w:val="nil"/>
            </w:tcBorders>
            <w:shd w:val="clear" w:color="auto" w:fill="auto"/>
            <w:noWrap/>
            <w:vAlign w:val="bottom"/>
          </w:tcPr>
          <w:p w14:paraId="5470CF78"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136</w:t>
            </w:r>
          </w:p>
        </w:tc>
        <w:tc>
          <w:tcPr>
            <w:tcW w:w="879" w:type="dxa"/>
            <w:tcBorders>
              <w:top w:val="nil"/>
              <w:left w:val="nil"/>
              <w:bottom w:val="nil"/>
              <w:right w:val="nil"/>
            </w:tcBorders>
            <w:shd w:val="clear" w:color="auto" w:fill="auto"/>
            <w:noWrap/>
            <w:vAlign w:val="bottom"/>
          </w:tcPr>
          <w:p w14:paraId="06D4085D"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13</w:t>
            </w:r>
          </w:p>
        </w:tc>
        <w:tc>
          <w:tcPr>
            <w:tcW w:w="879" w:type="dxa"/>
            <w:tcBorders>
              <w:top w:val="nil"/>
              <w:left w:val="nil"/>
              <w:bottom w:val="nil"/>
              <w:right w:val="nil"/>
            </w:tcBorders>
            <w:shd w:val="clear" w:color="auto" w:fill="auto"/>
            <w:noWrap/>
            <w:vAlign w:val="bottom"/>
          </w:tcPr>
          <w:p w14:paraId="0F517C21"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3796</w:t>
            </w:r>
          </w:p>
        </w:tc>
      </w:tr>
      <w:tr w:rsidR="00F9572D" w:rsidRPr="001C1085" w14:paraId="123B97B2" w14:textId="77777777" w:rsidTr="0018403F">
        <w:trPr>
          <w:trHeight w:val="300"/>
        </w:trPr>
        <w:tc>
          <w:tcPr>
            <w:tcW w:w="3544" w:type="dxa"/>
            <w:tcBorders>
              <w:top w:val="nil"/>
              <w:left w:val="nil"/>
              <w:bottom w:val="nil"/>
              <w:right w:val="nil"/>
            </w:tcBorders>
            <w:shd w:val="clear" w:color="auto" w:fill="auto"/>
            <w:noWrap/>
            <w:vAlign w:val="bottom"/>
          </w:tcPr>
          <w:p w14:paraId="4318CD91" w14:textId="109AEDCF"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Tian et al., 2020</w:t>
            </w:r>
            <w:r>
              <w:rPr>
                <w:rFonts w:ascii="Arial" w:eastAsia="Times New Roman" w:hAnsi="Arial" w:cs="Arial"/>
                <w:color w:val="000000"/>
                <w:lang w:eastAsia="en-AU"/>
              </w:rPr>
              <w:t xml:space="preserve">b </w:t>
            </w:r>
            <w:r w:rsidR="001C1BFC">
              <w:rPr>
                <w:rFonts w:ascii="Arial" w:eastAsia="Times New Roman" w:hAnsi="Arial" w:cs="Arial"/>
                <w:noProof/>
                <w:color w:val="000000"/>
                <w:lang w:eastAsia="en-AU"/>
              </w:rPr>
              <w:t>[87]</w:t>
            </w:r>
          </w:p>
        </w:tc>
        <w:tc>
          <w:tcPr>
            <w:tcW w:w="706" w:type="dxa"/>
            <w:tcBorders>
              <w:top w:val="nil"/>
              <w:left w:val="nil"/>
              <w:bottom w:val="nil"/>
              <w:right w:val="nil"/>
            </w:tcBorders>
            <w:shd w:val="clear" w:color="auto" w:fill="auto"/>
            <w:noWrap/>
            <w:vAlign w:val="bottom"/>
          </w:tcPr>
          <w:p w14:paraId="299302F4"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2017</w:t>
            </w:r>
          </w:p>
        </w:tc>
        <w:tc>
          <w:tcPr>
            <w:tcW w:w="2554" w:type="dxa"/>
            <w:tcBorders>
              <w:top w:val="nil"/>
              <w:left w:val="nil"/>
              <w:bottom w:val="nil"/>
              <w:right w:val="nil"/>
            </w:tcBorders>
            <w:shd w:val="clear" w:color="auto" w:fill="auto"/>
            <w:noWrap/>
            <w:vAlign w:val="bottom"/>
          </w:tcPr>
          <w:p w14:paraId="07E504DD"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China</w:t>
            </w:r>
          </w:p>
        </w:tc>
        <w:tc>
          <w:tcPr>
            <w:tcW w:w="879" w:type="dxa"/>
            <w:tcBorders>
              <w:top w:val="nil"/>
              <w:left w:val="nil"/>
              <w:bottom w:val="nil"/>
              <w:right w:val="nil"/>
            </w:tcBorders>
            <w:shd w:val="clear" w:color="auto" w:fill="auto"/>
            <w:noWrap/>
            <w:vAlign w:val="bottom"/>
          </w:tcPr>
          <w:p w14:paraId="77F84AEE"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65</w:t>
            </w:r>
          </w:p>
        </w:tc>
        <w:tc>
          <w:tcPr>
            <w:tcW w:w="879" w:type="dxa"/>
            <w:tcBorders>
              <w:top w:val="nil"/>
              <w:left w:val="nil"/>
              <w:bottom w:val="nil"/>
              <w:right w:val="nil"/>
            </w:tcBorders>
            <w:shd w:val="clear" w:color="auto" w:fill="auto"/>
            <w:noWrap/>
            <w:vAlign w:val="bottom"/>
          </w:tcPr>
          <w:p w14:paraId="0B5F729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171</w:t>
            </w:r>
          </w:p>
        </w:tc>
        <w:tc>
          <w:tcPr>
            <w:tcW w:w="879" w:type="dxa"/>
            <w:tcBorders>
              <w:top w:val="nil"/>
              <w:left w:val="nil"/>
              <w:bottom w:val="nil"/>
              <w:right w:val="nil"/>
            </w:tcBorders>
            <w:shd w:val="clear" w:color="auto" w:fill="auto"/>
            <w:noWrap/>
            <w:vAlign w:val="bottom"/>
          </w:tcPr>
          <w:p w14:paraId="67BBD48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519</w:t>
            </w:r>
          </w:p>
        </w:tc>
        <w:tc>
          <w:tcPr>
            <w:tcW w:w="879" w:type="dxa"/>
            <w:tcBorders>
              <w:top w:val="nil"/>
              <w:left w:val="nil"/>
              <w:bottom w:val="nil"/>
              <w:right w:val="nil"/>
            </w:tcBorders>
            <w:shd w:val="clear" w:color="auto" w:fill="auto"/>
            <w:noWrap/>
            <w:vAlign w:val="bottom"/>
          </w:tcPr>
          <w:p w14:paraId="2BD46E46"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664</w:t>
            </w:r>
          </w:p>
        </w:tc>
        <w:tc>
          <w:tcPr>
            <w:tcW w:w="879" w:type="dxa"/>
            <w:tcBorders>
              <w:top w:val="nil"/>
              <w:left w:val="nil"/>
              <w:bottom w:val="nil"/>
              <w:right w:val="nil"/>
            </w:tcBorders>
            <w:shd w:val="clear" w:color="auto" w:fill="auto"/>
            <w:noWrap/>
            <w:vAlign w:val="bottom"/>
          </w:tcPr>
          <w:p w14:paraId="0F972E4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901</w:t>
            </w:r>
          </w:p>
        </w:tc>
        <w:tc>
          <w:tcPr>
            <w:tcW w:w="879" w:type="dxa"/>
            <w:tcBorders>
              <w:top w:val="nil"/>
              <w:left w:val="nil"/>
              <w:bottom w:val="nil"/>
              <w:right w:val="nil"/>
            </w:tcBorders>
            <w:shd w:val="clear" w:color="auto" w:fill="auto"/>
            <w:noWrap/>
            <w:vAlign w:val="bottom"/>
          </w:tcPr>
          <w:p w14:paraId="35D61748"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840</w:t>
            </w:r>
          </w:p>
        </w:tc>
        <w:tc>
          <w:tcPr>
            <w:tcW w:w="879" w:type="dxa"/>
            <w:tcBorders>
              <w:top w:val="nil"/>
              <w:left w:val="nil"/>
              <w:bottom w:val="nil"/>
              <w:right w:val="nil"/>
            </w:tcBorders>
            <w:shd w:val="clear" w:color="auto" w:fill="auto"/>
            <w:noWrap/>
            <w:vAlign w:val="bottom"/>
          </w:tcPr>
          <w:p w14:paraId="7147EA5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589</w:t>
            </w:r>
          </w:p>
        </w:tc>
        <w:tc>
          <w:tcPr>
            <w:tcW w:w="879" w:type="dxa"/>
            <w:tcBorders>
              <w:top w:val="nil"/>
              <w:left w:val="nil"/>
              <w:bottom w:val="nil"/>
              <w:right w:val="nil"/>
            </w:tcBorders>
            <w:shd w:val="clear" w:color="auto" w:fill="auto"/>
            <w:noWrap/>
            <w:vAlign w:val="bottom"/>
          </w:tcPr>
          <w:p w14:paraId="6EF4F20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160</w:t>
            </w:r>
          </w:p>
        </w:tc>
        <w:tc>
          <w:tcPr>
            <w:tcW w:w="879" w:type="dxa"/>
            <w:tcBorders>
              <w:top w:val="nil"/>
              <w:left w:val="nil"/>
              <w:bottom w:val="nil"/>
              <w:right w:val="nil"/>
            </w:tcBorders>
            <w:shd w:val="clear" w:color="auto" w:fill="auto"/>
            <w:noWrap/>
            <w:vAlign w:val="bottom"/>
          </w:tcPr>
          <w:p w14:paraId="45F4DC6A"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24</w:t>
            </w:r>
          </w:p>
        </w:tc>
        <w:tc>
          <w:tcPr>
            <w:tcW w:w="879" w:type="dxa"/>
            <w:tcBorders>
              <w:top w:val="nil"/>
              <w:left w:val="nil"/>
              <w:bottom w:val="nil"/>
              <w:right w:val="nil"/>
            </w:tcBorders>
            <w:shd w:val="clear" w:color="auto" w:fill="auto"/>
            <w:noWrap/>
            <w:vAlign w:val="bottom"/>
          </w:tcPr>
          <w:p w14:paraId="5DB8B66F"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3933</w:t>
            </w:r>
          </w:p>
        </w:tc>
      </w:tr>
      <w:tr w:rsidR="00F9572D" w:rsidRPr="001C1085" w14:paraId="3386F1E1" w14:textId="77777777" w:rsidTr="0018403F">
        <w:trPr>
          <w:trHeight w:val="300"/>
        </w:trPr>
        <w:tc>
          <w:tcPr>
            <w:tcW w:w="3544" w:type="dxa"/>
            <w:tcBorders>
              <w:top w:val="nil"/>
              <w:left w:val="nil"/>
              <w:bottom w:val="nil"/>
              <w:right w:val="nil"/>
            </w:tcBorders>
            <w:shd w:val="clear" w:color="auto" w:fill="auto"/>
            <w:noWrap/>
            <w:vAlign w:val="bottom"/>
          </w:tcPr>
          <w:p w14:paraId="13373333" w14:textId="373A5CE6"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Tian et al., 2020</w:t>
            </w:r>
            <w:r>
              <w:rPr>
                <w:rFonts w:ascii="Arial" w:eastAsia="Times New Roman" w:hAnsi="Arial" w:cs="Arial"/>
                <w:color w:val="000000"/>
                <w:lang w:eastAsia="en-AU"/>
              </w:rPr>
              <w:t xml:space="preserve">c </w:t>
            </w:r>
            <w:r w:rsidR="001C1BFC">
              <w:rPr>
                <w:rFonts w:ascii="Arial" w:eastAsia="Times New Roman" w:hAnsi="Arial" w:cs="Arial"/>
                <w:noProof/>
                <w:color w:val="000000"/>
                <w:lang w:eastAsia="en-AU"/>
              </w:rPr>
              <w:t>[87]</w:t>
            </w:r>
          </w:p>
        </w:tc>
        <w:tc>
          <w:tcPr>
            <w:tcW w:w="706" w:type="dxa"/>
            <w:tcBorders>
              <w:top w:val="nil"/>
              <w:left w:val="nil"/>
              <w:bottom w:val="nil"/>
              <w:right w:val="nil"/>
            </w:tcBorders>
            <w:shd w:val="clear" w:color="auto" w:fill="auto"/>
            <w:noWrap/>
            <w:vAlign w:val="bottom"/>
          </w:tcPr>
          <w:p w14:paraId="47B3F37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2018</w:t>
            </w:r>
          </w:p>
        </w:tc>
        <w:tc>
          <w:tcPr>
            <w:tcW w:w="2554" w:type="dxa"/>
            <w:tcBorders>
              <w:top w:val="nil"/>
              <w:left w:val="nil"/>
              <w:bottom w:val="nil"/>
              <w:right w:val="nil"/>
            </w:tcBorders>
            <w:shd w:val="clear" w:color="auto" w:fill="auto"/>
            <w:noWrap/>
            <w:vAlign w:val="bottom"/>
          </w:tcPr>
          <w:p w14:paraId="5D8FB7BA"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China</w:t>
            </w:r>
          </w:p>
        </w:tc>
        <w:tc>
          <w:tcPr>
            <w:tcW w:w="879" w:type="dxa"/>
            <w:tcBorders>
              <w:top w:val="nil"/>
              <w:left w:val="nil"/>
              <w:bottom w:val="nil"/>
              <w:right w:val="nil"/>
            </w:tcBorders>
            <w:shd w:val="clear" w:color="auto" w:fill="auto"/>
            <w:noWrap/>
            <w:vAlign w:val="bottom"/>
          </w:tcPr>
          <w:p w14:paraId="6D884DCF"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75</w:t>
            </w:r>
          </w:p>
        </w:tc>
        <w:tc>
          <w:tcPr>
            <w:tcW w:w="879" w:type="dxa"/>
            <w:tcBorders>
              <w:top w:val="nil"/>
              <w:left w:val="nil"/>
              <w:bottom w:val="nil"/>
              <w:right w:val="nil"/>
            </w:tcBorders>
            <w:shd w:val="clear" w:color="auto" w:fill="auto"/>
            <w:noWrap/>
            <w:vAlign w:val="bottom"/>
          </w:tcPr>
          <w:p w14:paraId="211DE5FA"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185</w:t>
            </w:r>
          </w:p>
        </w:tc>
        <w:tc>
          <w:tcPr>
            <w:tcW w:w="879" w:type="dxa"/>
            <w:tcBorders>
              <w:top w:val="nil"/>
              <w:left w:val="nil"/>
              <w:bottom w:val="nil"/>
              <w:right w:val="nil"/>
            </w:tcBorders>
            <w:shd w:val="clear" w:color="auto" w:fill="auto"/>
            <w:noWrap/>
            <w:vAlign w:val="bottom"/>
          </w:tcPr>
          <w:p w14:paraId="130C7154"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498</w:t>
            </w:r>
          </w:p>
        </w:tc>
        <w:tc>
          <w:tcPr>
            <w:tcW w:w="879" w:type="dxa"/>
            <w:tcBorders>
              <w:top w:val="nil"/>
              <w:left w:val="nil"/>
              <w:bottom w:val="nil"/>
              <w:right w:val="nil"/>
            </w:tcBorders>
            <w:shd w:val="clear" w:color="auto" w:fill="auto"/>
            <w:noWrap/>
            <w:vAlign w:val="bottom"/>
          </w:tcPr>
          <w:p w14:paraId="5F645E4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711</w:t>
            </w:r>
          </w:p>
        </w:tc>
        <w:tc>
          <w:tcPr>
            <w:tcW w:w="879" w:type="dxa"/>
            <w:tcBorders>
              <w:top w:val="nil"/>
              <w:left w:val="nil"/>
              <w:bottom w:val="nil"/>
              <w:right w:val="nil"/>
            </w:tcBorders>
            <w:shd w:val="clear" w:color="auto" w:fill="auto"/>
            <w:noWrap/>
            <w:vAlign w:val="bottom"/>
          </w:tcPr>
          <w:p w14:paraId="2880F36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965</w:t>
            </w:r>
          </w:p>
        </w:tc>
        <w:tc>
          <w:tcPr>
            <w:tcW w:w="879" w:type="dxa"/>
            <w:tcBorders>
              <w:top w:val="nil"/>
              <w:left w:val="nil"/>
              <w:bottom w:val="nil"/>
              <w:right w:val="nil"/>
            </w:tcBorders>
            <w:shd w:val="clear" w:color="auto" w:fill="auto"/>
            <w:noWrap/>
            <w:vAlign w:val="bottom"/>
          </w:tcPr>
          <w:p w14:paraId="76067FB2"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984</w:t>
            </w:r>
          </w:p>
        </w:tc>
        <w:tc>
          <w:tcPr>
            <w:tcW w:w="879" w:type="dxa"/>
            <w:tcBorders>
              <w:top w:val="nil"/>
              <w:left w:val="nil"/>
              <w:bottom w:val="nil"/>
              <w:right w:val="nil"/>
            </w:tcBorders>
            <w:shd w:val="clear" w:color="auto" w:fill="auto"/>
            <w:noWrap/>
            <w:vAlign w:val="bottom"/>
          </w:tcPr>
          <w:p w14:paraId="725DC23A"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636</w:t>
            </w:r>
          </w:p>
        </w:tc>
        <w:tc>
          <w:tcPr>
            <w:tcW w:w="879" w:type="dxa"/>
            <w:tcBorders>
              <w:top w:val="nil"/>
              <w:left w:val="nil"/>
              <w:bottom w:val="nil"/>
              <w:right w:val="nil"/>
            </w:tcBorders>
            <w:shd w:val="clear" w:color="auto" w:fill="auto"/>
            <w:noWrap/>
            <w:vAlign w:val="bottom"/>
          </w:tcPr>
          <w:p w14:paraId="11F120F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173</w:t>
            </w:r>
          </w:p>
        </w:tc>
        <w:tc>
          <w:tcPr>
            <w:tcW w:w="879" w:type="dxa"/>
            <w:tcBorders>
              <w:top w:val="nil"/>
              <w:left w:val="nil"/>
              <w:bottom w:val="nil"/>
              <w:right w:val="nil"/>
            </w:tcBorders>
            <w:shd w:val="clear" w:color="auto" w:fill="auto"/>
            <w:noWrap/>
            <w:vAlign w:val="bottom"/>
          </w:tcPr>
          <w:p w14:paraId="6A89400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29</w:t>
            </w:r>
          </w:p>
        </w:tc>
        <w:tc>
          <w:tcPr>
            <w:tcW w:w="879" w:type="dxa"/>
            <w:tcBorders>
              <w:top w:val="nil"/>
              <w:left w:val="nil"/>
              <w:bottom w:val="nil"/>
              <w:right w:val="nil"/>
            </w:tcBorders>
            <w:shd w:val="clear" w:color="auto" w:fill="auto"/>
            <w:noWrap/>
            <w:vAlign w:val="bottom"/>
          </w:tcPr>
          <w:p w14:paraId="2E69FFC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4256</w:t>
            </w:r>
          </w:p>
        </w:tc>
      </w:tr>
      <w:tr w:rsidR="00F9572D" w:rsidRPr="001C1085" w14:paraId="3C9ED046" w14:textId="77777777" w:rsidTr="0018403F">
        <w:trPr>
          <w:trHeight w:val="300"/>
        </w:trPr>
        <w:tc>
          <w:tcPr>
            <w:tcW w:w="3544" w:type="dxa"/>
            <w:tcBorders>
              <w:top w:val="nil"/>
              <w:left w:val="nil"/>
              <w:bottom w:val="single" w:sz="8" w:space="0" w:color="auto"/>
              <w:right w:val="nil"/>
            </w:tcBorders>
            <w:shd w:val="clear" w:color="auto" w:fill="auto"/>
            <w:noWrap/>
            <w:vAlign w:val="bottom"/>
            <w:hideMark/>
          </w:tcPr>
          <w:p w14:paraId="5AFA0420" w14:textId="3B1A8F89"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Shosha et al., 2020</w:t>
            </w:r>
            <w:r>
              <w:rPr>
                <w:rFonts w:ascii="Arial" w:eastAsia="Times New Roman" w:hAnsi="Arial" w:cs="Arial"/>
                <w:color w:val="000000"/>
                <w:lang w:eastAsia="en-AU"/>
              </w:rPr>
              <w:t xml:space="preserve"> </w:t>
            </w:r>
            <w:r w:rsidR="001C1BFC">
              <w:rPr>
                <w:rFonts w:ascii="Arial" w:eastAsia="Times New Roman" w:hAnsi="Arial" w:cs="Arial"/>
                <w:noProof/>
                <w:color w:val="000000"/>
                <w:lang w:eastAsia="en-AU"/>
              </w:rPr>
              <w:t>[82]</w:t>
            </w:r>
          </w:p>
        </w:tc>
        <w:tc>
          <w:tcPr>
            <w:tcW w:w="706" w:type="dxa"/>
            <w:tcBorders>
              <w:top w:val="nil"/>
              <w:left w:val="nil"/>
              <w:bottom w:val="single" w:sz="8" w:space="0" w:color="auto"/>
              <w:right w:val="nil"/>
            </w:tcBorders>
            <w:shd w:val="clear" w:color="auto" w:fill="auto"/>
            <w:noWrap/>
            <w:vAlign w:val="bottom"/>
            <w:hideMark/>
          </w:tcPr>
          <w:p w14:paraId="447D3317"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2020</w:t>
            </w:r>
          </w:p>
        </w:tc>
        <w:tc>
          <w:tcPr>
            <w:tcW w:w="2554" w:type="dxa"/>
            <w:tcBorders>
              <w:top w:val="nil"/>
              <w:left w:val="nil"/>
              <w:bottom w:val="single" w:sz="8" w:space="0" w:color="auto"/>
              <w:right w:val="nil"/>
            </w:tcBorders>
            <w:shd w:val="clear" w:color="auto" w:fill="auto"/>
            <w:noWrap/>
            <w:vAlign w:val="bottom"/>
            <w:hideMark/>
          </w:tcPr>
          <w:p w14:paraId="121DCFAD" w14:textId="77777777" w:rsidR="00F9572D" w:rsidRPr="001C1085" w:rsidRDefault="00F9572D" w:rsidP="0018403F">
            <w:pPr>
              <w:spacing w:after="0" w:line="480" w:lineRule="auto"/>
              <w:rPr>
                <w:rFonts w:ascii="Arial" w:eastAsia="Times New Roman" w:hAnsi="Arial" w:cs="Arial"/>
                <w:color w:val="000000"/>
                <w:lang w:eastAsia="en-AU"/>
              </w:rPr>
            </w:pPr>
            <w:r w:rsidRPr="001C1085">
              <w:rPr>
                <w:rFonts w:ascii="Arial" w:eastAsia="Times New Roman" w:hAnsi="Arial" w:cs="Arial"/>
                <w:color w:val="000000"/>
                <w:lang w:eastAsia="en-AU"/>
              </w:rPr>
              <w:t>Arabian Gulf</w:t>
            </w:r>
          </w:p>
        </w:tc>
        <w:tc>
          <w:tcPr>
            <w:tcW w:w="879" w:type="dxa"/>
            <w:tcBorders>
              <w:top w:val="nil"/>
              <w:left w:val="nil"/>
              <w:bottom w:val="single" w:sz="8" w:space="0" w:color="auto"/>
              <w:right w:val="nil"/>
            </w:tcBorders>
            <w:shd w:val="clear" w:color="auto" w:fill="auto"/>
            <w:noWrap/>
            <w:vAlign w:val="bottom"/>
            <w:hideMark/>
          </w:tcPr>
          <w:p w14:paraId="1CB4DCEB"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w:t>
            </w:r>
          </w:p>
        </w:tc>
        <w:tc>
          <w:tcPr>
            <w:tcW w:w="879" w:type="dxa"/>
            <w:tcBorders>
              <w:top w:val="nil"/>
              <w:left w:val="nil"/>
              <w:bottom w:val="single" w:sz="8" w:space="0" w:color="auto"/>
              <w:right w:val="nil"/>
            </w:tcBorders>
            <w:shd w:val="clear" w:color="auto" w:fill="auto"/>
            <w:noWrap/>
            <w:vAlign w:val="bottom"/>
            <w:hideMark/>
          </w:tcPr>
          <w:p w14:paraId="618BD84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12</w:t>
            </w:r>
          </w:p>
        </w:tc>
        <w:tc>
          <w:tcPr>
            <w:tcW w:w="879" w:type="dxa"/>
            <w:tcBorders>
              <w:top w:val="nil"/>
              <w:left w:val="nil"/>
              <w:bottom w:val="single" w:sz="8" w:space="0" w:color="auto"/>
              <w:right w:val="nil"/>
            </w:tcBorders>
            <w:shd w:val="clear" w:color="auto" w:fill="auto"/>
            <w:noWrap/>
            <w:vAlign w:val="bottom"/>
            <w:hideMark/>
          </w:tcPr>
          <w:p w14:paraId="4CF4B20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25</w:t>
            </w:r>
          </w:p>
        </w:tc>
        <w:tc>
          <w:tcPr>
            <w:tcW w:w="879" w:type="dxa"/>
            <w:tcBorders>
              <w:top w:val="nil"/>
              <w:left w:val="nil"/>
              <w:bottom w:val="single" w:sz="8" w:space="0" w:color="auto"/>
              <w:right w:val="nil"/>
            </w:tcBorders>
            <w:shd w:val="clear" w:color="auto" w:fill="auto"/>
            <w:noWrap/>
            <w:vAlign w:val="bottom"/>
            <w:hideMark/>
          </w:tcPr>
          <w:p w14:paraId="625F4E2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32</w:t>
            </w:r>
          </w:p>
        </w:tc>
        <w:tc>
          <w:tcPr>
            <w:tcW w:w="879" w:type="dxa"/>
            <w:tcBorders>
              <w:top w:val="nil"/>
              <w:left w:val="nil"/>
              <w:bottom w:val="single" w:sz="8" w:space="0" w:color="auto"/>
              <w:right w:val="nil"/>
            </w:tcBorders>
            <w:shd w:val="clear" w:color="auto" w:fill="auto"/>
            <w:noWrap/>
            <w:vAlign w:val="bottom"/>
            <w:hideMark/>
          </w:tcPr>
          <w:p w14:paraId="7D46E9B0"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7</w:t>
            </w:r>
          </w:p>
        </w:tc>
        <w:tc>
          <w:tcPr>
            <w:tcW w:w="879" w:type="dxa"/>
            <w:tcBorders>
              <w:top w:val="nil"/>
              <w:left w:val="nil"/>
              <w:bottom w:val="single" w:sz="8" w:space="0" w:color="auto"/>
              <w:right w:val="nil"/>
            </w:tcBorders>
            <w:shd w:val="clear" w:color="auto" w:fill="auto"/>
            <w:noWrap/>
            <w:vAlign w:val="bottom"/>
            <w:hideMark/>
          </w:tcPr>
          <w:p w14:paraId="248000DF"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9</w:t>
            </w:r>
          </w:p>
        </w:tc>
        <w:tc>
          <w:tcPr>
            <w:tcW w:w="879" w:type="dxa"/>
            <w:tcBorders>
              <w:top w:val="nil"/>
              <w:left w:val="nil"/>
              <w:bottom w:val="single" w:sz="8" w:space="0" w:color="auto"/>
              <w:right w:val="nil"/>
            </w:tcBorders>
            <w:shd w:val="clear" w:color="auto" w:fill="auto"/>
            <w:noWrap/>
            <w:vAlign w:val="bottom"/>
            <w:hideMark/>
          </w:tcPr>
          <w:p w14:paraId="5DAE2F45"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4</w:t>
            </w:r>
          </w:p>
        </w:tc>
        <w:tc>
          <w:tcPr>
            <w:tcW w:w="879" w:type="dxa"/>
            <w:tcBorders>
              <w:top w:val="nil"/>
              <w:left w:val="nil"/>
              <w:bottom w:val="single" w:sz="8" w:space="0" w:color="auto"/>
              <w:right w:val="nil"/>
            </w:tcBorders>
            <w:shd w:val="clear" w:color="auto" w:fill="auto"/>
            <w:noWrap/>
            <w:vAlign w:val="bottom"/>
            <w:hideMark/>
          </w:tcPr>
          <w:p w14:paraId="7E58561C"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1</w:t>
            </w:r>
          </w:p>
        </w:tc>
        <w:tc>
          <w:tcPr>
            <w:tcW w:w="879" w:type="dxa"/>
            <w:tcBorders>
              <w:top w:val="nil"/>
              <w:left w:val="nil"/>
              <w:bottom w:val="single" w:sz="8" w:space="0" w:color="auto"/>
              <w:right w:val="nil"/>
            </w:tcBorders>
            <w:shd w:val="clear" w:color="auto" w:fill="auto"/>
            <w:noWrap/>
            <w:vAlign w:val="bottom"/>
            <w:hideMark/>
          </w:tcPr>
          <w:p w14:paraId="1DEC6D88"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0</w:t>
            </w:r>
          </w:p>
        </w:tc>
        <w:tc>
          <w:tcPr>
            <w:tcW w:w="879" w:type="dxa"/>
            <w:tcBorders>
              <w:top w:val="nil"/>
              <w:left w:val="nil"/>
              <w:bottom w:val="single" w:sz="8" w:space="0" w:color="auto"/>
              <w:right w:val="nil"/>
            </w:tcBorders>
            <w:shd w:val="clear" w:color="auto" w:fill="auto"/>
            <w:noWrap/>
            <w:vAlign w:val="bottom"/>
            <w:hideMark/>
          </w:tcPr>
          <w:p w14:paraId="1232A98A" w14:textId="77777777" w:rsidR="00F9572D" w:rsidRPr="001C1085" w:rsidRDefault="00F9572D" w:rsidP="0018403F">
            <w:pPr>
              <w:spacing w:after="0" w:line="480" w:lineRule="auto"/>
              <w:jc w:val="right"/>
              <w:rPr>
                <w:rFonts w:ascii="Arial" w:eastAsia="Times New Roman" w:hAnsi="Arial" w:cs="Arial"/>
                <w:color w:val="000000"/>
                <w:lang w:eastAsia="en-AU"/>
              </w:rPr>
            </w:pPr>
            <w:r w:rsidRPr="001C1085">
              <w:rPr>
                <w:rFonts w:ascii="Arial" w:eastAsia="Times New Roman" w:hAnsi="Arial" w:cs="Arial"/>
                <w:color w:val="000000"/>
                <w:lang w:eastAsia="en-AU"/>
              </w:rPr>
              <w:t>94</w:t>
            </w:r>
          </w:p>
        </w:tc>
      </w:tr>
      <w:tr w:rsidR="00F9572D" w:rsidRPr="001C1085" w14:paraId="7677671F" w14:textId="77777777" w:rsidTr="0018403F">
        <w:trPr>
          <w:trHeight w:val="300"/>
        </w:trPr>
        <w:tc>
          <w:tcPr>
            <w:tcW w:w="3544" w:type="dxa"/>
            <w:tcBorders>
              <w:top w:val="single" w:sz="8" w:space="0" w:color="auto"/>
              <w:left w:val="nil"/>
              <w:bottom w:val="single" w:sz="8" w:space="0" w:color="000000" w:themeColor="text1"/>
              <w:right w:val="nil"/>
            </w:tcBorders>
            <w:shd w:val="clear" w:color="auto" w:fill="auto"/>
            <w:noWrap/>
            <w:vAlign w:val="bottom"/>
            <w:hideMark/>
          </w:tcPr>
          <w:p w14:paraId="33A8EFA9" w14:textId="77777777" w:rsidR="00F9572D" w:rsidRPr="006E05B2" w:rsidRDefault="00F9572D" w:rsidP="0018403F">
            <w:pPr>
              <w:spacing w:before="240" w:after="0" w:line="480" w:lineRule="auto"/>
              <w:rPr>
                <w:rFonts w:ascii="Arial" w:eastAsia="Times New Roman" w:hAnsi="Arial" w:cs="Arial"/>
                <w:b/>
                <w:bCs/>
                <w:color w:val="000000"/>
                <w:lang w:eastAsia="en-AU"/>
              </w:rPr>
            </w:pPr>
            <w:r w:rsidRPr="006E05B2">
              <w:rPr>
                <w:rFonts w:ascii="Arial" w:eastAsia="Times New Roman" w:hAnsi="Arial" w:cs="Arial"/>
                <w:b/>
                <w:bCs/>
                <w:color w:val="000000"/>
                <w:lang w:eastAsia="en-AU"/>
              </w:rPr>
              <w:t>Combined</w:t>
            </w:r>
          </w:p>
        </w:tc>
        <w:tc>
          <w:tcPr>
            <w:tcW w:w="706" w:type="dxa"/>
            <w:tcBorders>
              <w:top w:val="single" w:sz="8" w:space="0" w:color="auto"/>
              <w:left w:val="nil"/>
              <w:bottom w:val="single" w:sz="8" w:space="0" w:color="000000" w:themeColor="text1"/>
              <w:right w:val="nil"/>
            </w:tcBorders>
            <w:shd w:val="clear" w:color="auto" w:fill="auto"/>
            <w:noWrap/>
            <w:vAlign w:val="bottom"/>
            <w:hideMark/>
          </w:tcPr>
          <w:p w14:paraId="72FF0540" w14:textId="77777777" w:rsidR="00F9572D" w:rsidRPr="006E05B2" w:rsidRDefault="00F9572D" w:rsidP="0018403F">
            <w:pPr>
              <w:spacing w:before="240" w:after="0" w:line="480" w:lineRule="auto"/>
              <w:rPr>
                <w:rFonts w:ascii="Arial" w:eastAsia="Times New Roman" w:hAnsi="Arial" w:cs="Arial"/>
                <w:b/>
                <w:bCs/>
                <w:color w:val="000000"/>
                <w:lang w:eastAsia="en-AU"/>
              </w:rPr>
            </w:pPr>
          </w:p>
        </w:tc>
        <w:tc>
          <w:tcPr>
            <w:tcW w:w="2554" w:type="dxa"/>
            <w:tcBorders>
              <w:top w:val="single" w:sz="8" w:space="0" w:color="auto"/>
              <w:left w:val="nil"/>
              <w:bottom w:val="single" w:sz="8" w:space="0" w:color="000000" w:themeColor="text1"/>
              <w:right w:val="nil"/>
            </w:tcBorders>
            <w:shd w:val="clear" w:color="auto" w:fill="auto"/>
            <w:noWrap/>
            <w:vAlign w:val="bottom"/>
            <w:hideMark/>
          </w:tcPr>
          <w:p w14:paraId="3C7966CE" w14:textId="77777777" w:rsidR="00F9572D" w:rsidRPr="006E05B2" w:rsidRDefault="00F9572D" w:rsidP="0018403F">
            <w:pPr>
              <w:spacing w:before="240" w:after="0" w:line="480" w:lineRule="auto"/>
              <w:rPr>
                <w:rFonts w:ascii="Times New Roman" w:eastAsia="Times New Roman" w:hAnsi="Times New Roman" w:cs="Times New Roman"/>
                <w:b/>
                <w:bCs/>
                <w:sz w:val="20"/>
                <w:szCs w:val="20"/>
                <w:lang w:eastAsia="en-AU"/>
              </w:rPr>
            </w:pP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1869BEBC"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206</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2BC6FA3B"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588</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0B7A6B4D"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1709</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72730F7C"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2148</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4325EFD3"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2930</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216E3B29"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2728</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1CE04EA4"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1749</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6435ACA3"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474</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7A2CD8DB" w14:textId="77777777" w:rsidR="00F9572D" w:rsidRPr="006E05B2" w:rsidRDefault="00F9572D" w:rsidP="0018403F">
            <w:pPr>
              <w:spacing w:before="240" w:after="0" w:line="480" w:lineRule="auto"/>
              <w:jc w:val="right"/>
              <w:rPr>
                <w:rFonts w:ascii="Calibri" w:eastAsia="Times New Roman" w:hAnsi="Calibri" w:cs="Calibri"/>
                <w:b/>
                <w:bCs/>
                <w:color w:val="000000"/>
                <w:lang w:eastAsia="en-AU"/>
              </w:rPr>
            </w:pPr>
            <w:r w:rsidRPr="006E05B2">
              <w:rPr>
                <w:rFonts w:ascii="Calibri" w:eastAsia="Times New Roman" w:hAnsi="Calibri" w:cs="Calibri"/>
                <w:b/>
                <w:bCs/>
                <w:color w:val="000000"/>
                <w:lang w:eastAsia="en-AU"/>
              </w:rPr>
              <w:t>67</w:t>
            </w:r>
          </w:p>
        </w:tc>
        <w:tc>
          <w:tcPr>
            <w:tcW w:w="879" w:type="dxa"/>
            <w:tcBorders>
              <w:top w:val="single" w:sz="8" w:space="0" w:color="auto"/>
              <w:left w:val="nil"/>
              <w:bottom w:val="single" w:sz="8" w:space="0" w:color="000000" w:themeColor="text1"/>
              <w:right w:val="nil"/>
            </w:tcBorders>
            <w:shd w:val="clear" w:color="auto" w:fill="auto"/>
            <w:noWrap/>
            <w:vAlign w:val="bottom"/>
            <w:hideMark/>
          </w:tcPr>
          <w:p w14:paraId="25883C20" w14:textId="77777777" w:rsidR="00F9572D" w:rsidRPr="006E05B2" w:rsidRDefault="00F9572D" w:rsidP="0018403F">
            <w:pPr>
              <w:spacing w:before="240" w:after="0" w:line="480" w:lineRule="auto"/>
              <w:jc w:val="right"/>
              <w:rPr>
                <w:rFonts w:ascii="Arial" w:eastAsia="Times New Roman" w:hAnsi="Arial" w:cs="Arial"/>
                <w:b/>
                <w:bCs/>
                <w:color w:val="000000"/>
                <w:lang w:eastAsia="en-AU"/>
              </w:rPr>
            </w:pPr>
            <w:r w:rsidRPr="006E05B2">
              <w:rPr>
                <w:rFonts w:ascii="Arial" w:eastAsia="Times New Roman" w:hAnsi="Arial" w:cs="Arial"/>
                <w:b/>
                <w:bCs/>
                <w:color w:val="000000"/>
                <w:lang w:eastAsia="en-AU"/>
              </w:rPr>
              <w:t>12599</w:t>
            </w:r>
          </w:p>
        </w:tc>
      </w:tr>
    </w:tbl>
    <w:p w14:paraId="25A4254A" w14:textId="093B3383" w:rsidR="005075B1" w:rsidRPr="0035151F" w:rsidRDefault="005075B1" w:rsidP="005075B1">
      <w:pPr>
        <w:tabs>
          <w:tab w:val="left" w:pos="2278"/>
        </w:tabs>
        <w:rPr>
          <w:rFonts w:ascii="Arial" w:hAnsi="Arial" w:cs="Arial"/>
          <w:b/>
          <w:bCs/>
        </w:rPr>
      </w:pPr>
      <w:r w:rsidRPr="0035151F">
        <w:rPr>
          <w:rFonts w:ascii="Arial" w:hAnsi="Arial" w:cs="Arial"/>
          <w:b/>
          <w:bCs/>
        </w:rPr>
        <w:lastRenderedPageBreak/>
        <w:t xml:space="preserve">Supplementary Table </w:t>
      </w:r>
      <w:r w:rsidR="00F9572D">
        <w:rPr>
          <w:rFonts w:ascii="Arial" w:hAnsi="Arial" w:cs="Arial"/>
          <w:b/>
          <w:bCs/>
        </w:rPr>
        <w:t>4</w:t>
      </w:r>
      <w:r w:rsidRPr="0035151F">
        <w:rPr>
          <w:rFonts w:ascii="Arial" w:hAnsi="Arial" w:cs="Arial"/>
          <w:b/>
          <w:bCs/>
        </w:rPr>
        <w:t xml:space="preserve">. Outcomes from meta-regression analysis of sex ratio for </w:t>
      </w:r>
      <w:r>
        <w:rPr>
          <w:rFonts w:ascii="Arial" w:hAnsi="Arial" w:cs="Arial"/>
          <w:b/>
          <w:bCs/>
        </w:rPr>
        <w:t>all studies</w:t>
      </w:r>
    </w:p>
    <w:p w14:paraId="25375476" w14:textId="77777777" w:rsidR="005075B1" w:rsidRPr="00AB0114" w:rsidRDefault="005075B1" w:rsidP="005075B1">
      <w:pPr>
        <w:rPr>
          <w:rFonts w:ascii="Arial" w:hAnsi="Arial" w:cs="Arial"/>
        </w:rPr>
      </w:pPr>
    </w:p>
    <w:tbl>
      <w:tblPr>
        <w:tblW w:w="9781" w:type="dxa"/>
        <w:tblLook w:val="04A0" w:firstRow="1" w:lastRow="0" w:firstColumn="1" w:lastColumn="0" w:noHBand="0" w:noVBand="1"/>
      </w:tblPr>
      <w:tblGrid>
        <w:gridCol w:w="3710"/>
        <w:gridCol w:w="1653"/>
        <w:gridCol w:w="2208"/>
        <w:gridCol w:w="1104"/>
        <w:gridCol w:w="1106"/>
      </w:tblGrid>
      <w:tr w:rsidR="00AF51A3" w:rsidRPr="00AB0114" w14:paraId="3737B525" w14:textId="77777777" w:rsidTr="009A4CAA">
        <w:trPr>
          <w:trHeight w:val="300"/>
        </w:trPr>
        <w:tc>
          <w:tcPr>
            <w:tcW w:w="3710" w:type="dxa"/>
            <w:tcBorders>
              <w:top w:val="single" w:sz="6" w:space="0" w:color="auto"/>
              <w:left w:val="nil"/>
              <w:bottom w:val="single" w:sz="4" w:space="0" w:color="auto"/>
              <w:right w:val="nil"/>
            </w:tcBorders>
            <w:shd w:val="clear" w:color="auto" w:fill="auto"/>
            <w:noWrap/>
            <w:vAlign w:val="bottom"/>
            <w:hideMark/>
          </w:tcPr>
          <w:p w14:paraId="56B00A45" w14:textId="1312AB66" w:rsidR="00AF51A3" w:rsidRPr="00AB0114" w:rsidRDefault="00AF51A3" w:rsidP="0052152A">
            <w:pPr>
              <w:spacing w:before="240" w:after="0" w:line="480" w:lineRule="auto"/>
              <w:rPr>
                <w:rFonts w:ascii="Arial" w:eastAsia="Times New Roman" w:hAnsi="Arial" w:cs="Arial"/>
                <w:b/>
                <w:bCs/>
                <w:color w:val="000000"/>
                <w:lang w:eastAsia="en-AU"/>
              </w:rPr>
            </w:pPr>
            <w:r>
              <w:rPr>
                <w:rFonts w:ascii="Arial" w:eastAsia="Times New Roman" w:hAnsi="Arial" w:cs="Arial"/>
                <w:b/>
                <w:bCs/>
                <w:color w:val="000000"/>
                <w:lang w:eastAsia="en-AU"/>
              </w:rPr>
              <w:t>Variable</w:t>
            </w:r>
          </w:p>
        </w:tc>
        <w:tc>
          <w:tcPr>
            <w:tcW w:w="1653" w:type="dxa"/>
            <w:tcBorders>
              <w:top w:val="single" w:sz="6" w:space="0" w:color="auto"/>
              <w:left w:val="nil"/>
              <w:bottom w:val="single" w:sz="4" w:space="0" w:color="auto"/>
              <w:right w:val="nil"/>
            </w:tcBorders>
            <w:shd w:val="clear" w:color="auto" w:fill="auto"/>
            <w:noWrap/>
            <w:vAlign w:val="bottom"/>
            <w:hideMark/>
          </w:tcPr>
          <w:p w14:paraId="3A86E1A1" w14:textId="58E68AE2" w:rsidR="00AF51A3" w:rsidRPr="00AB0114" w:rsidRDefault="00AF51A3" w:rsidP="00EF5FD9">
            <w:pPr>
              <w:spacing w:before="240" w:after="0" w:line="480" w:lineRule="auto"/>
              <w:jc w:val="right"/>
              <w:rPr>
                <w:rFonts w:ascii="Arial" w:eastAsia="Times New Roman" w:hAnsi="Arial" w:cs="Arial"/>
                <w:b/>
                <w:bCs/>
                <w:color w:val="000000"/>
                <w:lang w:eastAsia="en-AU"/>
              </w:rPr>
            </w:pPr>
            <w:r>
              <w:rPr>
                <w:rFonts w:ascii="Arial" w:eastAsia="Times New Roman" w:hAnsi="Arial" w:cs="Arial"/>
                <w:b/>
                <w:bCs/>
                <w:color w:val="000000"/>
                <w:lang w:eastAsia="en-AU"/>
              </w:rPr>
              <w:t>Coefficient</w:t>
            </w:r>
          </w:p>
        </w:tc>
        <w:tc>
          <w:tcPr>
            <w:tcW w:w="2208" w:type="dxa"/>
            <w:tcBorders>
              <w:top w:val="single" w:sz="6" w:space="0" w:color="auto"/>
              <w:left w:val="nil"/>
              <w:bottom w:val="single" w:sz="4" w:space="0" w:color="auto"/>
              <w:right w:val="nil"/>
            </w:tcBorders>
          </w:tcPr>
          <w:p w14:paraId="5761A5F9" w14:textId="7D8CFC7A" w:rsidR="00AF51A3" w:rsidRDefault="00AF51A3" w:rsidP="00EF5FD9">
            <w:pPr>
              <w:spacing w:before="240" w:after="0" w:line="480" w:lineRule="auto"/>
              <w:rPr>
                <w:rFonts w:ascii="Arial" w:eastAsia="Times New Roman" w:hAnsi="Arial" w:cs="Arial"/>
                <w:b/>
                <w:bCs/>
                <w:color w:val="000000"/>
                <w:lang w:eastAsia="en-AU"/>
              </w:rPr>
            </w:pPr>
            <w:r>
              <w:rPr>
                <w:rFonts w:ascii="Arial" w:eastAsia="Times New Roman" w:hAnsi="Arial" w:cs="Arial"/>
                <w:b/>
                <w:bCs/>
                <w:color w:val="000000"/>
                <w:lang w:eastAsia="en-AU"/>
              </w:rPr>
              <w:t>(</w:t>
            </w:r>
            <w:r w:rsidRPr="00AB0114">
              <w:rPr>
                <w:rFonts w:ascii="Arial" w:eastAsia="Times New Roman" w:hAnsi="Arial" w:cs="Arial"/>
                <w:b/>
                <w:bCs/>
                <w:color w:val="000000"/>
                <w:lang w:eastAsia="en-AU"/>
              </w:rPr>
              <w:t xml:space="preserve">95% </w:t>
            </w:r>
            <w:r>
              <w:rPr>
                <w:rFonts w:ascii="Arial" w:eastAsia="Times New Roman" w:hAnsi="Arial" w:cs="Arial"/>
                <w:b/>
                <w:bCs/>
                <w:color w:val="000000"/>
                <w:lang w:eastAsia="en-AU"/>
              </w:rPr>
              <w:t>CI)</w:t>
            </w:r>
          </w:p>
        </w:tc>
        <w:tc>
          <w:tcPr>
            <w:tcW w:w="1104" w:type="dxa"/>
            <w:tcBorders>
              <w:top w:val="single" w:sz="6" w:space="0" w:color="auto"/>
              <w:left w:val="nil"/>
              <w:bottom w:val="single" w:sz="4" w:space="0" w:color="auto"/>
              <w:right w:val="nil"/>
            </w:tcBorders>
            <w:shd w:val="clear" w:color="auto" w:fill="auto"/>
            <w:noWrap/>
            <w:vAlign w:val="bottom"/>
            <w:hideMark/>
          </w:tcPr>
          <w:p w14:paraId="15BCF508" w14:textId="6935FE17" w:rsidR="00AF51A3" w:rsidRPr="00AB0114" w:rsidRDefault="00AF51A3" w:rsidP="00C658E0">
            <w:pPr>
              <w:spacing w:before="240" w:after="0" w:line="480" w:lineRule="auto"/>
              <w:jc w:val="center"/>
              <w:rPr>
                <w:rFonts w:ascii="Arial" w:eastAsia="Times New Roman" w:hAnsi="Arial" w:cs="Arial"/>
                <w:b/>
                <w:bCs/>
                <w:color w:val="000000"/>
                <w:lang w:eastAsia="en-AU"/>
              </w:rPr>
            </w:pPr>
            <w:r>
              <w:rPr>
                <w:rFonts w:ascii="Arial" w:eastAsia="Times New Roman" w:hAnsi="Arial" w:cs="Arial"/>
                <w:b/>
                <w:bCs/>
                <w:color w:val="000000"/>
                <w:lang w:eastAsia="en-AU"/>
              </w:rPr>
              <w:t>z</w:t>
            </w:r>
          </w:p>
        </w:tc>
        <w:tc>
          <w:tcPr>
            <w:tcW w:w="1106" w:type="dxa"/>
            <w:tcBorders>
              <w:top w:val="single" w:sz="6" w:space="0" w:color="auto"/>
              <w:left w:val="nil"/>
              <w:bottom w:val="single" w:sz="4" w:space="0" w:color="auto"/>
              <w:right w:val="nil"/>
            </w:tcBorders>
            <w:shd w:val="clear" w:color="auto" w:fill="auto"/>
            <w:noWrap/>
            <w:vAlign w:val="bottom"/>
            <w:hideMark/>
          </w:tcPr>
          <w:p w14:paraId="0D10FE04" w14:textId="0FB8D90A" w:rsidR="00AF51A3" w:rsidRPr="00AB0114" w:rsidRDefault="00AF51A3" w:rsidP="00C658E0">
            <w:pPr>
              <w:spacing w:before="240" w:after="0" w:line="480" w:lineRule="auto"/>
              <w:jc w:val="center"/>
              <w:rPr>
                <w:rFonts w:ascii="Arial" w:eastAsia="Times New Roman" w:hAnsi="Arial" w:cs="Arial"/>
                <w:b/>
                <w:bCs/>
                <w:color w:val="000000"/>
                <w:lang w:eastAsia="en-AU"/>
              </w:rPr>
            </w:pPr>
            <w:r>
              <w:rPr>
                <w:rFonts w:ascii="Arial" w:eastAsia="Times New Roman" w:hAnsi="Arial" w:cs="Arial"/>
                <w:b/>
                <w:bCs/>
                <w:color w:val="000000"/>
                <w:lang w:eastAsia="en-AU"/>
              </w:rPr>
              <w:t>p</w:t>
            </w:r>
          </w:p>
        </w:tc>
      </w:tr>
      <w:tr w:rsidR="00AF51A3" w:rsidRPr="00AB0114" w14:paraId="71FE0515" w14:textId="77777777" w:rsidTr="009A4CAA">
        <w:trPr>
          <w:trHeight w:val="300"/>
        </w:trPr>
        <w:tc>
          <w:tcPr>
            <w:tcW w:w="3710" w:type="dxa"/>
            <w:tcBorders>
              <w:top w:val="single" w:sz="4" w:space="0" w:color="auto"/>
              <w:left w:val="nil"/>
              <w:bottom w:val="nil"/>
              <w:right w:val="nil"/>
            </w:tcBorders>
            <w:shd w:val="clear" w:color="auto" w:fill="auto"/>
            <w:noWrap/>
            <w:vAlign w:val="bottom"/>
            <w:hideMark/>
          </w:tcPr>
          <w:p w14:paraId="6F2D108C" w14:textId="2DB1AC30" w:rsidR="00AF51A3" w:rsidRPr="00AB0114" w:rsidRDefault="00AF51A3" w:rsidP="0052152A">
            <w:pPr>
              <w:spacing w:before="240" w:after="0" w:line="480" w:lineRule="auto"/>
              <w:rPr>
                <w:rFonts w:ascii="Arial" w:eastAsia="Times New Roman" w:hAnsi="Arial" w:cs="Arial"/>
                <w:color w:val="000000"/>
                <w:lang w:eastAsia="en-AU"/>
              </w:rPr>
            </w:pPr>
            <w:r>
              <w:rPr>
                <w:rFonts w:ascii="Arial" w:eastAsia="Times New Roman" w:hAnsi="Arial" w:cs="Arial"/>
                <w:color w:val="000000"/>
                <w:lang w:eastAsia="en-AU"/>
              </w:rPr>
              <w:t>Intercept</w:t>
            </w:r>
          </w:p>
        </w:tc>
        <w:tc>
          <w:tcPr>
            <w:tcW w:w="1653" w:type="dxa"/>
            <w:tcBorders>
              <w:top w:val="single" w:sz="4" w:space="0" w:color="auto"/>
              <w:left w:val="nil"/>
              <w:bottom w:val="nil"/>
              <w:right w:val="nil"/>
            </w:tcBorders>
            <w:shd w:val="clear" w:color="auto" w:fill="auto"/>
            <w:noWrap/>
            <w:vAlign w:val="bottom"/>
          </w:tcPr>
          <w:p w14:paraId="2EE0CF55" w14:textId="566A2A09" w:rsidR="00AF51A3" w:rsidRPr="00AB0114" w:rsidRDefault="00AF51A3" w:rsidP="00EF5FD9">
            <w:pPr>
              <w:spacing w:before="240"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1.</w:t>
            </w:r>
            <w:r w:rsidR="00C12E3E">
              <w:rPr>
                <w:rFonts w:ascii="Arial" w:eastAsia="Times New Roman" w:hAnsi="Arial" w:cs="Arial"/>
                <w:color w:val="000000"/>
                <w:lang w:eastAsia="en-AU"/>
              </w:rPr>
              <w:t>025</w:t>
            </w:r>
          </w:p>
        </w:tc>
        <w:tc>
          <w:tcPr>
            <w:tcW w:w="2208" w:type="dxa"/>
            <w:tcBorders>
              <w:top w:val="single" w:sz="4" w:space="0" w:color="auto"/>
              <w:left w:val="nil"/>
              <w:bottom w:val="nil"/>
              <w:right w:val="nil"/>
            </w:tcBorders>
          </w:tcPr>
          <w:p w14:paraId="1DECE0EF" w14:textId="4AA46BD9" w:rsidR="00AF51A3" w:rsidRDefault="00AF51A3" w:rsidP="00EF5FD9">
            <w:pPr>
              <w:spacing w:before="240" w:after="0" w:line="480" w:lineRule="auto"/>
              <w:rPr>
                <w:rFonts w:ascii="Arial" w:eastAsia="Times New Roman" w:hAnsi="Arial" w:cs="Arial"/>
                <w:color w:val="000000"/>
                <w:lang w:eastAsia="en-AU"/>
              </w:rPr>
            </w:pPr>
            <w:r>
              <w:rPr>
                <w:rFonts w:ascii="Arial" w:eastAsia="Times New Roman" w:hAnsi="Arial" w:cs="Arial"/>
                <w:color w:val="000000"/>
                <w:lang w:eastAsia="en-AU"/>
              </w:rPr>
              <w:t>(0.</w:t>
            </w:r>
            <w:r w:rsidR="00987428">
              <w:rPr>
                <w:rFonts w:ascii="Arial" w:eastAsia="Times New Roman" w:hAnsi="Arial" w:cs="Arial"/>
                <w:color w:val="000000"/>
                <w:lang w:eastAsia="en-AU"/>
              </w:rPr>
              <w:t>752</w:t>
            </w:r>
            <w:r>
              <w:rPr>
                <w:rFonts w:ascii="Arial" w:eastAsia="Times New Roman" w:hAnsi="Arial" w:cs="Arial"/>
                <w:color w:val="000000"/>
                <w:lang w:eastAsia="en-AU"/>
              </w:rPr>
              <w:t xml:space="preserve"> – 1.</w:t>
            </w:r>
            <w:r w:rsidR="00987428">
              <w:rPr>
                <w:rFonts w:ascii="Arial" w:eastAsia="Times New Roman" w:hAnsi="Arial" w:cs="Arial"/>
                <w:color w:val="000000"/>
                <w:lang w:eastAsia="en-AU"/>
              </w:rPr>
              <w:t>298</w:t>
            </w:r>
            <w:r>
              <w:rPr>
                <w:rFonts w:ascii="Arial" w:eastAsia="Times New Roman" w:hAnsi="Arial" w:cs="Arial"/>
                <w:color w:val="000000"/>
                <w:lang w:eastAsia="en-AU"/>
              </w:rPr>
              <w:t>)</w:t>
            </w:r>
          </w:p>
        </w:tc>
        <w:tc>
          <w:tcPr>
            <w:tcW w:w="1104" w:type="dxa"/>
            <w:tcBorders>
              <w:top w:val="single" w:sz="4" w:space="0" w:color="auto"/>
              <w:left w:val="nil"/>
              <w:bottom w:val="nil"/>
              <w:right w:val="nil"/>
            </w:tcBorders>
            <w:shd w:val="clear" w:color="auto" w:fill="auto"/>
            <w:noWrap/>
            <w:vAlign w:val="bottom"/>
          </w:tcPr>
          <w:p w14:paraId="3B5D8668" w14:textId="27A358F6" w:rsidR="00AF51A3" w:rsidRPr="00AB0114" w:rsidRDefault="00AF51A3" w:rsidP="00C658E0">
            <w:pPr>
              <w:spacing w:before="240"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7.</w:t>
            </w:r>
            <w:r w:rsidR="00987428">
              <w:rPr>
                <w:rFonts w:ascii="Arial" w:eastAsia="Times New Roman" w:hAnsi="Arial" w:cs="Arial"/>
                <w:color w:val="000000"/>
                <w:lang w:eastAsia="en-AU"/>
              </w:rPr>
              <w:t>36</w:t>
            </w:r>
            <w:r>
              <w:rPr>
                <w:rFonts w:ascii="Arial" w:eastAsia="Times New Roman" w:hAnsi="Arial" w:cs="Arial"/>
                <w:color w:val="000000"/>
                <w:lang w:eastAsia="en-AU"/>
              </w:rPr>
              <w:t>0</w:t>
            </w:r>
          </w:p>
        </w:tc>
        <w:tc>
          <w:tcPr>
            <w:tcW w:w="1106" w:type="dxa"/>
            <w:tcBorders>
              <w:top w:val="single" w:sz="4" w:space="0" w:color="auto"/>
              <w:left w:val="nil"/>
              <w:bottom w:val="nil"/>
              <w:right w:val="nil"/>
            </w:tcBorders>
            <w:shd w:val="clear" w:color="auto" w:fill="auto"/>
            <w:noWrap/>
            <w:vAlign w:val="bottom"/>
          </w:tcPr>
          <w:p w14:paraId="0DFA2471" w14:textId="6C2A69DA" w:rsidR="00AF51A3" w:rsidRPr="00AB0114" w:rsidRDefault="00AF51A3" w:rsidP="00C658E0">
            <w:pPr>
              <w:spacing w:before="240"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&lt;0.001</w:t>
            </w:r>
          </w:p>
        </w:tc>
      </w:tr>
      <w:tr w:rsidR="00AF51A3" w:rsidRPr="00AB0114" w14:paraId="66CD18ED" w14:textId="77777777" w:rsidTr="009A4CAA">
        <w:trPr>
          <w:trHeight w:val="300"/>
        </w:trPr>
        <w:tc>
          <w:tcPr>
            <w:tcW w:w="3710" w:type="dxa"/>
            <w:tcBorders>
              <w:top w:val="nil"/>
              <w:left w:val="nil"/>
              <w:bottom w:val="nil"/>
              <w:right w:val="nil"/>
            </w:tcBorders>
            <w:shd w:val="clear" w:color="auto" w:fill="auto"/>
            <w:noWrap/>
            <w:vAlign w:val="bottom"/>
            <w:hideMark/>
          </w:tcPr>
          <w:p w14:paraId="3915EDB1" w14:textId="5116948A" w:rsidR="00AF51A3" w:rsidRPr="00AB0114" w:rsidRDefault="00AF51A3" w:rsidP="0052152A">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Proportion AQP4 Antibody Positive</w:t>
            </w:r>
          </w:p>
        </w:tc>
        <w:tc>
          <w:tcPr>
            <w:tcW w:w="1653" w:type="dxa"/>
            <w:tcBorders>
              <w:top w:val="nil"/>
              <w:left w:val="nil"/>
              <w:bottom w:val="nil"/>
              <w:right w:val="nil"/>
            </w:tcBorders>
            <w:shd w:val="clear" w:color="auto" w:fill="auto"/>
            <w:noWrap/>
            <w:vAlign w:val="bottom"/>
          </w:tcPr>
          <w:p w14:paraId="194C6AE8" w14:textId="12167111" w:rsidR="00AF51A3" w:rsidRPr="00AB0114" w:rsidRDefault="00AF51A3" w:rsidP="00EF5FD9">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0.00</w:t>
            </w:r>
            <w:r w:rsidR="00987428">
              <w:rPr>
                <w:rFonts w:ascii="Arial" w:eastAsia="Times New Roman" w:hAnsi="Arial" w:cs="Arial"/>
                <w:color w:val="000000"/>
                <w:lang w:eastAsia="en-AU"/>
              </w:rPr>
              <w:t>8</w:t>
            </w:r>
          </w:p>
        </w:tc>
        <w:tc>
          <w:tcPr>
            <w:tcW w:w="2208" w:type="dxa"/>
            <w:tcBorders>
              <w:top w:val="nil"/>
              <w:left w:val="nil"/>
              <w:bottom w:val="nil"/>
              <w:right w:val="nil"/>
            </w:tcBorders>
          </w:tcPr>
          <w:p w14:paraId="7561DCED" w14:textId="2515DE95" w:rsidR="00AF51A3" w:rsidRDefault="00AF51A3" w:rsidP="00EF5FD9">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(0.00</w:t>
            </w:r>
            <w:r w:rsidR="00C84546">
              <w:rPr>
                <w:rFonts w:ascii="Arial" w:eastAsia="Times New Roman" w:hAnsi="Arial" w:cs="Arial"/>
                <w:color w:val="000000"/>
                <w:lang w:eastAsia="en-AU"/>
              </w:rPr>
              <w:t>5</w:t>
            </w:r>
            <w:r>
              <w:rPr>
                <w:rFonts w:ascii="Arial" w:eastAsia="Times New Roman" w:hAnsi="Arial" w:cs="Arial"/>
                <w:color w:val="000000"/>
                <w:lang w:eastAsia="en-AU"/>
              </w:rPr>
              <w:t xml:space="preserve"> – 0.01</w:t>
            </w:r>
            <w:r w:rsidR="00C84546">
              <w:rPr>
                <w:rFonts w:ascii="Arial" w:eastAsia="Times New Roman" w:hAnsi="Arial" w:cs="Arial"/>
                <w:color w:val="000000"/>
                <w:lang w:eastAsia="en-AU"/>
              </w:rPr>
              <w:t>1</w:t>
            </w:r>
            <w:r>
              <w:rPr>
                <w:rFonts w:ascii="Arial" w:eastAsia="Times New Roman" w:hAnsi="Arial" w:cs="Arial"/>
                <w:color w:val="000000"/>
                <w:lang w:eastAsia="en-AU"/>
              </w:rPr>
              <w:t>)</w:t>
            </w:r>
          </w:p>
        </w:tc>
        <w:tc>
          <w:tcPr>
            <w:tcW w:w="1104" w:type="dxa"/>
            <w:tcBorders>
              <w:top w:val="nil"/>
              <w:left w:val="nil"/>
              <w:bottom w:val="nil"/>
              <w:right w:val="nil"/>
            </w:tcBorders>
            <w:shd w:val="clear" w:color="auto" w:fill="auto"/>
            <w:noWrap/>
            <w:vAlign w:val="bottom"/>
          </w:tcPr>
          <w:p w14:paraId="37A0D8FB" w14:textId="5B0BBC3A" w:rsidR="00AF51A3" w:rsidRPr="00AB0114" w:rsidRDefault="00987428"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5.411</w:t>
            </w:r>
          </w:p>
        </w:tc>
        <w:tc>
          <w:tcPr>
            <w:tcW w:w="1106" w:type="dxa"/>
            <w:tcBorders>
              <w:top w:val="nil"/>
              <w:left w:val="nil"/>
              <w:bottom w:val="nil"/>
              <w:right w:val="nil"/>
            </w:tcBorders>
            <w:shd w:val="clear" w:color="auto" w:fill="auto"/>
            <w:noWrap/>
            <w:vAlign w:val="bottom"/>
          </w:tcPr>
          <w:p w14:paraId="30B0E31C" w14:textId="20A4F6BA" w:rsidR="00AF51A3" w:rsidRPr="00AB0114" w:rsidRDefault="00AF51A3"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&lt;0.001</w:t>
            </w:r>
          </w:p>
        </w:tc>
      </w:tr>
      <w:tr w:rsidR="00AF51A3" w:rsidRPr="00AB0114" w14:paraId="46140E8C" w14:textId="77777777" w:rsidTr="009A4CAA">
        <w:trPr>
          <w:trHeight w:val="300"/>
        </w:trPr>
        <w:tc>
          <w:tcPr>
            <w:tcW w:w="3710" w:type="dxa"/>
            <w:tcBorders>
              <w:top w:val="nil"/>
              <w:left w:val="nil"/>
              <w:bottom w:val="nil"/>
              <w:right w:val="nil"/>
            </w:tcBorders>
            <w:shd w:val="clear" w:color="auto" w:fill="auto"/>
            <w:noWrap/>
            <w:vAlign w:val="bottom"/>
            <w:hideMark/>
          </w:tcPr>
          <w:p w14:paraId="6542176F" w14:textId="2E4D45A6" w:rsidR="00AF51A3" w:rsidRPr="00AB0114" w:rsidRDefault="00AF51A3" w:rsidP="0052152A">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South/Central American*</w:t>
            </w:r>
          </w:p>
        </w:tc>
        <w:tc>
          <w:tcPr>
            <w:tcW w:w="1653" w:type="dxa"/>
            <w:tcBorders>
              <w:top w:val="nil"/>
              <w:left w:val="nil"/>
              <w:bottom w:val="nil"/>
              <w:right w:val="nil"/>
            </w:tcBorders>
            <w:shd w:val="clear" w:color="auto" w:fill="auto"/>
            <w:noWrap/>
            <w:vAlign w:val="bottom"/>
          </w:tcPr>
          <w:p w14:paraId="3389E746" w14:textId="5B7F40A1" w:rsidR="00AF51A3" w:rsidRPr="00AB0114" w:rsidRDefault="00AF51A3" w:rsidP="00EF5FD9">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w:t>
            </w:r>
            <w:r w:rsidR="00B06B28">
              <w:rPr>
                <w:rFonts w:ascii="Arial" w:eastAsia="Times New Roman" w:hAnsi="Arial" w:cs="Arial"/>
                <w:color w:val="000000"/>
                <w:lang w:eastAsia="en-AU"/>
              </w:rPr>
              <w:t>220</w:t>
            </w:r>
          </w:p>
        </w:tc>
        <w:tc>
          <w:tcPr>
            <w:tcW w:w="2208" w:type="dxa"/>
            <w:tcBorders>
              <w:top w:val="nil"/>
              <w:left w:val="nil"/>
              <w:bottom w:val="nil"/>
              <w:right w:val="nil"/>
            </w:tcBorders>
          </w:tcPr>
          <w:p w14:paraId="7FC4A5E3" w14:textId="3234BEDA" w:rsidR="00AF51A3" w:rsidRDefault="00AF51A3" w:rsidP="00EF5FD9">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w:t>
            </w:r>
            <w:r w:rsidR="00D44DC1">
              <w:rPr>
                <w:rFonts w:ascii="Arial" w:eastAsia="Times New Roman" w:hAnsi="Arial" w:cs="Arial"/>
                <w:color w:val="000000"/>
                <w:lang w:eastAsia="en-AU"/>
              </w:rPr>
              <w:t>001</w:t>
            </w:r>
            <w:r>
              <w:rPr>
                <w:rFonts w:ascii="Arial" w:eastAsia="Times New Roman" w:hAnsi="Arial" w:cs="Arial"/>
                <w:color w:val="000000"/>
                <w:lang w:eastAsia="en-AU"/>
              </w:rPr>
              <w:t xml:space="preserve"> – 0.</w:t>
            </w:r>
            <w:r w:rsidR="00D44DC1">
              <w:rPr>
                <w:rFonts w:ascii="Arial" w:eastAsia="Times New Roman" w:hAnsi="Arial" w:cs="Arial"/>
                <w:color w:val="000000"/>
                <w:lang w:eastAsia="en-AU"/>
              </w:rPr>
              <w:t>440</w:t>
            </w:r>
            <w:r>
              <w:rPr>
                <w:rFonts w:ascii="Arial" w:eastAsia="Times New Roman" w:hAnsi="Arial" w:cs="Arial"/>
                <w:color w:val="000000"/>
                <w:lang w:eastAsia="en-AU"/>
              </w:rPr>
              <w:t>)</w:t>
            </w:r>
          </w:p>
        </w:tc>
        <w:tc>
          <w:tcPr>
            <w:tcW w:w="1104" w:type="dxa"/>
            <w:tcBorders>
              <w:top w:val="nil"/>
              <w:left w:val="nil"/>
              <w:bottom w:val="nil"/>
              <w:right w:val="nil"/>
            </w:tcBorders>
            <w:shd w:val="clear" w:color="auto" w:fill="auto"/>
            <w:noWrap/>
            <w:vAlign w:val="bottom"/>
          </w:tcPr>
          <w:p w14:paraId="24C3BE53" w14:textId="3C2BADE9" w:rsidR="00AF51A3" w:rsidRPr="00AB0114" w:rsidRDefault="00AF2B47"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1.951</w:t>
            </w:r>
          </w:p>
        </w:tc>
        <w:tc>
          <w:tcPr>
            <w:tcW w:w="1106" w:type="dxa"/>
            <w:tcBorders>
              <w:top w:val="nil"/>
              <w:left w:val="nil"/>
              <w:bottom w:val="nil"/>
              <w:right w:val="nil"/>
            </w:tcBorders>
            <w:shd w:val="clear" w:color="auto" w:fill="auto"/>
            <w:noWrap/>
            <w:vAlign w:val="bottom"/>
          </w:tcPr>
          <w:p w14:paraId="04692FC7" w14:textId="322DD567" w:rsidR="00AF51A3" w:rsidRPr="00AB0114" w:rsidRDefault="00AF51A3"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0.</w:t>
            </w:r>
            <w:r w:rsidR="00AF2B47">
              <w:rPr>
                <w:rFonts w:ascii="Arial" w:eastAsia="Times New Roman" w:hAnsi="Arial" w:cs="Arial"/>
                <w:color w:val="000000"/>
                <w:lang w:eastAsia="en-AU"/>
              </w:rPr>
              <w:t>051</w:t>
            </w:r>
          </w:p>
        </w:tc>
      </w:tr>
      <w:tr w:rsidR="00AF51A3" w:rsidRPr="00AB0114" w14:paraId="62BE8348" w14:textId="77777777" w:rsidTr="009A4CAA">
        <w:trPr>
          <w:trHeight w:val="300"/>
        </w:trPr>
        <w:tc>
          <w:tcPr>
            <w:tcW w:w="3710" w:type="dxa"/>
            <w:tcBorders>
              <w:top w:val="nil"/>
              <w:left w:val="nil"/>
              <w:bottom w:val="nil"/>
              <w:right w:val="nil"/>
            </w:tcBorders>
            <w:shd w:val="clear" w:color="auto" w:fill="auto"/>
            <w:noWrap/>
            <w:vAlign w:val="bottom"/>
            <w:hideMark/>
          </w:tcPr>
          <w:p w14:paraId="0A7EE934" w14:textId="6575ABBF" w:rsidR="00AF51A3" w:rsidRPr="00AB0114" w:rsidRDefault="00AF51A3" w:rsidP="0052152A">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Middle Eastern/African*</w:t>
            </w:r>
          </w:p>
        </w:tc>
        <w:tc>
          <w:tcPr>
            <w:tcW w:w="1653" w:type="dxa"/>
            <w:tcBorders>
              <w:top w:val="nil"/>
              <w:left w:val="nil"/>
              <w:bottom w:val="nil"/>
              <w:right w:val="nil"/>
            </w:tcBorders>
            <w:shd w:val="clear" w:color="auto" w:fill="auto"/>
            <w:noWrap/>
            <w:vAlign w:val="bottom"/>
          </w:tcPr>
          <w:p w14:paraId="41C52949" w14:textId="09CB6396" w:rsidR="00AF51A3" w:rsidRPr="00AB0114" w:rsidRDefault="00AF51A3" w:rsidP="00EF5FD9">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0.1</w:t>
            </w:r>
            <w:r w:rsidR="00B06B28">
              <w:rPr>
                <w:rFonts w:ascii="Arial" w:eastAsia="Times New Roman" w:hAnsi="Arial" w:cs="Arial"/>
                <w:color w:val="000000"/>
                <w:lang w:eastAsia="en-AU"/>
              </w:rPr>
              <w:t>80</w:t>
            </w:r>
          </w:p>
        </w:tc>
        <w:tc>
          <w:tcPr>
            <w:tcW w:w="2208" w:type="dxa"/>
            <w:tcBorders>
              <w:top w:val="nil"/>
              <w:left w:val="nil"/>
              <w:bottom w:val="nil"/>
              <w:right w:val="nil"/>
            </w:tcBorders>
          </w:tcPr>
          <w:p w14:paraId="4E26985B" w14:textId="45D18BB0" w:rsidR="00AF51A3" w:rsidRDefault="00AF51A3" w:rsidP="00EF5FD9">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w:t>
            </w:r>
            <w:r w:rsidR="00D44DC1">
              <w:rPr>
                <w:rFonts w:ascii="Arial" w:eastAsia="Times New Roman" w:hAnsi="Arial" w:cs="Arial"/>
                <w:color w:val="000000"/>
                <w:lang w:eastAsia="en-AU"/>
              </w:rPr>
              <w:t>072</w:t>
            </w:r>
            <w:r>
              <w:rPr>
                <w:rFonts w:ascii="Arial" w:eastAsia="Times New Roman" w:hAnsi="Arial" w:cs="Arial"/>
                <w:color w:val="000000"/>
                <w:lang w:eastAsia="en-AU"/>
              </w:rPr>
              <w:t xml:space="preserve"> – 0.4</w:t>
            </w:r>
            <w:r w:rsidR="00D44DC1">
              <w:rPr>
                <w:rFonts w:ascii="Arial" w:eastAsia="Times New Roman" w:hAnsi="Arial" w:cs="Arial"/>
                <w:color w:val="000000"/>
                <w:lang w:eastAsia="en-AU"/>
              </w:rPr>
              <w:t>32</w:t>
            </w:r>
            <w:r>
              <w:rPr>
                <w:rFonts w:ascii="Arial" w:eastAsia="Times New Roman" w:hAnsi="Arial" w:cs="Arial"/>
                <w:color w:val="000000"/>
                <w:lang w:eastAsia="en-AU"/>
              </w:rPr>
              <w:t>)</w:t>
            </w:r>
          </w:p>
        </w:tc>
        <w:tc>
          <w:tcPr>
            <w:tcW w:w="1104" w:type="dxa"/>
            <w:tcBorders>
              <w:top w:val="nil"/>
              <w:left w:val="nil"/>
              <w:bottom w:val="nil"/>
              <w:right w:val="nil"/>
            </w:tcBorders>
            <w:shd w:val="clear" w:color="auto" w:fill="auto"/>
            <w:noWrap/>
            <w:vAlign w:val="bottom"/>
          </w:tcPr>
          <w:p w14:paraId="19E37698" w14:textId="0780C0DE" w:rsidR="00AF51A3" w:rsidRPr="00AB0114" w:rsidRDefault="00AF2B47"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1.397</w:t>
            </w:r>
          </w:p>
        </w:tc>
        <w:tc>
          <w:tcPr>
            <w:tcW w:w="1106" w:type="dxa"/>
            <w:tcBorders>
              <w:top w:val="nil"/>
              <w:left w:val="nil"/>
              <w:bottom w:val="nil"/>
              <w:right w:val="nil"/>
            </w:tcBorders>
            <w:shd w:val="clear" w:color="auto" w:fill="auto"/>
            <w:noWrap/>
            <w:vAlign w:val="bottom"/>
          </w:tcPr>
          <w:p w14:paraId="464960A3" w14:textId="171F99F4" w:rsidR="00AF51A3" w:rsidRPr="00AB0114" w:rsidRDefault="00AF51A3"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0.</w:t>
            </w:r>
            <w:r w:rsidR="00AF2B47">
              <w:rPr>
                <w:rFonts w:ascii="Arial" w:eastAsia="Times New Roman" w:hAnsi="Arial" w:cs="Arial"/>
                <w:color w:val="000000"/>
                <w:lang w:eastAsia="en-AU"/>
              </w:rPr>
              <w:t>162</w:t>
            </w:r>
          </w:p>
        </w:tc>
      </w:tr>
      <w:tr w:rsidR="00AF51A3" w:rsidRPr="00AB0114" w14:paraId="0C208D04" w14:textId="77777777" w:rsidTr="009A4CAA">
        <w:trPr>
          <w:trHeight w:val="300"/>
        </w:trPr>
        <w:tc>
          <w:tcPr>
            <w:tcW w:w="3710" w:type="dxa"/>
            <w:tcBorders>
              <w:top w:val="nil"/>
              <w:left w:val="nil"/>
              <w:bottom w:val="nil"/>
              <w:right w:val="nil"/>
            </w:tcBorders>
            <w:shd w:val="clear" w:color="auto" w:fill="auto"/>
            <w:noWrap/>
            <w:vAlign w:val="bottom"/>
            <w:hideMark/>
          </w:tcPr>
          <w:p w14:paraId="41BF3D9E" w14:textId="6E4AB24C" w:rsidR="00AF51A3" w:rsidRPr="00AB0114" w:rsidRDefault="00AF51A3" w:rsidP="0052152A">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South Asian/Indian Subcontinent*</w:t>
            </w:r>
          </w:p>
        </w:tc>
        <w:tc>
          <w:tcPr>
            <w:tcW w:w="1653" w:type="dxa"/>
            <w:tcBorders>
              <w:top w:val="nil"/>
              <w:left w:val="nil"/>
              <w:bottom w:val="nil"/>
              <w:right w:val="nil"/>
            </w:tcBorders>
            <w:shd w:val="clear" w:color="auto" w:fill="auto"/>
            <w:noWrap/>
            <w:vAlign w:val="bottom"/>
          </w:tcPr>
          <w:p w14:paraId="60ABB5C8" w14:textId="09C5A3BA" w:rsidR="00AF51A3" w:rsidRPr="00AB0114" w:rsidRDefault="00AF51A3" w:rsidP="00EF5FD9">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-0.28</w:t>
            </w:r>
            <w:r w:rsidR="00B06B28">
              <w:rPr>
                <w:rFonts w:ascii="Arial" w:eastAsia="Times New Roman" w:hAnsi="Arial" w:cs="Arial"/>
                <w:color w:val="000000"/>
                <w:lang w:eastAsia="en-AU"/>
              </w:rPr>
              <w:t>3</w:t>
            </w:r>
          </w:p>
        </w:tc>
        <w:tc>
          <w:tcPr>
            <w:tcW w:w="2208" w:type="dxa"/>
            <w:tcBorders>
              <w:top w:val="nil"/>
              <w:left w:val="nil"/>
              <w:bottom w:val="nil"/>
              <w:right w:val="nil"/>
            </w:tcBorders>
          </w:tcPr>
          <w:p w14:paraId="62C40859" w14:textId="7C05DEC9" w:rsidR="00AF51A3" w:rsidRDefault="00AF51A3" w:rsidP="00EF5FD9">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w:t>
            </w:r>
            <w:r w:rsidR="00D44DC1">
              <w:rPr>
                <w:rFonts w:ascii="Arial" w:eastAsia="Times New Roman" w:hAnsi="Arial" w:cs="Arial"/>
                <w:color w:val="000000"/>
                <w:lang w:eastAsia="en-AU"/>
              </w:rPr>
              <w:t>569</w:t>
            </w:r>
            <w:r>
              <w:rPr>
                <w:rFonts w:ascii="Arial" w:eastAsia="Times New Roman" w:hAnsi="Arial" w:cs="Arial"/>
                <w:color w:val="000000"/>
                <w:lang w:eastAsia="en-AU"/>
              </w:rPr>
              <w:t xml:space="preserve"> – 0.0</w:t>
            </w:r>
            <w:r w:rsidR="00D44DC1">
              <w:rPr>
                <w:rFonts w:ascii="Arial" w:eastAsia="Times New Roman" w:hAnsi="Arial" w:cs="Arial"/>
                <w:color w:val="000000"/>
                <w:lang w:eastAsia="en-AU"/>
              </w:rPr>
              <w:t>03</w:t>
            </w:r>
            <w:r>
              <w:rPr>
                <w:rFonts w:ascii="Arial" w:eastAsia="Times New Roman" w:hAnsi="Arial" w:cs="Arial"/>
                <w:color w:val="000000"/>
                <w:lang w:eastAsia="en-AU"/>
              </w:rPr>
              <w:t>)</w:t>
            </w:r>
          </w:p>
        </w:tc>
        <w:tc>
          <w:tcPr>
            <w:tcW w:w="1104" w:type="dxa"/>
            <w:tcBorders>
              <w:top w:val="nil"/>
              <w:left w:val="nil"/>
              <w:bottom w:val="nil"/>
              <w:right w:val="nil"/>
            </w:tcBorders>
            <w:shd w:val="clear" w:color="auto" w:fill="auto"/>
            <w:noWrap/>
            <w:vAlign w:val="bottom"/>
          </w:tcPr>
          <w:p w14:paraId="6905FCCD" w14:textId="69EA19C9" w:rsidR="00AF51A3" w:rsidRPr="00AB0114" w:rsidRDefault="00AF51A3"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w:t>
            </w:r>
            <w:r w:rsidR="001810ED">
              <w:rPr>
                <w:rFonts w:ascii="Arial" w:eastAsia="Times New Roman" w:hAnsi="Arial" w:cs="Arial"/>
                <w:color w:val="000000"/>
                <w:lang w:eastAsia="en-AU"/>
              </w:rPr>
              <w:t>939</w:t>
            </w:r>
          </w:p>
        </w:tc>
        <w:tc>
          <w:tcPr>
            <w:tcW w:w="1106" w:type="dxa"/>
            <w:tcBorders>
              <w:top w:val="nil"/>
              <w:left w:val="nil"/>
              <w:bottom w:val="nil"/>
              <w:right w:val="nil"/>
            </w:tcBorders>
            <w:shd w:val="clear" w:color="auto" w:fill="auto"/>
            <w:noWrap/>
            <w:vAlign w:val="bottom"/>
          </w:tcPr>
          <w:p w14:paraId="25C040A1" w14:textId="1796D90B" w:rsidR="00AF51A3" w:rsidRPr="00AB0114" w:rsidRDefault="00AF51A3"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0.</w:t>
            </w:r>
            <w:r w:rsidR="00AF2B47">
              <w:rPr>
                <w:rFonts w:ascii="Arial" w:eastAsia="Times New Roman" w:hAnsi="Arial" w:cs="Arial"/>
                <w:color w:val="000000"/>
                <w:lang w:eastAsia="en-AU"/>
              </w:rPr>
              <w:t>052</w:t>
            </w:r>
          </w:p>
        </w:tc>
      </w:tr>
      <w:tr w:rsidR="00AF51A3" w:rsidRPr="00AB0114" w14:paraId="424A7089" w14:textId="77777777" w:rsidTr="009A4CAA">
        <w:trPr>
          <w:trHeight w:val="300"/>
        </w:trPr>
        <w:tc>
          <w:tcPr>
            <w:tcW w:w="3710" w:type="dxa"/>
            <w:tcBorders>
              <w:top w:val="nil"/>
              <w:left w:val="nil"/>
              <w:bottom w:val="single" w:sz="4" w:space="0" w:color="auto"/>
              <w:right w:val="nil"/>
            </w:tcBorders>
            <w:shd w:val="clear" w:color="auto" w:fill="auto"/>
            <w:noWrap/>
            <w:vAlign w:val="bottom"/>
            <w:hideMark/>
          </w:tcPr>
          <w:p w14:paraId="08EA3C52" w14:textId="1AF59191" w:rsidR="00AF51A3" w:rsidRPr="00AB0114" w:rsidRDefault="004F27E8" w:rsidP="0052152A">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 xml:space="preserve">South </w:t>
            </w:r>
            <w:r w:rsidR="00AF51A3">
              <w:rPr>
                <w:rFonts w:ascii="Arial" w:eastAsia="Times New Roman" w:hAnsi="Arial" w:cs="Arial"/>
                <w:color w:val="000000"/>
                <w:lang w:eastAsia="en-AU"/>
              </w:rPr>
              <w:t>East Asian*</w:t>
            </w:r>
          </w:p>
        </w:tc>
        <w:tc>
          <w:tcPr>
            <w:tcW w:w="1653" w:type="dxa"/>
            <w:tcBorders>
              <w:top w:val="nil"/>
              <w:left w:val="nil"/>
              <w:bottom w:val="single" w:sz="4" w:space="0" w:color="auto"/>
              <w:right w:val="nil"/>
            </w:tcBorders>
            <w:shd w:val="clear" w:color="auto" w:fill="auto"/>
            <w:noWrap/>
            <w:vAlign w:val="bottom"/>
          </w:tcPr>
          <w:p w14:paraId="1D18C5BF" w14:textId="6689E27B" w:rsidR="00AF51A3" w:rsidRPr="00AB0114" w:rsidRDefault="00AF51A3" w:rsidP="00EF5FD9">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w:t>
            </w:r>
            <w:r w:rsidR="00B06B28">
              <w:rPr>
                <w:rFonts w:ascii="Arial" w:eastAsia="Times New Roman" w:hAnsi="Arial" w:cs="Arial"/>
                <w:color w:val="000000"/>
                <w:lang w:eastAsia="en-AU"/>
              </w:rPr>
              <w:t>225</w:t>
            </w:r>
          </w:p>
        </w:tc>
        <w:tc>
          <w:tcPr>
            <w:tcW w:w="2208" w:type="dxa"/>
            <w:tcBorders>
              <w:top w:val="nil"/>
              <w:left w:val="nil"/>
              <w:bottom w:val="single" w:sz="4" w:space="0" w:color="auto"/>
              <w:right w:val="nil"/>
            </w:tcBorders>
          </w:tcPr>
          <w:p w14:paraId="3F762DA9" w14:textId="71795E6E" w:rsidR="00AF51A3" w:rsidRDefault="00AF51A3" w:rsidP="00EF5FD9">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(-0.0</w:t>
            </w:r>
            <w:r w:rsidR="00D44DC1">
              <w:rPr>
                <w:rFonts w:ascii="Arial" w:eastAsia="Times New Roman" w:hAnsi="Arial" w:cs="Arial"/>
                <w:color w:val="000000"/>
                <w:lang w:eastAsia="en-AU"/>
              </w:rPr>
              <w:t>4</w:t>
            </w:r>
            <w:r>
              <w:rPr>
                <w:rFonts w:ascii="Arial" w:eastAsia="Times New Roman" w:hAnsi="Arial" w:cs="Arial"/>
                <w:color w:val="000000"/>
                <w:lang w:eastAsia="en-AU"/>
              </w:rPr>
              <w:t>1 – 0.</w:t>
            </w:r>
            <w:r w:rsidR="001810ED">
              <w:rPr>
                <w:rFonts w:ascii="Arial" w:eastAsia="Times New Roman" w:hAnsi="Arial" w:cs="Arial"/>
                <w:color w:val="000000"/>
                <w:lang w:eastAsia="en-AU"/>
              </w:rPr>
              <w:t>491</w:t>
            </w:r>
            <w:r>
              <w:rPr>
                <w:rFonts w:ascii="Arial" w:eastAsia="Times New Roman" w:hAnsi="Arial" w:cs="Arial"/>
                <w:color w:val="000000"/>
                <w:lang w:eastAsia="en-AU"/>
              </w:rPr>
              <w:t>)</w:t>
            </w:r>
          </w:p>
        </w:tc>
        <w:tc>
          <w:tcPr>
            <w:tcW w:w="1104" w:type="dxa"/>
            <w:tcBorders>
              <w:top w:val="nil"/>
              <w:left w:val="nil"/>
              <w:bottom w:val="single" w:sz="4" w:space="0" w:color="auto"/>
              <w:right w:val="nil"/>
            </w:tcBorders>
            <w:shd w:val="clear" w:color="auto" w:fill="auto"/>
            <w:noWrap/>
            <w:vAlign w:val="bottom"/>
          </w:tcPr>
          <w:p w14:paraId="4D8370DF" w14:textId="33C2D99E" w:rsidR="00AF51A3" w:rsidRPr="00AB0114" w:rsidRDefault="00AF51A3"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w:t>
            </w:r>
            <w:r w:rsidR="001810ED">
              <w:rPr>
                <w:rFonts w:ascii="Arial" w:eastAsia="Times New Roman" w:hAnsi="Arial" w:cs="Arial"/>
                <w:color w:val="000000"/>
                <w:lang w:eastAsia="en-AU"/>
              </w:rPr>
              <w:t>659</w:t>
            </w:r>
          </w:p>
        </w:tc>
        <w:tc>
          <w:tcPr>
            <w:tcW w:w="1106" w:type="dxa"/>
            <w:tcBorders>
              <w:top w:val="nil"/>
              <w:left w:val="nil"/>
              <w:bottom w:val="single" w:sz="4" w:space="0" w:color="auto"/>
              <w:right w:val="nil"/>
            </w:tcBorders>
            <w:shd w:val="clear" w:color="auto" w:fill="auto"/>
            <w:noWrap/>
            <w:vAlign w:val="bottom"/>
          </w:tcPr>
          <w:p w14:paraId="468DF05B" w14:textId="33D64647" w:rsidR="00AF51A3" w:rsidRPr="00AB0114" w:rsidRDefault="00AF51A3" w:rsidP="00C658E0">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0.0</w:t>
            </w:r>
            <w:r w:rsidR="00B06B28">
              <w:rPr>
                <w:rFonts w:ascii="Arial" w:eastAsia="Times New Roman" w:hAnsi="Arial" w:cs="Arial"/>
                <w:color w:val="000000"/>
                <w:lang w:eastAsia="en-AU"/>
              </w:rPr>
              <w:t>97</w:t>
            </w:r>
          </w:p>
        </w:tc>
      </w:tr>
    </w:tbl>
    <w:p w14:paraId="3CCC0C70" w14:textId="77777777" w:rsidR="005075B1" w:rsidRDefault="005075B1" w:rsidP="005075B1">
      <w:pPr>
        <w:rPr>
          <w:rFonts w:ascii="Arial" w:hAnsi="Arial" w:cs="Arial"/>
        </w:rPr>
      </w:pPr>
    </w:p>
    <w:p w14:paraId="7B060844" w14:textId="09ED9AB5" w:rsidR="005075B1" w:rsidRDefault="005075B1" w:rsidP="005075B1">
      <w:pPr>
        <w:rPr>
          <w:rFonts w:ascii="Arial" w:eastAsia="Times New Roman" w:hAnsi="Arial" w:cs="Arial"/>
          <w:color w:val="000000"/>
          <w:lang w:eastAsia="en-AU"/>
        </w:rPr>
      </w:pPr>
      <w:r>
        <w:rPr>
          <w:rFonts w:ascii="Arial" w:eastAsia="Times New Roman" w:hAnsi="Arial" w:cs="Arial"/>
          <w:color w:val="000000"/>
          <w:lang w:eastAsia="en-AU"/>
        </w:rPr>
        <w:t>CI = confidence interval</w:t>
      </w:r>
    </w:p>
    <w:p w14:paraId="09600C33" w14:textId="50540E45" w:rsidR="00273B70" w:rsidRPr="00273B70" w:rsidRDefault="00273B70" w:rsidP="00273B70">
      <w:pPr>
        <w:rPr>
          <w:rFonts w:ascii="Arial" w:hAnsi="Arial" w:cs="Arial"/>
        </w:rPr>
      </w:pPr>
      <w:r w:rsidRPr="00273B70">
        <w:rPr>
          <w:rFonts w:ascii="Arial" w:eastAsia="Times New Roman" w:hAnsi="Arial" w:cs="Arial"/>
          <w:color w:val="000000"/>
          <w:lang w:eastAsia="en-AU"/>
        </w:rPr>
        <w:t>*</w:t>
      </w:r>
      <w:r>
        <w:rPr>
          <w:rFonts w:ascii="Arial" w:hAnsi="Arial" w:cs="Arial"/>
        </w:rPr>
        <w:t xml:space="preserve"> </w:t>
      </w:r>
      <w:r w:rsidRPr="00273B70">
        <w:rPr>
          <w:rFonts w:ascii="Arial" w:hAnsi="Arial" w:cs="Arial"/>
        </w:rPr>
        <w:t xml:space="preserve">= </w:t>
      </w:r>
      <w:r>
        <w:rPr>
          <w:rFonts w:ascii="Arial" w:hAnsi="Arial" w:cs="Arial"/>
        </w:rPr>
        <w:t>Compared to White/European/Caucasian</w:t>
      </w:r>
    </w:p>
    <w:p w14:paraId="7360D959" w14:textId="10AD710C" w:rsidR="005075B1" w:rsidRDefault="005075B1" w:rsidP="008A7603">
      <w:pPr>
        <w:spacing w:after="0" w:line="480" w:lineRule="auto"/>
      </w:pPr>
      <w:r>
        <w:br w:type="page"/>
      </w:r>
    </w:p>
    <w:p w14:paraId="71BBE07A" w14:textId="3F33E32F" w:rsidR="005075B1" w:rsidRPr="0035151F" w:rsidRDefault="005075B1" w:rsidP="005075B1">
      <w:pPr>
        <w:tabs>
          <w:tab w:val="left" w:pos="2278"/>
        </w:tabs>
        <w:rPr>
          <w:rFonts w:ascii="Arial" w:hAnsi="Arial" w:cs="Arial"/>
          <w:b/>
          <w:bCs/>
        </w:rPr>
      </w:pPr>
      <w:r w:rsidRPr="0035151F">
        <w:rPr>
          <w:rFonts w:ascii="Arial" w:hAnsi="Arial" w:cs="Arial"/>
          <w:b/>
          <w:bCs/>
        </w:rPr>
        <w:lastRenderedPageBreak/>
        <w:t xml:space="preserve">Supplementary Table </w:t>
      </w:r>
      <w:r w:rsidR="00F9572D">
        <w:rPr>
          <w:rFonts w:ascii="Arial" w:hAnsi="Arial" w:cs="Arial"/>
          <w:b/>
          <w:bCs/>
        </w:rPr>
        <w:t>5</w:t>
      </w:r>
      <w:r w:rsidRPr="0035151F">
        <w:rPr>
          <w:rFonts w:ascii="Arial" w:hAnsi="Arial" w:cs="Arial"/>
          <w:b/>
          <w:bCs/>
        </w:rPr>
        <w:t xml:space="preserve">. Outcomes from meta-regression analysis </w:t>
      </w:r>
      <w:r w:rsidR="00F9572D">
        <w:rPr>
          <w:rFonts w:ascii="Arial" w:hAnsi="Arial" w:cs="Arial"/>
          <w:b/>
          <w:bCs/>
        </w:rPr>
        <w:t>for</w:t>
      </w:r>
      <w:r w:rsidRPr="0035151F">
        <w:rPr>
          <w:rFonts w:ascii="Arial" w:hAnsi="Arial" w:cs="Arial"/>
          <w:b/>
          <w:bCs/>
        </w:rPr>
        <w:t xml:space="preserve"> </w:t>
      </w:r>
      <w:r w:rsidR="00F9572D">
        <w:rPr>
          <w:rFonts w:ascii="Arial" w:hAnsi="Arial" w:cs="Arial"/>
          <w:b/>
          <w:bCs/>
        </w:rPr>
        <w:t>age of onset</w:t>
      </w:r>
    </w:p>
    <w:p w14:paraId="4F9FA932" w14:textId="57F6EDAC" w:rsidR="005075B1" w:rsidRDefault="005075B1" w:rsidP="005075B1">
      <w:pPr>
        <w:rPr>
          <w:rFonts w:ascii="Arial" w:hAnsi="Arial" w:cs="Arial"/>
        </w:rPr>
      </w:pPr>
    </w:p>
    <w:tbl>
      <w:tblPr>
        <w:tblW w:w="9923" w:type="dxa"/>
        <w:tblLook w:val="04A0" w:firstRow="1" w:lastRow="0" w:firstColumn="1" w:lastColumn="0" w:noHBand="0" w:noVBand="1"/>
      </w:tblPr>
      <w:tblGrid>
        <w:gridCol w:w="3710"/>
        <w:gridCol w:w="1653"/>
        <w:gridCol w:w="2292"/>
        <w:gridCol w:w="1104"/>
        <w:gridCol w:w="1164"/>
      </w:tblGrid>
      <w:tr w:rsidR="005C51F6" w:rsidRPr="00AB0114" w14:paraId="1E870519" w14:textId="77777777" w:rsidTr="00EF5FD9">
        <w:trPr>
          <w:trHeight w:val="300"/>
        </w:trPr>
        <w:tc>
          <w:tcPr>
            <w:tcW w:w="3710" w:type="dxa"/>
            <w:tcBorders>
              <w:top w:val="single" w:sz="6" w:space="0" w:color="auto"/>
              <w:left w:val="nil"/>
              <w:bottom w:val="single" w:sz="4" w:space="0" w:color="auto"/>
              <w:right w:val="nil"/>
            </w:tcBorders>
            <w:shd w:val="clear" w:color="auto" w:fill="auto"/>
            <w:noWrap/>
            <w:vAlign w:val="bottom"/>
            <w:hideMark/>
          </w:tcPr>
          <w:p w14:paraId="687D6B7F" w14:textId="77777777" w:rsidR="005C51F6" w:rsidRPr="00AB0114" w:rsidRDefault="005C51F6" w:rsidP="00D66127">
            <w:pPr>
              <w:spacing w:before="240" w:after="0" w:line="480" w:lineRule="auto"/>
              <w:rPr>
                <w:rFonts w:ascii="Arial" w:eastAsia="Times New Roman" w:hAnsi="Arial" w:cs="Arial"/>
                <w:b/>
                <w:bCs/>
                <w:color w:val="000000"/>
                <w:lang w:eastAsia="en-AU"/>
              </w:rPr>
            </w:pPr>
            <w:r>
              <w:rPr>
                <w:rFonts w:ascii="Arial" w:eastAsia="Times New Roman" w:hAnsi="Arial" w:cs="Arial"/>
                <w:b/>
                <w:bCs/>
                <w:color w:val="000000"/>
                <w:lang w:eastAsia="en-AU"/>
              </w:rPr>
              <w:t>Variable</w:t>
            </w:r>
          </w:p>
        </w:tc>
        <w:tc>
          <w:tcPr>
            <w:tcW w:w="1653" w:type="dxa"/>
            <w:tcBorders>
              <w:top w:val="single" w:sz="6" w:space="0" w:color="auto"/>
              <w:left w:val="nil"/>
              <w:bottom w:val="single" w:sz="4" w:space="0" w:color="auto"/>
              <w:right w:val="nil"/>
            </w:tcBorders>
            <w:shd w:val="clear" w:color="auto" w:fill="auto"/>
            <w:noWrap/>
            <w:vAlign w:val="bottom"/>
            <w:hideMark/>
          </w:tcPr>
          <w:p w14:paraId="2E91E76A" w14:textId="77777777" w:rsidR="005C51F6" w:rsidRPr="00AB0114" w:rsidRDefault="005C51F6" w:rsidP="00EF5FD9">
            <w:pPr>
              <w:spacing w:before="240" w:after="0" w:line="480" w:lineRule="auto"/>
              <w:jc w:val="right"/>
              <w:rPr>
                <w:rFonts w:ascii="Arial" w:eastAsia="Times New Roman" w:hAnsi="Arial" w:cs="Arial"/>
                <w:b/>
                <w:bCs/>
                <w:color w:val="000000"/>
                <w:lang w:eastAsia="en-AU"/>
              </w:rPr>
            </w:pPr>
            <w:r>
              <w:rPr>
                <w:rFonts w:ascii="Arial" w:eastAsia="Times New Roman" w:hAnsi="Arial" w:cs="Arial"/>
                <w:b/>
                <w:bCs/>
                <w:color w:val="000000"/>
                <w:lang w:eastAsia="en-AU"/>
              </w:rPr>
              <w:t>Coefficient</w:t>
            </w:r>
          </w:p>
        </w:tc>
        <w:tc>
          <w:tcPr>
            <w:tcW w:w="2292" w:type="dxa"/>
            <w:tcBorders>
              <w:top w:val="single" w:sz="6" w:space="0" w:color="auto"/>
              <w:left w:val="nil"/>
              <w:bottom w:val="single" w:sz="4" w:space="0" w:color="auto"/>
              <w:right w:val="nil"/>
            </w:tcBorders>
          </w:tcPr>
          <w:p w14:paraId="2A8A0B1A" w14:textId="4A0BB696" w:rsidR="005C51F6" w:rsidRDefault="005C51F6" w:rsidP="00EF5FD9">
            <w:pPr>
              <w:spacing w:before="240" w:after="0" w:line="480" w:lineRule="auto"/>
              <w:rPr>
                <w:rFonts w:ascii="Arial" w:eastAsia="Times New Roman" w:hAnsi="Arial" w:cs="Arial"/>
                <w:b/>
                <w:bCs/>
                <w:color w:val="000000"/>
                <w:lang w:eastAsia="en-AU"/>
              </w:rPr>
            </w:pPr>
            <w:r>
              <w:rPr>
                <w:rFonts w:ascii="Arial" w:eastAsia="Times New Roman" w:hAnsi="Arial" w:cs="Arial"/>
                <w:b/>
                <w:bCs/>
                <w:color w:val="000000"/>
                <w:lang w:eastAsia="en-AU"/>
              </w:rPr>
              <w:t>(</w:t>
            </w:r>
            <w:r w:rsidRPr="00AB0114">
              <w:rPr>
                <w:rFonts w:ascii="Arial" w:eastAsia="Times New Roman" w:hAnsi="Arial" w:cs="Arial"/>
                <w:b/>
                <w:bCs/>
                <w:color w:val="000000"/>
                <w:lang w:eastAsia="en-AU"/>
              </w:rPr>
              <w:t xml:space="preserve">95% </w:t>
            </w:r>
            <w:r>
              <w:rPr>
                <w:rFonts w:ascii="Arial" w:eastAsia="Times New Roman" w:hAnsi="Arial" w:cs="Arial"/>
                <w:b/>
                <w:bCs/>
                <w:color w:val="000000"/>
                <w:lang w:eastAsia="en-AU"/>
              </w:rPr>
              <w:t>CI)</w:t>
            </w:r>
          </w:p>
        </w:tc>
        <w:tc>
          <w:tcPr>
            <w:tcW w:w="1104" w:type="dxa"/>
            <w:tcBorders>
              <w:top w:val="single" w:sz="6" w:space="0" w:color="auto"/>
              <w:left w:val="nil"/>
              <w:bottom w:val="single" w:sz="4" w:space="0" w:color="auto"/>
              <w:right w:val="nil"/>
            </w:tcBorders>
            <w:shd w:val="clear" w:color="auto" w:fill="auto"/>
            <w:noWrap/>
            <w:vAlign w:val="bottom"/>
            <w:hideMark/>
          </w:tcPr>
          <w:p w14:paraId="595DD512" w14:textId="6E4D678A" w:rsidR="005C51F6" w:rsidRPr="00AB0114" w:rsidRDefault="005C51F6" w:rsidP="00C658E0">
            <w:pPr>
              <w:spacing w:before="240" w:after="0" w:line="480" w:lineRule="auto"/>
              <w:jc w:val="center"/>
              <w:rPr>
                <w:rFonts w:ascii="Arial" w:eastAsia="Times New Roman" w:hAnsi="Arial" w:cs="Arial"/>
                <w:b/>
                <w:bCs/>
                <w:color w:val="000000"/>
                <w:lang w:eastAsia="en-AU"/>
              </w:rPr>
            </w:pPr>
            <w:r>
              <w:rPr>
                <w:rFonts w:ascii="Arial" w:eastAsia="Times New Roman" w:hAnsi="Arial" w:cs="Arial"/>
                <w:b/>
                <w:bCs/>
                <w:color w:val="000000"/>
                <w:lang w:eastAsia="en-AU"/>
              </w:rPr>
              <w:t>z</w:t>
            </w:r>
          </w:p>
        </w:tc>
        <w:tc>
          <w:tcPr>
            <w:tcW w:w="1164" w:type="dxa"/>
            <w:tcBorders>
              <w:top w:val="single" w:sz="6" w:space="0" w:color="auto"/>
              <w:left w:val="nil"/>
              <w:bottom w:val="single" w:sz="4" w:space="0" w:color="auto"/>
              <w:right w:val="nil"/>
            </w:tcBorders>
            <w:shd w:val="clear" w:color="auto" w:fill="auto"/>
            <w:noWrap/>
            <w:vAlign w:val="bottom"/>
            <w:hideMark/>
          </w:tcPr>
          <w:p w14:paraId="7FC40880" w14:textId="77777777" w:rsidR="005C51F6" w:rsidRPr="00AB0114" w:rsidRDefault="005C51F6" w:rsidP="00C658E0">
            <w:pPr>
              <w:spacing w:before="240" w:after="0" w:line="480" w:lineRule="auto"/>
              <w:jc w:val="center"/>
              <w:rPr>
                <w:rFonts w:ascii="Arial" w:eastAsia="Times New Roman" w:hAnsi="Arial" w:cs="Arial"/>
                <w:b/>
                <w:bCs/>
                <w:color w:val="000000"/>
                <w:lang w:eastAsia="en-AU"/>
              </w:rPr>
            </w:pPr>
            <w:r>
              <w:rPr>
                <w:rFonts w:ascii="Arial" w:eastAsia="Times New Roman" w:hAnsi="Arial" w:cs="Arial"/>
                <w:b/>
                <w:bCs/>
                <w:color w:val="000000"/>
                <w:lang w:eastAsia="en-AU"/>
              </w:rPr>
              <w:t>p</w:t>
            </w:r>
          </w:p>
        </w:tc>
      </w:tr>
      <w:tr w:rsidR="005C51F6" w:rsidRPr="00AB0114" w14:paraId="51A2D93E" w14:textId="77777777" w:rsidTr="00EF5FD9">
        <w:trPr>
          <w:trHeight w:val="300"/>
        </w:trPr>
        <w:tc>
          <w:tcPr>
            <w:tcW w:w="3710" w:type="dxa"/>
            <w:tcBorders>
              <w:top w:val="single" w:sz="4" w:space="0" w:color="auto"/>
              <w:left w:val="nil"/>
              <w:bottom w:val="nil"/>
              <w:right w:val="nil"/>
            </w:tcBorders>
            <w:shd w:val="clear" w:color="auto" w:fill="auto"/>
            <w:noWrap/>
            <w:vAlign w:val="bottom"/>
            <w:hideMark/>
          </w:tcPr>
          <w:p w14:paraId="3CDB4774" w14:textId="77777777" w:rsidR="005C51F6" w:rsidRPr="00AB0114" w:rsidRDefault="005C51F6" w:rsidP="00D66127">
            <w:pPr>
              <w:spacing w:before="240" w:after="0" w:line="480" w:lineRule="auto"/>
              <w:rPr>
                <w:rFonts w:ascii="Arial" w:eastAsia="Times New Roman" w:hAnsi="Arial" w:cs="Arial"/>
                <w:color w:val="000000"/>
                <w:lang w:eastAsia="en-AU"/>
              </w:rPr>
            </w:pPr>
            <w:r>
              <w:rPr>
                <w:rFonts w:ascii="Arial" w:eastAsia="Times New Roman" w:hAnsi="Arial" w:cs="Arial"/>
                <w:color w:val="000000"/>
                <w:lang w:eastAsia="en-AU"/>
              </w:rPr>
              <w:t>Intercept</w:t>
            </w:r>
          </w:p>
        </w:tc>
        <w:tc>
          <w:tcPr>
            <w:tcW w:w="1653" w:type="dxa"/>
            <w:tcBorders>
              <w:top w:val="single" w:sz="4" w:space="0" w:color="auto"/>
              <w:left w:val="nil"/>
              <w:bottom w:val="nil"/>
              <w:right w:val="nil"/>
            </w:tcBorders>
            <w:shd w:val="clear" w:color="auto" w:fill="auto"/>
            <w:noWrap/>
            <w:vAlign w:val="bottom"/>
          </w:tcPr>
          <w:p w14:paraId="43510FE5" w14:textId="28245D1C" w:rsidR="005C51F6" w:rsidRPr="00AB0114" w:rsidRDefault="005C51F6" w:rsidP="00EF5FD9">
            <w:pPr>
              <w:spacing w:before="240"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w:t>
            </w:r>
            <w:r w:rsidR="00623547">
              <w:rPr>
                <w:rFonts w:ascii="Arial" w:eastAsia="Times New Roman" w:hAnsi="Arial" w:cs="Arial"/>
                <w:color w:val="000000"/>
                <w:lang w:eastAsia="en-AU"/>
              </w:rPr>
              <w:t>19</w:t>
            </w:r>
            <w:r>
              <w:rPr>
                <w:rFonts w:ascii="Arial" w:eastAsia="Times New Roman" w:hAnsi="Arial" w:cs="Arial"/>
                <w:color w:val="000000"/>
                <w:lang w:eastAsia="en-AU"/>
              </w:rPr>
              <w:t>.</w:t>
            </w:r>
            <w:r w:rsidR="008D30A1">
              <w:rPr>
                <w:rFonts w:ascii="Arial" w:eastAsia="Times New Roman" w:hAnsi="Arial" w:cs="Arial"/>
                <w:color w:val="000000"/>
                <w:lang w:eastAsia="en-AU"/>
              </w:rPr>
              <w:t>0</w:t>
            </w:r>
            <w:r w:rsidR="00623547">
              <w:rPr>
                <w:rFonts w:ascii="Arial" w:eastAsia="Times New Roman" w:hAnsi="Arial" w:cs="Arial"/>
                <w:color w:val="000000"/>
                <w:lang w:eastAsia="en-AU"/>
              </w:rPr>
              <w:t>88</w:t>
            </w:r>
          </w:p>
        </w:tc>
        <w:tc>
          <w:tcPr>
            <w:tcW w:w="2292" w:type="dxa"/>
            <w:tcBorders>
              <w:top w:val="single" w:sz="4" w:space="0" w:color="auto"/>
              <w:left w:val="nil"/>
              <w:bottom w:val="nil"/>
              <w:right w:val="nil"/>
            </w:tcBorders>
          </w:tcPr>
          <w:p w14:paraId="68F11013" w14:textId="795CE910" w:rsidR="005C51F6" w:rsidRDefault="005C51F6" w:rsidP="00EF5FD9">
            <w:pPr>
              <w:spacing w:before="240" w:after="0" w:line="480" w:lineRule="auto"/>
              <w:rPr>
                <w:rFonts w:ascii="Arial" w:eastAsia="Times New Roman" w:hAnsi="Arial" w:cs="Arial"/>
                <w:color w:val="000000"/>
                <w:lang w:eastAsia="en-AU"/>
              </w:rPr>
            </w:pPr>
            <w:r>
              <w:rPr>
                <w:rFonts w:ascii="Arial" w:eastAsia="Times New Roman" w:hAnsi="Arial" w:cs="Arial"/>
                <w:color w:val="000000"/>
                <w:lang w:eastAsia="en-AU"/>
              </w:rPr>
              <w:t>(-</w:t>
            </w:r>
            <w:r w:rsidR="001E72FC">
              <w:rPr>
                <w:rFonts w:ascii="Arial" w:eastAsia="Times New Roman" w:hAnsi="Arial" w:cs="Arial"/>
                <w:color w:val="000000"/>
                <w:lang w:eastAsia="en-AU"/>
              </w:rPr>
              <w:t>44</w:t>
            </w:r>
            <w:r>
              <w:rPr>
                <w:rFonts w:ascii="Arial" w:eastAsia="Times New Roman" w:hAnsi="Arial" w:cs="Arial"/>
                <w:color w:val="000000"/>
                <w:lang w:eastAsia="en-AU"/>
              </w:rPr>
              <w:t>.</w:t>
            </w:r>
            <w:r w:rsidR="001E72FC">
              <w:rPr>
                <w:rFonts w:ascii="Arial" w:eastAsia="Times New Roman" w:hAnsi="Arial" w:cs="Arial"/>
                <w:color w:val="000000"/>
                <w:lang w:eastAsia="en-AU"/>
              </w:rPr>
              <w:t>557</w:t>
            </w:r>
            <w:r>
              <w:rPr>
                <w:rFonts w:ascii="Arial" w:eastAsia="Times New Roman" w:hAnsi="Arial" w:cs="Arial"/>
                <w:color w:val="000000"/>
                <w:lang w:eastAsia="en-AU"/>
              </w:rPr>
              <w:t xml:space="preserve"> – </w:t>
            </w:r>
            <w:r w:rsidR="001E72FC">
              <w:rPr>
                <w:rFonts w:ascii="Arial" w:eastAsia="Times New Roman" w:hAnsi="Arial" w:cs="Arial"/>
                <w:color w:val="000000"/>
                <w:lang w:eastAsia="en-AU"/>
              </w:rPr>
              <w:t>6</w:t>
            </w:r>
            <w:r>
              <w:rPr>
                <w:rFonts w:ascii="Arial" w:eastAsia="Times New Roman" w:hAnsi="Arial" w:cs="Arial"/>
                <w:color w:val="000000"/>
                <w:lang w:eastAsia="en-AU"/>
              </w:rPr>
              <w:t>.</w:t>
            </w:r>
            <w:r w:rsidR="001E72FC">
              <w:rPr>
                <w:rFonts w:ascii="Arial" w:eastAsia="Times New Roman" w:hAnsi="Arial" w:cs="Arial"/>
                <w:color w:val="000000"/>
                <w:lang w:eastAsia="en-AU"/>
              </w:rPr>
              <w:t>381</w:t>
            </w:r>
            <w:r>
              <w:rPr>
                <w:rFonts w:ascii="Arial" w:eastAsia="Times New Roman" w:hAnsi="Arial" w:cs="Arial"/>
                <w:color w:val="000000"/>
                <w:lang w:eastAsia="en-AU"/>
              </w:rPr>
              <w:t>)</w:t>
            </w:r>
          </w:p>
        </w:tc>
        <w:tc>
          <w:tcPr>
            <w:tcW w:w="1104" w:type="dxa"/>
            <w:tcBorders>
              <w:top w:val="single" w:sz="4" w:space="0" w:color="auto"/>
              <w:left w:val="nil"/>
              <w:bottom w:val="nil"/>
              <w:right w:val="nil"/>
            </w:tcBorders>
            <w:shd w:val="clear" w:color="auto" w:fill="auto"/>
            <w:noWrap/>
            <w:vAlign w:val="bottom"/>
          </w:tcPr>
          <w:p w14:paraId="0190BEA3" w14:textId="39718B66" w:rsidR="005C51F6" w:rsidRPr="00AB0114" w:rsidRDefault="005C51F6" w:rsidP="00C658E0">
            <w:pPr>
              <w:spacing w:before="240"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w:t>
            </w:r>
            <w:r w:rsidR="001E72FC">
              <w:rPr>
                <w:rFonts w:ascii="Arial" w:eastAsia="Times New Roman" w:hAnsi="Arial" w:cs="Arial"/>
                <w:color w:val="000000"/>
                <w:lang w:eastAsia="en-AU"/>
              </w:rPr>
              <w:t>1</w:t>
            </w:r>
            <w:r>
              <w:rPr>
                <w:rFonts w:ascii="Arial" w:eastAsia="Times New Roman" w:hAnsi="Arial" w:cs="Arial"/>
                <w:color w:val="000000"/>
                <w:lang w:eastAsia="en-AU"/>
              </w:rPr>
              <w:t>.</w:t>
            </w:r>
            <w:r w:rsidR="0064569D">
              <w:rPr>
                <w:rFonts w:ascii="Arial" w:eastAsia="Times New Roman" w:hAnsi="Arial" w:cs="Arial"/>
                <w:color w:val="000000"/>
                <w:lang w:eastAsia="en-AU"/>
              </w:rPr>
              <w:t>4</w:t>
            </w:r>
            <w:r w:rsidR="001E72FC">
              <w:rPr>
                <w:rFonts w:ascii="Arial" w:eastAsia="Times New Roman" w:hAnsi="Arial" w:cs="Arial"/>
                <w:color w:val="000000"/>
                <w:lang w:eastAsia="en-AU"/>
              </w:rPr>
              <w:t>69</w:t>
            </w:r>
          </w:p>
        </w:tc>
        <w:tc>
          <w:tcPr>
            <w:tcW w:w="1164" w:type="dxa"/>
            <w:tcBorders>
              <w:top w:val="single" w:sz="4" w:space="0" w:color="auto"/>
              <w:left w:val="nil"/>
              <w:bottom w:val="nil"/>
              <w:right w:val="nil"/>
            </w:tcBorders>
            <w:shd w:val="clear" w:color="auto" w:fill="auto"/>
            <w:noWrap/>
            <w:vAlign w:val="bottom"/>
          </w:tcPr>
          <w:p w14:paraId="28EE1B87" w14:textId="45E69C6E" w:rsidR="005C51F6" w:rsidRPr="00AB0114" w:rsidRDefault="005C51F6" w:rsidP="00C658E0">
            <w:pPr>
              <w:spacing w:before="240"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0.</w:t>
            </w:r>
            <w:r w:rsidR="001E72FC">
              <w:rPr>
                <w:rFonts w:ascii="Arial" w:eastAsia="Times New Roman" w:hAnsi="Arial" w:cs="Arial"/>
                <w:color w:val="000000"/>
                <w:lang w:eastAsia="en-AU"/>
              </w:rPr>
              <w:t>142</w:t>
            </w:r>
          </w:p>
        </w:tc>
      </w:tr>
      <w:tr w:rsidR="00EF2035" w:rsidRPr="00AB0114" w14:paraId="33D6F99E" w14:textId="77777777" w:rsidTr="001E72FC">
        <w:trPr>
          <w:trHeight w:val="300"/>
        </w:trPr>
        <w:tc>
          <w:tcPr>
            <w:tcW w:w="3710" w:type="dxa"/>
            <w:tcBorders>
              <w:top w:val="nil"/>
              <w:left w:val="nil"/>
              <w:bottom w:val="nil"/>
              <w:right w:val="nil"/>
            </w:tcBorders>
            <w:shd w:val="clear" w:color="auto" w:fill="auto"/>
            <w:noWrap/>
            <w:vAlign w:val="bottom"/>
            <w:hideMark/>
          </w:tcPr>
          <w:p w14:paraId="0A8240C7" w14:textId="5547F4BA" w:rsidR="00EF2035" w:rsidRPr="00AB0114" w:rsidRDefault="00EF2035" w:rsidP="00EF2035">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Mean Female Life-expectancy</w:t>
            </w:r>
          </w:p>
        </w:tc>
        <w:tc>
          <w:tcPr>
            <w:tcW w:w="1653" w:type="dxa"/>
            <w:tcBorders>
              <w:top w:val="nil"/>
              <w:left w:val="nil"/>
              <w:bottom w:val="nil"/>
              <w:right w:val="nil"/>
            </w:tcBorders>
            <w:shd w:val="clear" w:color="auto" w:fill="auto"/>
            <w:noWrap/>
            <w:vAlign w:val="bottom"/>
          </w:tcPr>
          <w:p w14:paraId="41FBC804" w14:textId="2248B726" w:rsidR="00EF2035" w:rsidRPr="00AB0114" w:rsidRDefault="00EF2035" w:rsidP="00EF2035">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w:t>
            </w:r>
            <w:r w:rsidR="001E72FC">
              <w:rPr>
                <w:rFonts w:ascii="Arial" w:eastAsia="Times New Roman" w:hAnsi="Arial" w:cs="Arial"/>
                <w:color w:val="000000"/>
                <w:lang w:eastAsia="en-AU"/>
              </w:rPr>
              <w:t>657</w:t>
            </w:r>
          </w:p>
        </w:tc>
        <w:tc>
          <w:tcPr>
            <w:tcW w:w="2292" w:type="dxa"/>
            <w:tcBorders>
              <w:top w:val="nil"/>
              <w:left w:val="nil"/>
              <w:bottom w:val="nil"/>
              <w:right w:val="nil"/>
            </w:tcBorders>
          </w:tcPr>
          <w:p w14:paraId="67E0E075" w14:textId="77C8018D" w:rsidR="00EF2035" w:rsidRDefault="00EF2035" w:rsidP="00EF2035">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w:t>
            </w:r>
            <w:r w:rsidR="001E72FC">
              <w:rPr>
                <w:rFonts w:ascii="Arial" w:eastAsia="Times New Roman" w:hAnsi="Arial" w:cs="Arial"/>
                <w:color w:val="000000"/>
                <w:lang w:eastAsia="en-AU"/>
              </w:rPr>
              <w:t>326</w:t>
            </w:r>
            <w:r>
              <w:rPr>
                <w:rFonts w:ascii="Arial" w:eastAsia="Times New Roman" w:hAnsi="Arial" w:cs="Arial"/>
                <w:color w:val="000000"/>
                <w:lang w:eastAsia="en-AU"/>
              </w:rPr>
              <w:t xml:space="preserve"> – 0.</w:t>
            </w:r>
            <w:r w:rsidR="001E72FC">
              <w:rPr>
                <w:rFonts w:ascii="Arial" w:eastAsia="Times New Roman" w:hAnsi="Arial" w:cs="Arial"/>
                <w:color w:val="000000"/>
                <w:lang w:eastAsia="en-AU"/>
              </w:rPr>
              <w:t>988</w:t>
            </w:r>
            <w:r>
              <w:rPr>
                <w:rFonts w:ascii="Arial" w:eastAsia="Times New Roman" w:hAnsi="Arial" w:cs="Arial"/>
                <w:color w:val="000000"/>
                <w:lang w:eastAsia="en-AU"/>
              </w:rPr>
              <w:t>)</w:t>
            </w:r>
          </w:p>
        </w:tc>
        <w:tc>
          <w:tcPr>
            <w:tcW w:w="1104" w:type="dxa"/>
            <w:tcBorders>
              <w:top w:val="nil"/>
              <w:left w:val="nil"/>
              <w:bottom w:val="nil"/>
              <w:right w:val="nil"/>
            </w:tcBorders>
            <w:shd w:val="clear" w:color="auto" w:fill="auto"/>
            <w:noWrap/>
            <w:vAlign w:val="bottom"/>
          </w:tcPr>
          <w:p w14:paraId="72EA669A" w14:textId="53BCB0DF" w:rsidR="00EF2035" w:rsidRPr="00AB0114" w:rsidRDefault="00EF2035" w:rsidP="00EF2035">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3.</w:t>
            </w:r>
            <w:r w:rsidR="001E72FC">
              <w:rPr>
                <w:rFonts w:ascii="Arial" w:eastAsia="Times New Roman" w:hAnsi="Arial" w:cs="Arial"/>
                <w:color w:val="000000"/>
                <w:lang w:eastAsia="en-AU"/>
              </w:rPr>
              <w:t>887</w:t>
            </w:r>
          </w:p>
        </w:tc>
        <w:tc>
          <w:tcPr>
            <w:tcW w:w="1164" w:type="dxa"/>
            <w:tcBorders>
              <w:top w:val="nil"/>
              <w:left w:val="nil"/>
              <w:bottom w:val="nil"/>
              <w:right w:val="nil"/>
            </w:tcBorders>
            <w:shd w:val="clear" w:color="auto" w:fill="auto"/>
            <w:noWrap/>
            <w:vAlign w:val="bottom"/>
          </w:tcPr>
          <w:p w14:paraId="256F2479" w14:textId="08DA5021" w:rsidR="00EF2035" w:rsidRPr="00AB0114" w:rsidRDefault="001E72FC" w:rsidP="00EF2035">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&lt;</w:t>
            </w:r>
            <w:r w:rsidR="00EF2035">
              <w:rPr>
                <w:rFonts w:ascii="Arial" w:eastAsia="Times New Roman" w:hAnsi="Arial" w:cs="Arial"/>
                <w:color w:val="000000"/>
                <w:lang w:eastAsia="en-AU"/>
              </w:rPr>
              <w:t>0.001</w:t>
            </w:r>
          </w:p>
        </w:tc>
      </w:tr>
      <w:tr w:rsidR="001E72FC" w:rsidRPr="00AB0114" w14:paraId="35C760EF" w14:textId="77777777" w:rsidTr="00EF5FD9">
        <w:trPr>
          <w:trHeight w:val="300"/>
        </w:trPr>
        <w:tc>
          <w:tcPr>
            <w:tcW w:w="3710" w:type="dxa"/>
            <w:tcBorders>
              <w:top w:val="nil"/>
              <w:left w:val="nil"/>
              <w:bottom w:val="single" w:sz="4" w:space="0" w:color="auto"/>
              <w:right w:val="nil"/>
            </w:tcBorders>
            <w:shd w:val="clear" w:color="auto" w:fill="auto"/>
            <w:noWrap/>
            <w:vAlign w:val="bottom"/>
          </w:tcPr>
          <w:p w14:paraId="02D969A2" w14:textId="582ADC02" w:rsidR="001E72FC" w:rsidRDefault="001E72FC" w:rsidP="00EF2035">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Proportion AQ</w:t>
            </w:r>
            <w:r w:rsidR="00942EA0">
              <w:rPr>
                <w:rFonts w:ascii="Arial" w:eastAsia="Times New Roman" w:hAnsi="Arial" w:cs="Arial"/>
                <w:color w:val="000000"/>
                <w:lang w:eastAsia="en-AU"/>
              </w:rPr>
              <w:t>P4 Antibody Positive</w:t>
            </w:r>
          </w:p>
        </w:tc>
        <w:tc>
          <w:tcPr>
            <w:tcW w:w="1653" w:type="dxa"/>
            <w:tcBorders>
              <w:top w:val="nil"/>
              <w:left w:val="nil"/>
              <w:bottom w:val="single" w:sz="4" w:space="0" w:color="auto"/>
              <w:right w:val="nil"/>
            </w:tcBorders>
            <w:shd w:val="clear" w:color="auto" w:fill="auto"/>
            <w:noWrap/>
            <w:vAlign w:val="bottom"/>
          </w:tcPr>
          <w:p w14:paraId="69B61330" w14:textId="3792963C" w:rsidR="001E72FC" w:rsidRDefault="00942EA0" w:rsidP="00EF2035">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0.053</w:t>
            </w:r>
          </w:p>
        </w:tc>
        <w:tc>
          <w:tcPr>
            <w:tcW w:w="2292" w:type="dxa"/>
            <w:tcBorders>
              <w:top w:val="nil"/>
              <w:left w:val="nil"/>
              <w:bottom w:val="single" w:sz="4" w:space="0" w:color="auto"/>
              <w:right w:val="nil"/>
            </w:tcBorders>
          </w:tcPr>
          <w:p w14:paraId="090B0025" w14:textId="7CE9F2A8" w:rsidR="001E72FC" w:rsidRDefault="00942EA0" w:rsidP="00EF2035">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(0.009 – 0.096)</w:t>
            </w:r>
          </w:p>
        </w:tc>
        <w:tc>
          <w:tcPr>
            <w:tcW w:w="1104" w:type="dxa"/>
            <w:tcBorders>
              <w:top w:val="nil"/>
              <w:left w:val="nil"/>
              <w:bottom w:val="single" w:sz="4" w:space="0" w:color="auto"/>
              <w:right w:val="nil"/>
            </w:tcBorders>
            <w:shd w:val="clear" w:color="auto" w:fill="auto"/>
            <w:noWrap/>
            <w:vAlign w:val="bottom"/>
          </w:tcPr>
          <w:p w14:paraId="06113E8C" w14:textId="28B3C953" w:rsidR="001E72FC" w:rsidRDefault="00801B0C" w:rsidP="00EF2035">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2.343</w:t>
            </w:r>
          </w:p>
        </w:tc>
        <w:tc>
          <w:tcPr>
            <w:tcW w:w="1164" w:type="dxa"/>
            <w:tcBorders>
              <w:top w:val="nil"/>
              <w:left w:val="nil"/>
              <w:bottom w:val="single" w:sz="4" w:space="0" w:color="auto"/>
              <w:right w:val="nil"/>
            </w:tcBorders>
            <w:shd w:val="clear" w:color="auto" w:fill="auto"/>
            <w:noWrap/>
            <w:vAlign w:val="bottom"/>
          </w:tcPr>
          <w:p w14:paraId="5E992FB0" w14:textId="424A4F54" w:rsidR="001E72FC" w:rsidRDefault="00801B0C" w:rsidP="00EF2035">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0.019</w:t>
            </w:r>
          </w:p>
        </w:tc>
      </w:tr>
    </w:tbl>
    <w:p w14:paraId="3708D26D" w14:textId="77777777" w:rsidR="00547358" w:rsidRPr="00AB0114" w:rsidRDefault="00547358" w:rsidP="005075B1">
      <w:pPr>
        <w:rPr>
          <w:rFonts w:ascii="Arial" w:hAnsi="Arial" w:cs="Arial"/>
        </w:rPr>
      </w:pPr>
    </w:p>
    <w:p w14:paraId="384563AB" w14:textId="77777777" w:rsidR="005075B1" w:rsidRPr="00AB0114" w:rsidRDefault="005075B1" w:rsidP="005075B1">
      <w:pPr>
        <w:rPr>
          <w:rFonts w:ascii="Arial" w:hAnsi="Arial" w:cs="Arial"/>
        </w:rPr>
      </w:pPr>
      <w:r>
        <w:rPr>
          <w:rFonts w:ascii="Arial" w:eastAsia="Times New Roman" w:hAnsi="Arial" w:cs="Arial"/>
          <w:color w:val="000000"/>
          <w:lang w:eastAsia="en-AU"/>
        </w:rPr>
        <w:t xml:space="preserve">CI = confidence interval </w:t>
      </w:r>
    </w:p>
    <w:p w14:paraId="68D69A65" w14:textId="38143390" w:rsidR="00AA6332" w:rsidRDefault="00AA6332" w:rsidP="008A7603">
      <w:pPr>
        <w:spacing w:after="0" w:line="480" w:lineRule="auto"/>
      </w:pPr>
      <w:r>
        <w:br w:type="page"/>
      </w:r>
    </w:p>
    <w:p w14:paraId="19819950" w14:textId="2EFB4784" w:rsidR="00A46897" w:rsidRPr="0035151F" w:rsidRDefault="00A46897" w:rsidP="00A46897">
      <w:pPr>
        <w:tabs>
          <w:tab w:val="left" w:pos="2278"/>
        </w:tabs>
        <w:rPr>
          <w:rFonts w:ascii="Arial" w:hAnsi="Arial" w:cs="Arial"/>
          <w:b/>
          <w:bCs/>
        </w:rPr>
      </w:pPr>
      <w:r w:rsidRPr="0035151F">
        <w:rPr>
          <w:rFonts w:ascii="Arial" w:hAnsi="Arial" w:cs="Arial"/>
          <w:b/>
          <w:bCs/>
        </w:rPr>
        <w:lastRenderedPageBreak/>
        <w:t xml:space="preserve">Supplementary Table </w:t>
      </w:r>
      <w:r w:rsidR="00F9572D">
        <w:rPr>
          <w:rFonts w:ascii="Arial" w:hAnsi="Arial" w:cs="Arial"/>
          <w:b/>
          <w:bCs/>
        </w:rPr>
        <w:t>6</w:t>
      </w:r>
      <w:r w:rsidRPr="0035151F">
        <w:rPr>
          <w:rFonts w:ascii="Arial" w:hAnsi="Arial" w:cs="Arial"/>
          <w:b/>
          <w:bCs/>
        </w:rPr>
        <w:t xml:space="preserve">. Outcomes from meta-regression analysis of </w:t>
      </w:r>
      <w:r>
        <w:rPr>
          <w:rFonts w:ascii="Arial" w:hAnsi="Arial" w:cs="Arial"/>
          <w:b/>
          <w:bCs/>
        </w:rPr>
        <w:t>age of onset</w:t>
      </w:r>
      <w:r w:rsidRPr="0035151F">
        <w:rPr>
          <w:rFonts w:ascii="Arial" w:hAnsi="Arial" w:cs="Arial"/>
          <w:b/>
          <w:bCs/>
        </w:rPr>
        <w:t xml:space="preserve"> for AQP4 antibody positive cases only.</w:t>
      </w:r>
    </w:p>
    <w:p w14:paraId="1BE34A90" w14:textId="77777777" w:rsidR="00A46897" w:rsidRPr="00AB0114" w:rsidRDefault="00A46897" w:rsidP="00A46897">
      <w:pPr>
        <w:rPr>
          <w:rFonts w:ascii="Arial" w:hAnsi="Arial" w:cs="Arial"/>
        </w:rPr>
      </w:pPr>
    </w:p>
    <w:tbl>
      <w:tblPr>
        <w:tblW w:w="9923" w:type="dxa"/>
        <w:tblLook w:val="04A0" w:firstRow="1" w:lastRow="0" w:firstColumn="1" w:lastColumn="0" w:noHBand="0" w:noVBand="1"/>
      </w:tblPr>
      <w:tblGrid>
        <w:gridCol w:w="3710"/>
        <w:gridCol w:w="1653"/>
        <w:gridCol w:w="2292"/>
        <w:gridCol w:w="1104"/>
        <w:gridCol w:w="1164"/>
      </w:tblGrid>
      <w:tr w:rsidR="00617589" w:rsidRPr="00AB0114" w14:paraId="7C8125F5" w14:textId="77777777" w:rsidTr="00D66127">
        <w:trPr>
          <w:trHeight w:val="300"/>
        </w:trPr>
        <w:tc>
          <w:tcPr>
            <w:tcW w:w="3710" w:type="dxa"/>
            <w:tcBorders>
              <w:top w:val="single" w:sz="6" w:space="0" w:color="auto"/>
              <w:left w:val="nil"/>
              <w:bottom w:val="single" w:sz="4" w:space="0" w:color="auto"/>
              <w:right w:val="nil"/>
            </w:tcBorders>
            <w:shd w:val="clear" w:color="auto" w:fill="auto"/>
            <w:noWrap/>
            <w:vAlign w:val="bottom"/>
            <w:hideMark/>
          </w:tcPr>
          <w:p w14:paraId="24507BDD" w14:textId="77777777" w:rsidR="00617589" w:rsidRPr="00AB0114" w:rsidRDefault="00617589" w:rsidP="00D66127">
            <w:pPr>
              <w:spacing w:before="240" w:after="0" w:line="480" w:lineRule="auto"/>
              <w:rPr>
                <w:rFonts w:ascii="Arial" w:eastAsia="Times New Roman" w:hAnsi="Arial" w:cs="Arial"/>
                <w:b/>
                <w:bCs/>
                <w:color w:val="000000"/>
                <w:lang w:eastAsia="en-AU"/>
              </w:rPr>
            </w:pPr>
            <w:r>
              <w:rPr>
                <w:rFonts w:ascii="Arial" w:eastAsia="Times New Roman" w:hAnsi="Arial" w:cs="Arial"/>
                <w:b/>
                <w:bCs/>
                <w:color w:val="000000"/>
                <w:lang w:eastAsia="en-AU"/>
              </w:rPr>
              <w:t>Variable</w:t>
            </w:r>
          </w:p>
        </w:tc>
        <w:tc>
          <w:tcPr>
            <w:tcW w:w="1653" w:type="dxa"/>
            <w:tcBorders>
              <w:top w:val="single" w:sz="6" w:space="0" w:color="auto"/>
              <w:left w:val="nil"/>
              <w:bottom w:val="single" w:sz="4" w:space="0" w:color="auto"/>
              <w:right w:val="nil"/>
            </w:tcBorders>
            <w:shd w:val="clear" w:color="auto" w:fill="auto"/>
            <w:noWrap/>
            <w:vAlign w:val="bottom"/>
            <w:hideMark/>
          </w:tcPr>
          <w:p w14:paraId="3EACA0AE" w14:textId="77777777" w:rsidR="00617589" w:rsidRPr="00AB0114" w:rsidRDefault="00617589" w:rsidP="00D66127">
            <w:pPr>
              <w:spacing w:before="240" w:after="0" w:line="480" w:lineRule="auto"/>
              <w:jc w:val="right"/>
              <w:rPr>
                <w:rFonts w:ascii="Arial" w:eastAsia="Times New Roman" w:hAnsi="Arial" w:cs="Arial"/>
                <w:b/>
                <w:bCs/>
                <w:color w:val="000000"/>
                <w:lang w:eastAsia="en-AU"/>
              </w:rPr>
            </w:pPr>
            <w:r>
              <w:rPr>
                <w:rFonts w:ascii="Arial" w:eastAsia="Times New Roman" w:hAnsi="Arial" w:cs="Arial"/>
                <w:b/>
                <w:bCs/>
                <w:color w:val="000000"/>
                <w:lang w:eastAsia="en-AU"/>
              </w:rPr>
              <w:t>Coefficient</w:t>
            </w:r>
          </w:p>
        </w:tc>
        <w:tc>
          <w:tcPr>
            <w:tcW w:w="2292" w:type="dxa"/>
            <w:tcBorders>
              <w:top w:val="single" w:sz="6" w:space="0" w:color="auto"/>
              <w:left w:val="nil"/>
              <w:bottom w:val="single" w:sz="4" w:space="0" w:color="auto"/>
              <w:right w:val="nil"/>
            </w:tcBorders>
          </w:tcPr>
          <w:p w14:paraId="7F9D136A" w14:textId="77777777" w:rsidR="00617589" w:rsidRDefault="00617589" w:rsidP="00D66127">
            <w:pPr>
              <w:spacing w:before="240" w:after="0" w:line="480" w:lineRule="auto"/>
              <w:rPr>
                <w:rFonts w:ascii="Arial" w:eastAsia="Times New Roman" w:hAnsi="Arial" w:cs="Arial"/>
                <w:b/>
                <w:bCs/>
                <w:color w:val="000000"/>
                <w:lang w:eastAsia="en-AU"/>
              </w:rPr>
            </w:pPr>
            <w:r>
              <w:rPr>
                <w:rFonts w:ascii="Arial" w:eastAsia="Times New Roman" w:hAnsi="Arial" w:cs="Arial"/>
                <w:b/>
                <w:bCs/>
                <w:color w:val="000000"/>
                <w:lang w:eastAsia="en-AU"/>
              </w:rPr>
              <w:t>(</w:t>
            </w:r>
            <w:r w:rsidRPr="00AB0114">
              <w:rPr>
                <w:rFonts w:ascii="Arial" w:eastAsia="Times New Roman" w:hAnsi="Arial" w:cs="Arial"/>
                <w:b/>
                <w:bCs/>
                <w:color w:val="000000"/>
                <w:lang w:eastAsia="en-AU"/>
              </w:rPr>
              <w:t xml:space="preserve">95% </w:t>
            </w:r>
            <w:r>
              <w:rPr>
                <w:rFonts w:ascii="Arial" w:eastAsia="Times New Roman" w:hAnsi="Arial" w:cs="Arial"/>
                <w:b/>
                <w:bCs/>
                <w:color w:val="000000"/>
                <w:lang w:eastAsia="en-AU"/>
              </w:rPr>
              <w:t>CI)</w:t>
            </w:r>
          </w:p>
        </w:tc>
        <w:tc>
          <w:tcPr>
            <w:tcW w:w="1104" w:type="dxa"/>
            <w:tcBorders>
              <w:top w:val="single" w:sz="6" w:space="0" w:color="auto"/>
              <w:left w:val="nil"/>
              <w:bottom w:val="single" w:sz="4" w:space="0" w:color="auto"/>
              <w:right w:val="nil"/>
            </w:tcBorders>
            <w:shd w:val="clear" w:color="auto" w:fill="auto"/>
            <w:noWrap/>
            <w:vAlign w:val="bottom"/>
            <w:hideMark/>
          </w:tcPr>
          <w:p w14:paraId="47FED267" w14:textId="77777777" w:rsidR="00617589" w:rsidRPr="00AB0114" w:rsidRDefault="00617589" w:rsidP="00D66127">
            <w:pPr>
              <w:spacing w:before="240" w:after="0" w:line="480" w:lineRule="auto"/>
              <w:jc w:val="center"/>
              <w:rPr>
                <w:rFonts w:ascii="Arial" w:eastAsia="Times New Roman" w:hAnsi="Arial" w:cs="Arial"/>
                <w:b/>
                <w:bCs/>
                <w:color w:val="000000"/>
                <w:lang w:eastAsia="en-AU"/>
              </w:rPr>
            </w:pPr>
            <w:r>
              <w:rPr>
                <w:rFonts w:ascii="Arial" w:eastAsia="Times New Roman" w:hAnsi="Arial" w:cs="Arial"/>
                <w:b/>
                <w:bCs/>
                <w:color w:val="000000"/>
                <w:lang w:eastAsia="en-AU"/>
              </w:rPr>
              <w:t>z</w:t>
            </w:r>
          </w:p>
        </w:tc>
        <w:tc>
          <w:tcPr>
            <w:tcW w:w="1164" w:type="dxa"/>
            <w:tcBorders>
              <w:top w:val="single" w:sz="6" w:space="0" w:color="auto"/>
              <w:left w:val="nil"/>
              <w:bottom w:val="single" w:sz="4" w:space="0" w:color="auto"/>
              <w:right w:val="nil"/>
            </w:tcBorders>
            <w:shd w:val="clear" w:color="auto" w:fill="auto"/>
            <w:noWrap/>
            <w:vAlign w:val="bottom"/>
            <w:hideMark/>
          </w:tcPr>
          <w:p w14:paraId="15DA8DDD" w14:textId="77777777" w:rsidR="00617589" w:rsidRPr="00AB0114" w:rsidRDefault="00617589" w:rsidP="00D66127">
            <w:pPr>
              <w:spacing w:before="240" w:after="0" w:line="480" w:lineRule="auto"/>
              <w:jc w:val="center"/>
              <w:rPr>
                <w:rFonts w:ascii="Arial" w:eastAsia="Times New Roman" w:hAnsi="Arial" w:cs="Arial"/>
                <w:b/>
                <w:bCs/>
                <w:color w:val="000000"/>
                <w:lang w:eastAsia="en-AU"/>
              </w:rPr>
            </w:pPr>
            <w:r>
              <w:rPr>
                <w:rFonts w:ascii="Arial" w:eastAsia="Times New Roman" w:hAnsi="Arial" w:cs="Arial"/>
                <w:b/>
                <w:bCs/>
                <w:color w:val="000000"/>
                <w:lang w:eastAsia="en-AU"/>
              </w:rPr>
              <w:t>p</w:t>
            </w:r>
          </w:p>
        </w:tc>
      </w:tr>
      <w:tr w:rsidR="00617589" w:rsidRPr="00AB0114" w14:paraId="54C1C2E0" w14:textId="77777777" w:rsidTr="00D66127">
        <w:trPr>
          <w:trHeight w:val="300"/>
        </w:trPr>
        <w:tc>
          <w:tcPr>
            <w:tcW w:w="3710" w:type="dxa"/>
            <w:tcBorders>
              <w:top w:val="single" w:sz="4" w:space="0" w:color="auto"/>
              <w:left w:val="nil"/>
              <w:bottom w:val="nil"/>
              <w:right w:val="nil"/>
            </w:tcBorders>
            <w:shd w:val="clear" w:color="auto" w:fill="auto"/>
            <w:noWrap/>
            <w:vAlign w:val="bottom"/>
            <w:hideMark/>
          </w:tcPr>
          <w:p w14:paraId="019A1D92" w14:textId="77777777" w:rsidR="00617589" w:rsidRPr="00AB0114" w:rsidRDefault="00617589" w:rsidP="00D66127">
            <w:pPr>
              <w:spacing w:before="240" w:after="0" w:line="480" w:lineRule="auto"/>
              <w:rPr>
                <w:rFonts w:ascii="Arial" w:eastAsia="Times New Roman" w:hAnsi="Arial" w:cs="Arial"/>
                <w:color w:val="000000"/>
                <w:lang w:eastAsia="en-AU"/>
              </w:rPr>
            </w:pPr>
            <w:r>
              <w:rPr>
                <w:rFonts w:ascii="Arial" w:eastAsia="Times New Roman" w:hAnsi="Arial" w:cs="Arial"/>
                <w:color w:val="000000"/>
                <w:lang w:eastAsia="en-AU"/>
              </w:rPr>
              <w:t>Intercept</w:t>
            </w:r>
          </w:p>
        </w:tc>
        <w:tc>
          <w:tcPr>
            <w:tcW w:w="1653" w:type="dxa"/>
            <w:tcBorders>
              <w:top w:val="single" w:sz="4" w:space="0" w:color="auto"/>
              <w:left w:val="nil"/>
              <w:bottom w:val="nil"/>
              <w:right w:val="nil"/>
            </w:tcBorders>
            <w:shd w:val="clear" w:color="auto" w:fill="auto"/>
            <w:noWrap/>
            <w:vAlign w:val="bottom"/>
          </w:tcPr>
          <w:p w14:paraId="106D1D5E" w14:textId="29DA082F" w:rsidR="00617589" w:rsidRPr="00AB0114" w:rsidRDefault="00617589" w:rsidP="00D66127">
            <w:pPr>
              <w:spacing w:before="240"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w:t>
            </w:r>
            <w:r w:rsidR="00517161">
              <w:rPr>
                <w:rFonts w:ascii="Arial" w:eastAsia="Times New Roman" w:hAnsi="Arial" w:cs="Arial"/>
                <w:color w:val="000000"/>
                <w:lang w:eastAsia="en-AU"/>
              </w:rPr>
              <w:t>30</w:t>
            </w:r>
            <w:r>
              <w:rPr>
                <w:rFonts w:ascii="Arial" w:eastAsia="Times New Roman" w:hAnsi="Arial" w:cs="Arial"/>
                <w:color w:val="000000"/>
                <w:lang w:eastAsia="en-AU"/>
              </w:rPr>
              <w:t>.</w:t>
            </w:r>
            <w:r w:rsidR="00517161">
              <w:rPr>
                <w:rFonts w:ascii="Arial" w:eastAsia="Times New Roman" w:hAnsi="Arial" w:cs="Arial"/>
                <w:color w:val="000000"/>
                <w:lang w:eastAsia="en-AU"/>
              </w:rPr>
              <w:t>349</w:t>
            </w:r>
          </w:p>
        </w:tc>
        <w:tc>
          <w:tcPr>
            <w:tcW w:w="2292" w:type="dxa"/>
            <w:tcBorders>
              <w:top w:val="single" w:sz="4" w:space="0" w:color="auto"/>
              <w:left w:val="nil"/>
              <w:bottom w:val="nil"/>
              <w:right w:val="nil"/>
            </w:tcBorders>
          </w:tcPr>
          <w:p w14:paraId="450C62E3" w14:textId="2F2DC497" w:rsidR="00617589" w:rsidRDefault="00617589" w:rsidP="00D66127">
            <w:pPr>
              <w:spacing w:before="240" w:after="0" w:line="480" w:lineRule="auto"/>
              <w:rPr>
                <w:rFonts w:ascii="Arial" w:eastAsia="Times New Roman" w:hAnsi="Arial" w:cs="Arial"/>
                <w:color w:val="000000"/>
                <w:lang w:eastAsia="en-AU"/>
              </w:rPr>
            </w:pPr>
            <w:r>
              <w:rPr>
                <w:rFonts w:ascii="Arial" w:eastAsia="Times New Roman" w:hAnsi="Arial" w:cs="Arial"/>
                <w:color w:val="000000"/>
                <w:lang w:eastAsia="en-AU"/>
              </w:rPr>
              <w:t>(-</w:t>
            </w:r>
            <w:r w:rsidR="00517161">
              <w:rPr>
                <w:rFonts w:ascii="Arial" w:eastAsia="Times New Roman" w:hAnsi="Arial" w:cs="Arial"/>
                <w:color w:val="000000"/>
                <w:lang w:eastAsia="en-AU"/>
              </w:rPr>
              <w:t>64</w:t>
            </w:r>
            <w:r>
              <w:rPr>
                <w:rFonts w:ascii="Arial" w:eastAsia="Times New Roman" w:hAnsi="Arial" w:cs="Arial"/>
                <w:color w:val="000000"/>
                <w:lang w:eastAsia="en-AU"/>
              </w:rPr>
              <w:t>.</w:t>
            </w:r>
            <w:r w:rsidR="00A3354B">
              <w:rPr>
                <w:rFonts w:ascii="Arial" w:eastAsia="Times New Roman" w:hAnsi="Arial" w:cs="Arial"/>
                <w:color w:val="000000"/>
                <w:lang w:eastAsia="en-AU"/>
              </w:rPr>
              <w:t>257</w:t>
            </w:r>
            <w:r>
              <w:rPr>
                <w:rFonts w:ascii="Arial" w:eastAsia="Times New Roman" w:hAnsi="Arial" w:cs="Arial"/>
                <w:color w:val="000000"/>
                <w:lang w:eastAsia="en-AU"/>
              </w:rPr>
              <w:t xml:space="preserve"> </w:t>
            </w:r>
            <w:r w:rsidR="00593E10">
              <w:rPr>
                <w:rFonts w:ascii="Arial" w:eastAsia="Times New Roman" w:hAnsi="Arial" w:cs="Arial"/>
                <w:color w:val="000000"/>
                <w:lang w:eastAsia="en-AU"/>
              </w:rPr>
              <w:t>–</w:t>
            </w:r>
            <w:r>
              <w:rPr>
                <w:rFonts w:ascii="Arial" w:eastAsia="Times New Roman" w:hAnsi="Arial" w:cs="Arial"/>
                <w:color w:val="000000"/>
                <w:lang w:eastAsia="en-AU"/>
              </w:rPr>
              <w:t xml:space="preserve"> </w:t>
            </w:r>
            <w:r w:rsidR="00A3354B">
              <w:rPr>
                <w:rFonts w:ascii="Arial" w:eastAsia="Times New Roman" w:hAnsi="Arial" w:cs="Arial"/>
                <w:color w:val="000000"/>
                <w:lang w:eastAsia="en-AU"/>
              </w:rPr>
              <w:t>3</w:t>
            </w:r>
            <w:r w:rsidR="00593E10">
              <w:rPr>
                <w:rFonts w:ascii="Arial" w:eastAsia="Times New Roman" w:hAnsi="Arial" w:cs="Arial"/>
                <w:color w:val="000000"/>
                <w:lang w:eastAsia="en-AU"/>
              </w:rPr>
              <w:t>.</w:t>
            </w:r>
            <w:r w:rsidR="00A3354B">
              <w:rPr>
                <w:rFonts w:ascii="Arial" w:eastAsia="Times New Roman" w:hAnsi="Arial" w:cs="Arial"/>
                <w:color w:val="000000"/>
                <w:lang w:eastAsia="en-AU"/>
              </w:rPr>
              <w:t>559</w:t>
            </w:r>
            <w:r>
              <w:rPr>
                <w:rFonts w:ascii="Arial" w:eastAsia="Times New Roman" w:hAnsi="Arial" w:cs="Arial"/>
                <w:color w:val="000000"/>
                <w:lang w:eastAsia="en-AU"/>
              </w:rPr>
              <w:t>)</w:t>
            </w:r>
          </w:p>
        </w:tc>
        <w:tc>
          <w:tcPr>
            <w:tcW w:w="1104" w:type="dxa"/>
            <w:tcBorders>
              <w:top w:val="single" w:sz="4" w:space="0" w:color="auto"/>
              <w:left w:val="nil"/>
              <w:bottom w:val="nil"/>
              <w:right w:val="nil"/>
            </w:tcBorders>
            <w:shd w:val="clear" w:color="auto" w:fill="auto"/>
            <w:noWrap/>
            <w:vAlign w:val="bottom"/>
          </w:tcPr>
          <w:p w14:paraId="073A653D" w14:textId="122F191B" w:rsidR="00617589" w:rsidRPr="00AB0114" w:rsidRDefault="00593E10" w:rsidP="00D66127">
            <w:pPr>
              <w:spacing w:before="240"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w:t>
            </w:r>
            <w:r w:rsidR="00A3354B">
              <w:rPr>
                <w:rFonts w:ascii="Arial" w:eastAsia="Times New Roman" w:hAnsi="Arial" w:cs="Arial"/>
                <w:color w:val="000000"/>
                <w:lang w:eastAsia="en-AU"/>
              </w:rPr>
              <w:t>754</w:t>
            </w:r>
          </w:p>
        </w:tc>
        <w:tc>
          <w:tcPr>
            <w:tcW w:w="1164" w:type="dxa"/>
            <w:tcBorders>
              <w:top w:val="single" w:sz="4" w:space="0" w:color="auto"/>
              <w:left w:val="nil"/>
              <w:bottom w:val="nil"/>
              <w:right w:val="nil"/>
            </w:tcBorders>
            <w:shd w:val="clear" w:color="auto" w:fill="auto"/>
            <w:noWrap/>
            <w:vAlign w:val="bottom"/>
          </w:tcPr>
          <w:p w14:paraId="664A8AF5" w14:textId="43822A7A" w:rsidR="00617589" w:rsidRPr="00AB0114" w:rsidRDefault="00593E10" w:rsidP="00D66127">
            <w:pPr>
              <w:spacing w:before="240"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0.</w:t>
            </w:r>
            <w:r w:rsidR="00A3354B">
              <w:rPr>
                <w:rFonts w:ascii="Arial" w:eastAsia="Times New Roman" w:hAnsi="Arial" w:cs="Arial"/>
                <w:color w:val="000000"/>
                <w:lang w:eastAsia="en-AU"/>
              </w:rPr>
              <w:t>079</w:t>
            </w:r>
          </w:p>
        </w:tc>
      </w:tr>
      <w:tr w:rsidR="00617589" w:rsidRPr="00AB0114" w14:paraId="714B4BEF" w14:textId="77777777" w:rsidTr="00D66127">
        <w:trPr>
          <w:trHeight w:val="300"/>
        </w:trPr>
        <w:tc>
          <w:tcPr>
            <w:tcW w:w="3710" w:type="dxa"/>
            <w:tcBorders>
              <w:top w:val="nil"/>
              <w:left w:val="nil"/>
              <w:bottom w:val="single" w:sz="4" w:space="0" w:color="auto"/>
              <w:right w:val="nil"/>
            </w:tcBorders>
            <w:shd w:val="clear" w:color="auto" w:fill="auto"/>
            <w:noWrap/>
            <w:vAlign w:val="bottom"/>
            <w:hideMark/>
          </w:tcPr>
          <w:p w14:paraId="571F0EAB" w14:textId="3A0D56D9" w:rsidR="00617589" w:rsidRPr="00AB0114" w:rsidRDefault="00617589" w:rsidP="00617589">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Mean Female Life-expectancy</w:t>
            </w:r>
          </w:p>
        </w:tc>
        <w:tc>
          <w:tcPr>
            <w:tcW w:w="1653" w:type="dxa"/>
            <w:tcBorders>
              <w:top w:val="nil"/>
              <w:left w:val="nil"/>
              <w:bottom w:val="single" w:sz="4" w:space="0" w:color="auto"/>
              <w:right w:val="nil"/>
            </w:tcBorders>
            <w:shd w:val="clear" w:color="auto" w:fill="auto"/>
            <w:noWrap/>
            <w:vAlign w:val="bottom"/>
          </w:tcPr>
          <w:p w14:paraId="5D82A563" w14:textId="2BEA4471" w:rsidR="00617589" w:rsidRPr="00AB0114" w:rsidRDefault="00593E10" w:rsidP="00617589">
            <w:pPr>
              <w:spacing w:after="0" w:line="480" w:lineRule="auto"/>
              <w:jc w:val="right"/>
              <w:rPr>
                <w:rFonts w:ascii="Arial" w:eastAsia="Times New Roman" w:hAnsi="Arial" w:cs="Arial"/>
                <w:color w:val="000000"/>
                <w:lang w:eastAsia="en-AU"/>
              </w:rPr>
            </w:pPr>
            <w:r>
              <w:rPr>
                <w:rFonts w:ascii="Arial" w:eastAsia="Times New Roman" w:hAnsi="Arial" w:cs="Arial"/>
                <w:color w:val="000000"/>
                <w:lang w:eastAsia="en-AU"/>
              </w:rPr>
              <w:t>0.8</w:t>
            </w:r>
            <w:r w:rsidR="00A3354B">
              <w:rPr>
                <w:rFonts w:ascii="Arial" w:eastAsia="Times New Roman" w:hAnsi="Arial" w:cs="Arial"/>
                <w:color w:val="000000"/>
                <w:lang w:eastAsia="en-AU"/>
              </w:rPr>
              <w:t>54</w:t>
            </w:r>
          </w:p>
        </w:tc>
        <w:tc>
          <w:tcPr>
            <w:tcW w:w="2292" w:type="dxa"/>
            <w:tcBorders>
              <w:top w:val="nil"/>
              <w:left w:val="nil"/>
              <w:bottom w:val="single" w:sz="4" w:space="0" w:color="auto"/>
              <w:right w:val="nil"/>
            </w:tcBorders>
          </w:tcPr>
          <w:p w14:paraId="780FBD0C" w14:textId="6EF71DAC" w:rsidR="00617589" w:rsidRDefault="00593E10" w:rsidP="00617589">
            <w:pPr>
              <w:spacing w:after="0" w:line="480" w:lineRule="auto"/>
              <w:rPr>
                <w:rFonts w:ascii="Arial" w:eastAsia="Times New Roman" w:hAnsi="Arial" w:cs="Arial"/>
                <w:color w:val="000000"/>
                <w:lang w:eastAsia="en-AU"/>
              </w:rPr>
            </w:pPr>
            <w:r>
              <w:rPr>
                <w:rFonts w:ascii="Arial" w:eastAsia="Times New Roman" w:hAnsi="Arial" w:cs="Arial"/>
                <w:color w:val="000000"/>
                <w:lang w:eastAsia="en-AU"/>
              </w:rPr>
              <w:t>(0.</w:t>
            </w:r>
            <w:r w:rsidR="00A3354B">
              <w:rPr>
                <w:rFonts w:ascii="Arial" w:eastAsia="Times New Roman" w:hAnsi="Arial" w:cs="Arial"/>
                <w:color w:val="000000"/>
                <w:lang w:eastAsia="en-AU"/>
              </w:rPr>
              <w:t>433</w:t>
            </w:r>
            <w:r>
              <w:rPr>
                <w:rFonts w:ascii="Arial" w:eastAsia="Times New Roman" w:hAnsi="Arial" w:cs="Arial"/>
                <w:color w:val="000000"/>
                <w:lang w:eastAsia="en-AU"/>
              </w:rPr>
              <w:t xml:space="preserve"> </w:t>
            </w:r>
            <w:r w:rsidR="0022561F">
              <w:rPr>
                <w:rFonts w:ascii="Arial" w:eastAsia="Times New Roman" w:hAnsi="Arial" w:cs="Arial"/>
                <w:color w:val="000000"/>
                <w:lang w:eastAsia="en-AU"/>
              </w:rPr>
              <w:t>–</w:t>
            </w:r>
            <w:r>
              <w:rPr>
                <w:rFonts w:ascii="Arial" w:eastAsia="Times New Roman" w:hAnsi="Arial" w:cs="Arial"/>
                <w:color w:val="000000"/>
                <w:lang w:eastAsia="en-AU"/>
              </w:rPr>
              <w:t xml:space="preserve"> </w:t>
            </w:r>
            <w:r w:rsidR="0022561F">
              <w:rPr>
                <w:rFonts w:ascii="Arial" w:eastAsia="Times New Roman" w:hAnsi="Arial" w:cs="Arial"/>
                <w:color w:val="000000"/>
                <w:lang w:eastAsia="en-AU"/>
              </w:rPr>
              <w:t>1.2</w:t>
            </w:r>
            <w:r w:rsidR="00A3354B">
              <w:rPr>
                <w:rFonts w:ascii="Arial" w:eastAsia="Times New Roman" w:hAnsi="Arial" w:cs="Arial"/>
                <w:color w:val="000000"/>
                <w:lang w:eastAsia="en-AU"/>
              </w:rPr>
              <w:t>75</w:t>
            </w:r>
            <w:r w:rsidR="0022561F">
              <w:rPr>
                <w:rFonts w:ascii="Arial" w:eastAsia="Times New Roman" w:hAnsi="Arial" w:cs="Arial"/>
                <w:color w:val="000000"/>
                <w:lang w:eastAsia="en-AU"/>
              </w:rPr>
              <w:t>)</w:t>
            </w:r>
          </w:p>
        </w:tc>
        <w:tc>
          <w:tcPr>
            <w:tcW w:w="1104" w:type="dxa"/>
            <w:tcBorders>
              <w:top w:val="nil"/>
              <w:left w:val="nil"/>
              <w:bottom w:val="single" w:sz="4" w:space="0" w:color="auto"/>
              <w:right w:val="nil"/>
            </w:tcBorders>
            <w:shd w:val="clear" w:color="auto" w:fill="auto"/>
            <w:noWrap/>
            <w:vAlign w:val="bottom"/>
          </w:tcPr>
          <w:p w14:paraId="0ED47FC1" w14:textId="55B51EC4" w:rsidR="00617589" w:rsidRPr="00AB0114" w:rsidRDefault="0022561F" w:rsidP="00617589">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3.</w:t>
            </w:r>
            <w:r w:rsidR="00A3354B">
              <w:rPr>
                <w:rFonts w:ascii="Arial" w:eastAsia="Times New Roman" w:hAnsi="Arial" w:cs="Arial"/>
                <w:color w:val="000000"/>
                <w:lang w:eastAsia="en-AU"/>
              </w:rPr>
              <w:t>979</w:t>
            </w:r>
          </w:p>
        </w:tc>
        <w:tc>
          <w:tcPr>
            <w:tcW w:w="1164" w:type="dxa"/>
            <w:tcBorders>
              <w:top w:val="nil"/>
              <w:left w:val="nil"/>
              <w:bottom w:val="single" w:sz="4" w:space="0" w:color="auto"/>
              <w:right w:val="nil"/>
            </w:tcBorders>
            <w:shd w:val="clear" w:color="auto" w:fill="auto"/>
            <w:noWrap/>
            <w:vAlign w:val="bottom"/>
          </w:tcPr>
          <w:p w14:paraId="0935D57A" w14:textId="2DAC3DA8" w:rsidR="00617589" w:rsidRPr="00AB0114" w:rsidRDefault="0022561F" w:rsidP="00617589">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&lt;0.001</w:t>
            </w:r>
          </w:p>
        </w:tc>
      </w:tr>
    </w:tbl>
    <w:p w14:paraId="389F9672" w14:textId="77777777" w:rsidR="00A46897" w:rsidRDefault="00A46897" w:rsidP="00A46897">
      <w:pPr>
        <w:rPr>
          <w:rFonts w:ascii="Arial" w:hAnsi="Arial" w:cs="Arial"/>
        </w:rPr>
      </w:pPr>
    </w:p>
    <w:p w14:paraId="5D5B63F6" w14:textId="77777777" w:rsidR="00A46897" w:rsidRPr="00AB0114" w:rsidRDefault="00A46897" w:rsidP="00A46897">
      <w:pPr>
        <w:rPr>
          <w:rFonts w:ascii="Arial" w:hAnsi="Arial" w:cs="Arial"/>
        </w:rPr>
      </w:pPr>
      <w:r>
        <w:rPr>
          <w:rFonts w:ascii="Arial" w:eastAsia="Times New Roman" w:hAnsi="Arial" w:cs="Arial"/>
          <w:color w:val="000000"/>
          <w:lang w:eastAsia="en-AU"/>
        </w:rPr>
        <w:t xml:space="preserve">CI = confidence interval </w:t>
      </w:r>
    </w:p>
    <w:p w14:paraId="10055316" w14:textId="77777777" w:rsidR="00F9572D" w:rsidRDefault="00F9572D" w:rsidP="00F9572D">
      <w:pPr>
        <w:spacing w:after="0" w:line="480" w:lineRule="auto"/>
        <w:rPr>
          <w:rFonts w:ascii="Arial" w:hAnsi="Arial" w:cs="Arial"/>
          <w:b/>
          <w:bCs/>
        </w:rPr>
        <w:sectPr w:rsidR="00F9572D" w:rsidSect="003F26DF">
          <w:type w:val="continuous"/>
          <w:pgSz w:w="16838" w:h="11906" w:orient="landscape"/>
          <w:pgMar w:top="1440" w:right="1440" w:bottom="1440" w:left="851" w:header="708" w:footer="708" w:gutter="0"/>
          <w:cols w:space="708"/>
          <w:docGrid w:linePitch="360"/>
        </w:sectPr>
      </w:pPr>
    </w:p>
    <w:p w14:paraId="01803582" w14:textId="49CC0366" w:rsidR="008D1DC2" w:rsidRPr="00CD67EC" w:rsidRDefault="00CD67EC" w:rsidP="008A7603">
      <w:pPr>
        <w:spacing w:after="0" w:line="480" w:lineRule="auto"/>
        <w:rPr>
          <w:rFonts w:ascii="Arial" w:hAnsi="Arial" w:cs="Arial"/>
          <w:b/>
          <w:bCs/>
        </w:rPr>
      </w:pPr>
      <w:r w:rsidRPr="00CD67EC">
        <w:rPr>
          <w:rFonts w:ascii="Arial" w:hAnsi="Arial" w:cs="Arial"/>
          <w:b/>
          <w:bCs/>
        </w:rPr>
        <w:lastRenderedPageBreak/>
        <w:t>References</w:t>
      </w:r>
    </w:p>
    <w:p w14:paraId="06F4576A" w14:textId="77777777" w:rsidR="00EC7ED6" w:rsidRDefault="00EC7ED6" w:rsidP="008A7603">
      <w:pPr>
        <w:spacing w:after="0" w:line="480" w:lineRule="auto"/>
        <w:rPr>
          <w:rFonts w:ascii="Arial" w:hAnsi="Arial" w:cs="Arial"/>
        </w:rPr>
      </w:pPr>
    </w:p>
    <w:p w14:paraId="286C86B7" w14:textId="4EA0A6C9" w:rsidR="001C1BFC" w:rsidRPr="001C1BFC" w:rsidRDefault="001C1BFC" w:rsidP="001C1BFC">
      <w:pPr>
        <w:pStyle w:val="EndNoteBibliography"/>
        <w:spacing w:after="0"/>
        <w:ind w:left="720" w:hanging="720"/>
      </w:pPr>
      <w:r w:rsidRPr="001C1BFC">
        <w:t>1.</w:t>
      </w:r>
      <w:r w:rsidRPr="001C1BFC">
        <w:tab/>
        <w:t xml:space="preserve">Wingerchuk DM, Banwell B, Bennett JL, Cabre P, Carroll W, Chitnis T, de Seze J, Fujihara K, Greenberg B, Jacob A, Jarius S, Lana-Peixoto M, Levy M, Simon JH, Tenembaum S, Traboulsee AL, Waters P, Wellik KE, Weinshenker BG, International Panel for NMOD (2015) International consensus diagnostic criteria for neuromyelitis optica spectrum disorders. Neurology 85(2):177-89. </w:t>
      </w:r>
      <w:r w:rsidRPr="00C50373">
        <w:t>https://doi.org/10.1212/WNL.0000000000001729</w:t>
      </w:r>
    </w:p>
    <w:p w14:paraId="320A232F" w14:textId="1F1B0364" w:rsidR="001C1BFC" w:rsidRPr="001C1BFC" w:rsidRDefault="001C1BFC" w:rsidP="001C1BFC">
      <w:pPr>
        <w:pStyle w:val="EndNoteBibliography"/>
        <w:spacing w:after="0"/>
        <w:ind w:left="720" w:hanging="720"/>
      </w:pPr>
      <w:r w:rsidRPr="001C1BFC">
        <w:t>2.</w:t>
      </w:r>
      <w:r w:rsidRPr="001C1BFC">
        <w:tab/>
        <w:t xml:space="preserve">Hinson SR, Pittock SJ, Lucchinetti CF, Roemer SF, Fryer JP, Kryzer TJ, Lennon VA (2007) Pathogenic potential of IgG binding to water channel extracellular domain in neuromyelitis optica. Neurology 69(24):2221-31. </w:t>
      </w:r>
      <w:r w:rsidRPr="00C50373">
        <w:t>https://doi.org/10.1212/01.WNL.0000289761.64862.ce</w:t>
      </w:r>
    </w:p>
    <w:p w14:paraId="42604896" w14:textId="11149B44" w:rsidR="001C1BFC" w:rsidRPr="001C1BFC" w:rsidRDefault="001C1BFC" w:rsidP="001C1BFC">
      <w:pPr>
        <w:pStyle w:val="EndNoteBibliography"/>
        <w:spacing w:after="0"/>
        <w:ind w:left="720" w:hanging="720"/>
      </w:pPr>
      <w:r w:rsidRPr="001C1BFC">
        <w:t>3.</w:t>
      </w:r>
      <w:r w:rsidRPr="001C1BFC">
        <w:tab/>
        <w:t xml:space="preserve">Santos E, Rocha AL, Oliveira V, Ferro D, Samoes R, Sousa AP, Figueiroa S, Mendonca T, Abreu P, Guimaraes J, Sousa R, Melo C, Correia I, Duraes J, Sousa L, Ferreira J, de Sa J, Sousa F, Sequeira M, Correia AS, Andre AL, Basilio C, Arenga M, Mendes I, Marques IB, Perdigao S, Felgueiras H, Alves I, Correia F, Barroso C, Morganho A, Carmona C, Palavra F, Santos M, Salgado V, Palos A, Nzwalo H, Timoteo A, Guerreiro R, Isidoro L, Boleixa D, Carneiro P, Neves E, Silva AM, Goncalves G, Leite MI, Sa MJ (2021) Neuromyelitis optica spectrum disorders: A nationwide Portuguese clinical epidemiological study. Mult Scler Relat Disord 56:103258. </w:t>
      </w:r>
      <w:r w:rsidRPr="00C50373">
        <w:t>https://doi.org/10.1016/j.msard.2021.103258</w:t>
      </w:r>
    </w:p>
    <w:p w14:paraId="364DC4AD" w14:textId="6408C936" w:rsidR="001C1BFC" w:rsidRPr="001C1BFC" w:rsidRDefault="001C1BFC" w:rsidP="001C1BFC">
      <w:pPr>
        <w:pStyle w:val="EndNoteBibliography"/>
        <w:spacing w:after="0"/>
        <w:ind w:left="720" w:hanging="720"/>
      </w:pPr>
      <w:r w:rsidRPr="001C1BFC">
        <w:t>4.</w:t>
      </w:r>
      <w:r w:rsidRPr="001C1BFC">
        <w:tab/>
        <w:t xml:space="preserve">Watanabe M, Nakamura Y, Sato S, Niino M, Fukaura H, Tanaka M, Ochi H, Kanda T, Takeshita Y, Yokota T, Nishida Y, Matsui M, Nagayama S, Kusunoki S, Miyamoto K, Mizuno M, Kawachi I, Saji E, Ohashi T, Shimohama S, Hisahara S, Nishiyama K, Iizuka T, Nakatsuji Y, Okuno T, Ochi K, Suzumura A, Yamamoto K, Kawano Y, Tsuji S, Hirata M, Sakate R, Kimura T, Shimizu Y, Nagaishi A, Okada K, Hayashi F, Sakoda A, Masaki K, Shinoda K, Isobe N, Matsushita T, Kira JI (2021) HLA genotype-clinical phenotype correlations in multiple sclerosis and neuromyelitis </w:t>
      </w:r>
      <w:r w:rsidRPr="001C1BFC">
        <w:lastRenderedPageBreak/>
        <w:t xml:space="preserve">optica spectrum disorders based on Japan MS/NMOSD Biobank data. Sci Rep 11(1):607. </w:t>
      </w:r>
      <w:r w:rsidRPr="00C50373">
        <w:t>https://doi.org/10.1038/s41598-020-79833-7</w:t>
      </w:r>
    </w:p>
    <w:p w14:paraId="7E81705A" w14:textId="33078736" w:rsidR="001C1BFC" w:rsidRPr="001C1BFC" w:rsidRDefault="001C1BFC" w:rsidP="001C1BFC">
      <w:pPr>
        <w:pStyle w:val="EndNoteBibliography"/>
        <w:spacing w:after="0"/>
        <w:ind w:left="720" w:hanging="720"/>
      </w:pPr>
      <w:r w:rsidRPr="001C1BFC">
        <w:t>5.</w:t>
      </w:r>
      <w:r w:rsidRPr="001C1BFC">
        <w:tab/>
        <w:t xml:space="preserve">Frau J, Coghe G, Lorefice L, Fenu G, Cocco E (2023) The Role of Microorganisms in the Etiopathogenesis of Demyelinating Diseases. Life (Basel) 13(6):1309. </w:t>
      </w:r>
      <w:r w:rsidRPr="00C50373">
        <w:t>https://doi.org/10.3390/life13061309</w:t>
      </w:r>
    </w:p>
    <w:p w14:paraId="377B9296" w14:textId="401BAF2D" w:rsidR="001C1BFC" w:rsidRPr="001C1BFC" w:rsidRDefault="001C1BFC" w:rsidP="001C1BFC">
      <w:pPr>
        <w:pStyle w:val="EndNoteBibliography"/>
        <w:spacing w:after="0"/>
        <w:ind w:left="720" w:hanging="720"/>
      </w:pPr>
      <w:r w:rsidRPr="001C1BFC">
        <w:t>6.</w:t>
      </w:r>
      <w:r w:rsidRPr="001C1BFC">
        <w:tab/>
        <w:t xml:space="preserve">Liu S, Tan B, Zhou J, Xiao L, Li M, Yin J (2024) Vitamin D status and the risk of neuromyelitis optica spectrum disorders: A systematic review and meta-analysis. J Clin Neurosci 119:185-92. </w:t>
      </w:r>
      <w:r w:rsidRPr="00C50373">
        <w:t>https://doi.org/10.1016/j.jocn.2023.12.010</w:t>
      </w:r>
    </w:p>
    <w:p w14:paraId="0F282DD2" w14:textId="3B39C90D" w:rsidR="001C1BFC" w:rsidRPr="001C1BFC" w:rsidRDefault="001C1BFC" w:rsidP="001C1BFC">
      <w:pPr>
        <w:pStyle w:val="EndNoteBibliography"/>
        <w:spacing w:after="0"/>
        <w:ind w:left="720" w:hanging="720"/>
      </w:pPr>
      <w:r w:rsidRPr="001C1BFC">
        <w:t>7.</w:t>
      </w:r>
      <w:r w:rsidRPr="001C1BFC">
        <w:tab/>
        <w:t xml:space="preserve">Davey Smith G (2019) Post-Modern Epidemiology: When Methods Meet Matter. Am J Epidemiol 188(8):1410-9. </w:t>
      </w:r>
      <w:r w:rsidRPr="00C50373">
        <w:t>https://doi.org/10.1093/aje/kwz064</w:t>
      </w:r>
    </w:p>
    <w:p w14:paraId="70D68DD2" w14:textId="57651D2C" w:rsidR="001C1BFC" w:rsidRPr="001C1BFC" w:rsidRDefault="001C1BFC" w:rsidP="001C1BFC">
      <w:pPr>
        <w:pStyle w:val="EndNoteBibliography"/>
        <w:spacing w:after="0"/>
        <w:ind w:left="720" w:hanging="720"/>
      </w:pPr>
      <w:r w:rsidRPr="001C1BFC">
        <w:t>8.</w:t>
      </w:r>
      <w:r w:rsidRPr="001C1BFC">
        <w:tab/>
        <w:t xml:space="preserve">Hor JY, Asgari N, Nakashima I, Broadley SA, Leite MI, Kissani N, Jacob A, Marignier R, Weinshenker BG, Paul F, Pittock SJ, Palace J, Wingerchuk DM, Behne JM, Yeaman MR, Fujihara K (2020) Epidemiology of Neuromyelitis Optica Spectrum Disorder and Its Prevalence and Incidence Worldwide. Front Neurol 11:501. </w:t>
      </w:r>
      <w:r w:rsidRPr="00C50373">
        <w:t>https://doi.org/10.3389/fneur.2020.00501</w:t>
      </w:r>
    </w:p>
    <w:p w14:paraId="0227A4EE" w14:textId="0E202E7F" w:rsidR="001C1BFC" w:rsidRPr="001C1BFC" w:rsidRDefault="001C1BFC" w:rsidP="001C1BFC">
      <w:pPr>
        <w:pStyle w:val="EndNoteBibliography"/>
        <w:spacing w:after="0"/>
        <w:ind w:left="720" w:hanging="720"/>
      </w:pPr>
      <w:r w:rsidRPr="001C1BFC">
        <w:t>9.</w:t>
      </w:r>
      <w:r w:rsidRPr="001C1BFC">
        <w:tab/>
        <w:t xml:space="preserve">Wingerchuk DM (2009) Neuromyelitis optica: effect of gender. J Neurol Sci 286(1-2):18-23. </w:t>
      </w:r>
      <w:r w:rsidRPr="00C50373">
        <w:t>https://doi.org/10.1016/j.jns.2009.08.045</w:t>
      </w:r>
    </w:p>
    <w:p w14:paraId="25D8EB0D" w14:textId="1EBA2AC1" w:rsidR="001C1BFC" w:rsidRPr="001C1BFC" w:rsidRDefault="001C1BFC" w:rsidP="001C1BFC">
      <w:pPr>
        <w:pStyle w:val="EndNoteBibliography"/>
        <w:spacing w:after="0"/>
        <w:ind w:left="720" w:hanging="720"/>
      </w:pPr>
      <w:r w:rsidRPr="001C1BFC">
        <w:t>10.</w:t>
      </w:r>
      <w:r w:rsidRPr="001C1BFC">
        <w:tab/>
        <w:t xml:space="preserve">Pandit L, Asgari N, Apiwattanakul M, Palace J, Paul F, Leite MI, Kleiter I, Chitnis T, Consortium GIC, Biorepository for Neuromyelitis O (2015) Demographic and clinical features of neuromyelitis optica: A review. Mult Scler 21(7):845-53. </w:t>
      </w:r>
      <w:r w:rsidRPr="00C50373">
        <w:t>https://doi.org/10.1177/1352458515572406</w:t>
      </w:r>
    </w:p>
    <w:p w14:paraId="60BCF9AE" w14:textId="52353128" w:rsidR="001C1BFC" w:rsidRPr="001C1BFC" w:rsidRDefault="001C1BFC" w:rsidP="001C1BFC">
      <w:pPr>
        <w:pStyle w:val="EndNoteBibliography"/>
        <w:spacing w:after="0"/>
        <w:ind w:left="720" w:hanging="720"/>
      </w:pPr>
      <w:r w:rsidRPr="001C1BFC">
        <w:t>11.</w:t>
      </w:r>
      <w:r w:rsidRPr="001C1BFC">
        <w:tab/>
        <w:t xml:space="preserve">Chitnis T, Ness J, Krupp L, Waubant E, Hunt T, Olsen CS, Rodriguez M, Lotze T, Gorman M, Benson L, Belman A, Weinstock-Guttman B, Aaen G, Graves J, Patterson M, Rose JW, Casper TC (2016) Clinical features of neuromyelitis optica in children: US Network of Pediatric MS Centers report. Neurology 86(3):245-52. </w:t>
      </w:r>
      <w:r w:rsidRPr="00C50373">
        <w:t>https://doi.org/10.1212/WNL.0000000000002283</w:t>
      </w:r>
    </w:p>
    <w:p w14:paraId="4A5320CD" w14:textId="5A27FB97" w:rsidR="001C1BFC" w:rsidRPr="001C1BFC" w:rsidRDefault="001C1BFC" w:rsidP="001C1BFC">
      <w:pPr>
        <w:pStyle w:val="EndNoteBibliography"/>
        <w:spacing w:after="0"/>
        <w:ind w:left="720" w:hanging="720"/>
      </w:pPr>
      <w:r w:rsidRPr="001C1BFC">
        <w:t>12.</w:t>
      </w:r>
      <w:r w:rsidRPr="001C1BFC">
        <w:tab/>
        <w:t xml:space="preserve">Fragoso YD, Ruocco HH, Dias RM, Cabeca H, Goncalves R, de Carvalho Sousa NA, Spessotto CV, Tauil CB, Alves-Leon SV, Gomes S, Goncalves MVM, Machado SCN, </w:t>
      </w:r>
      <w:r w:rsidRPr="001C1BFC">
        <w:lastRenderedPageBreak/>
        <w:t xml:space="preserve">Anacleto A, Correa EC, Pimentel MLV, Santos GAC (2019) Late Onset of Neuromyelitis Optica Spectrum Disorders. Neurol Ther 8(2):477-82. </w:t>
      </w:r>
      <w:r w:rsidRPr="00C50373">
        <w:t>https://doi.org/10.1007/s40120-019-0143-2</w:t>
      </w:r>
    </w:p>
    <w:p w14:paraId="0D152660" w14:textId="303F1649" w:rsidR="001C1BFC" w:rsidRPr="001C1BFC" w:rsidRDefault="001C1BFC" w:rsidP="001C1BFC">
      <w:pPr>
        <w:pStyle w:val="EndNoteBibliography"/>
        <w:spacing w:after="0"/>
        <w:ind w:left="720" w:hanging="720"/>
      </w:pPr>
      <w:r w:rsidRPr="001C1BFC">
        <w:t>13.</w:t>
      </w:r>
      <w:r w:rsidRPr="001C1BFC">
        <w:tab/>
        <w:t xml:space="preserve">Wingerchuk DM, Hogancamp WF, O'Brien PC, Weinshenker BG (1999) The clinical course of neuromyelitis optica (Devic's syndrome). Neurology 53(5):1107-14. </w:t>
      </w:r>
      <w:r w:rsidRPr="00C50373">
        <w:t>https://doi.org/10.1212/wnl.53.5.1107</w:t>
      </w:r>
    </w:p>
    <w:p w14:paraId="10710890" w14:textId="51867201" w:rsidR="001C1BFC" w:rsidRPr="001C1BFC" w:rsidRDefault="001C1BFC" w:rsidP="001C1BFC">
      <w:pPr>
        <w:pStyle w:val="EndNoteBibliography"/>
        <w:spacing w:after="0"/>
        <w:ind w:left="720" w:hanging="720"/>
      </w:pPr>
      <w:r w:rsidRPr="001C1BFC">
        <w:t>14.</w:t>
      </w:r>
      <w:r w:rsidRPr="001C1BFC">
        <w:tab/>
        <w:t xml:space="preserve">Wingerchuk DM, Lennon VA, Pittock SJ, Lucchinetti CF, Weinshenker BG (2006) Revised diagnostic criteria for neuromyelitis optica. Neurology 66(10):1485-9. </w:t>
      </w:r>
      <w:r w:rsidRPr="00C50373">
        <w:t>https://doi.org/10.1212/01.wnl.0000216139.44259.74</w:t>
      </w:r>
    </w:p>
    <w:p w14:paraId="293B8975" w14:textId="3FD3BCBF" w:rsidR="001C1BFC" w:rsidRPr="001C1BFC" w:rsidRDefault="001C1BFC" w:rsidP="001C1BFC">
      <w:pPr>
        <w:pStyle w:val="EndNoteBibliography"/>
        <w:spacing w:after="0"/>
        <w:ind w:left="720" w:hanging="720"/>
      </w:pPr>
      <w:r w:rsidRPr="001C1BFC">
        <w:t>15.</w:t>
      </w:r>
      <w:r w:rsidRPr="001C1BFC">
        <w:tab/>
        <w:t xml:space="preserve">Wingerchuk DM, Lennon VA, Lucchinetti CF, Pittock SJ, Weinshenker BG (2007) The spectrum of neuromyelitis optica. Lancet Neurol 6(9):805-15. </w:t>
      </w:r>
      <w:r w:rsidRPr="00C50373">
        <w:t>https://doi.org/10.1016/S1474-4422(07)70216-8</w:t>
      </w:r>
    </w:p>
    <w:p w14:paraId="4D1ABDA1" w14:textId="08AC8CEB" w:rsidR="001C1BFC" w:rsidRPr="001C1BFC" w:rsidRDefault="001C1BFC" w:rsidP="001C1BFC">
      <w:pPr>
        <w:pStyle w:val="EndNoteBibliography"/>
        <w:spacing w:after="0"/>
        <w:ind w:left="720" w:hanging="720"/>
      </w:pPr>
      <w:r w:rsidRPr="001C1BFC">
        <w:t>16.</w:t>
      </w:r>
      <w:r w:rsidRPr="001C1BFC">
        <w:tab/>
        <w:t xml:space="preserve">Banwell B, Bennett JL, Marignier R, Kim HJ, Brilot F, Flanagan EP, Ramanathan S, Waters P, Tenembaum S, Graves JS, Chitnis T, Brandt AU, Hemingway C, Neuteboom R, Pandit L, Reindl M, Saiz A, Sato DK, Rostasy K, Paul F, Pittock SJ, Fujihara K, Palace J (2023) Diagnosis of myelin oligodendrocyte glycoprotein antibody-associated disease: International MOGAD Panel proposed criteria. Lancet Neurol 22(3):268-82. </w:t>
      </w:r>
      <w:r w:rsidRPr="00C50373">
        <w:t>https://doi.org/10.1016/S1474-4422(22)00431-8</w:t>
      </w:r>
    </w:p>
    <w:p w14:paraId="6E285E07" w14:textId="6AC10B06" w:rsidR="001C1BFC" w:rsidRPr="001C1BFC" w:rsidRDefault="001C1BFC" w:rsidP="001C1BFC">
      <w:pPr>
        <w:pStyle w:val="EndNoteBibliography"/>
        <w:spacing w:after="0"/>
        <w:ind w:left="720" w:hanging="720"/>
      </w:pPr>
      <w:r w:rsidRPr="001C1BFC">
        <w:t>17.</w:t>
      </w:r>
      <w:r w:rsidRPr="001C1BFC">
        <w:tab/>
        <w:t xml:space="preserve">Boudjani H, Fadda G, Dufort G, Antel J, Giacomini P, Levesque-Roy M, Oskoui M, Duquette P, Prat A, Girard M, Rebillard RM, Meijer I, Pinchefsky E, Nguyen CE, Rossignol E, Rouleau J, Blanchard O, Khairallah N, Beauchemin P, Trudelle AM, Lapointe E, Saveriano A, Larochelle C (2023) Clinical course, imaging, and pathological features of 45 adult and pediatric cases of myelin oligodendrocyte glycoprotein antibody-associated disease. Mult Scler Relat Disord 76:104787. </w:t>
      </w:r>
      <w:r w:rsidRPr="00C50373">
        <w:t>https://doi.org/10.1016/j.msard.2023.104787</w:t>
      </w:r>
    </w:p>
    <w:p w14:paraId="6E2CE8DC" w14:textId="2D3465E1" w:rsidR="001C1BFC" w:rsidRPr="001C1BFC" w:rsidRDefault="001C1BFC" w:rsidP="001C1BFC">
      <w:pPr>
        <w:pStyle w:val="EndNoteBibliography"/>
        <w:spacing w:after="0"/>
        <w:ind w:left="720" w:hanging="720"/>
      </w:pPr>
      <w:r w:rsidRPr="001C1BFC">
        <w:t>18.</w:t>
      </w:r>
      <w:r w:rsidRPr="001C1BFC">
        <w:tab/>
        <w:t xml:space="preserve">Modig K, Rau R, Ahlbom A (2020) Life expectancy: what does it measure? BMJ Open 10(7):e035932. </w:t>
      </w:r>
      <w:r w:rsidRPr="00C50373">
        <w:t>https://doi.org/10.1136/bmjopen-2019-035932</w:t>
      </w:r>
    </w:p>
    <w:p w14:paraId="2489FC86" w14:textId="30746FC9" w:rsidR="001C1BFC" w:rsidRPr="001C1BFC" w:rsidRDefault="001C1BFC" w:rsidP="001C1BFC">
      <w:pPr>
        <w:pStyle w:val="EndNoteBibliography"/>
        <w:spacing w:after="0"/>
        <w:ind w:left="720" w:hanging="720"/>
      </w:pPr>
      <w:r w:rsidRPr="001C1BFC">
        <w:lastRenderedPageBreak/>
        <w:t>19.</w:t>
      </w:r>
      <w:r w:rsidRPr="001C1BFC">
        <w:tab/>
        <w:t xml:space="preserve">World Health Organization (2020) Life expectancy and health life expectancy data by country. Accessed 24 Oct 2023. World Health Organization, Geneva, Switzerland. </w:t>
      </w:r>
      <w:r w:rsidRPr="00C50373">
        <w:t>https://www.who.int/data/gho/data/indicators/indicator-details/GHO/life-expectancy-at-birth-(years</w:t>
      </w:r>
      <w:r w:rsidRPr="001C1BFC">
        <w:t>)</w:t>
      </w:r>
    </w:p>
    <w:p w14:paraId="66070543" w14:textId="7E905ED3" w:rsidR="001C1BFC" w:rsidRPr="001C1BFC" w:rsidRDefault="001C1BFC" w:rsidP="001C1BFC">
      <w:pPr>
        <w:pStyle w:val="EndNoteBibliography"/>
        <w:spacing w:after="0"/>
        <w:ind w:left="720" w:hanging="720"/>
      </w:pPr>
      <w:r w:rsidRPr="001C1BFC">
        <w:t>20.</w:t>
      </w:r>
      <w:r w:rsidRPr="001C1BFC">
        <w:tab/>
        <w:t xml:space="preserve">Munn Z, Moola S, Lisy K, Riitano D, Tufanaru C (2015) Methodological guidance for systematic reviews of observational epidemiological studies reporting prevalence and cumulative incidence data. Int J Evid Based Healthc 13(3):147-53. </w:t>
      </w:r>
      <w:r w:rsidRPr="00C50373">
        <w:t>https://doi.org/10.1097/XEB.0000000000000054</w:t>
      </w:r>
    </w:p>
    <w:p w14:paraId="652709B2" w14:textId="04B73161" w:rsidR="001C1BFC" w:rsidRPr="001C1BFC" w:rsidRDefault="001C1BFC" w:rsidP="001C1BFC">
      <w:pPr>
        <w:pStyle w:val="EndNoteBibliography"/>
        <w:spacing w:after="0"/>
        <w:ind w:left="720" w:hanging="720"/>
      </w:pPr>
      <w:r w:rsidRPr="001C1BFC">
        <w:t>21.</w:t>
      </w:r>
      <w:r w:rsidRPr="001C1BFC">
        <w:tab/>
        <w:t xml:space="preserve">Wan X, Wang W, Liu J, Tong T (2014) Estimating the sample mean and standard deviation from the sample size, median, range and/or interquartile range. BMC Med Res Methodol 14:135. </w:t>
      </w:r>
      <w:r w:rsidRPr="00C50373">
        <w:t>https://doi.org/10.1186/1471-2288-14-135</w:t>
      </w:r>
    </w:p>
    <w:p w14:paraId="61E2B18D" w14:textId="167098CA" w:rsidR="001C1BFC" w:rsidRPr="001C1BFC" w:rsidRDefault="001C1BFC" w:rsidP="001C1BFC">
      <w:pPr>
        <w:pStyle w:val="EndNoteBibliography"/>
        <w:spacing w:after="0"/>
        <w:ind w:left="720" w:hanging="720"/>
      </w:pPr>
      <w:r w:rsidRPr="001C1BFC">
        <w:t>22.</w:t>
      </w:r>
      <w:r w:rsidRPr="001C1BFC">
        <w:tab/>
        <w:t xml:space="preserve">Borenstein M, Hedges LV, Higgins JPT, Rothstein HR (2008) Comprehensive meta-analysis (version 2.2.027). Organ Res Methods 11(1):188-91. </w:t>
      </w:r>
      <w:r w:rsidRPr="00C50373">
        <w:t>https://doi.org/10.1177/1094428106296641</w:t>
      </w:r>
    </w:p>
    <w:p w14:paraId="6847715A" w14:textId="1E9DEE5C" w:rsidR="001C1BFC" w:rsidRPr="001C1BFC" w:rsidRDefault="001C1BFC" w:rsidP="001C1BFC">
      <w:pPr>
        <w:pStyle w:val="EndNoteBibliography"/>
        <w:spacing w:after="0"/>
        <w:ind w:left="720" w:hanging="720"/>
      </w:pPr>
      <w:r w:rsidRPr="001C1BFC">
        <w:t>23.</w:t>
      </w:r>
      <w:r w:rsidRPr="001C1BFC">
        <w:tab/>
        <w:t xml:space="preserve">Möller S, Ahrenfeldt LJ (2021) Estimating relative risk when observing zero events - frequentist inference and Bayesian credibility intervals. Int J Env Res Pub Health 18(11):5527. </w:t>
      </w:r>
      <w:r w:rsidRPr="00C50373">
        <w:t>https://doi.org/10.3390/ijerph18115527</w:t>
      </w:r>
    </w:p>
    <w:p w14:paraId="2CD6AAF2" w14:textId="3C185ADD" w:rsidR="001C1BFC" w:rsidRPr="001C1BFC" w:rsidRDefault="001C1BFC" w:rsidP="001C1BFC">
      <w:pPr>
        <w:pStyle w:val="EndNoteBibliography"/>
        <w:spacing w:after="0"/>
        <w:ind w:left="720" w:hanging="720"/>
      </w:pPr>
      <w:r w:rsidRPr="001C1BFC">
        <w:t>24.</w:t>
      </w:r>
      <w:r w:rsidRPr="001C1BFC">
        <w:tab/>
        <w:t xml:space="preserve">Higgins JP, Thompson SG, Deeks JJ, Altman DG (2003) Measuring inconsistency in meta-analyses. British Medical Journal 327(7414):557-60. </w:t>
      </w:r>
      <w:r w:rsidRPr="00C50373">
        <w:t>https://doi.org/10.1136/bmj.327.7414.557</w:t>
      </w:r>
    </w:p>
    <w:p w14:paraId="4851EF58" w14:textId="2DDBA2AD" w:rsidR="001C1BFC" w:rsidRPr="001C1BFC" w:rsidRDefault="001C1BFC" w:rsidP="001C1BFC">
      <w:pPr>
        <w:pStyle w:val="EndNoteBibliography"/>
        <w:spacing w:after="0"/>
        <w:ind w:left="720" w:hanging="720"/>
      </w:pPr>
      <w:r w:rsidRPr="001C1BFC">
        <w:t>25.</w:t>
      </w:r>
      <w:r w:rsidRPr="001C1BFC">
        <w:tab/>
        <w:t xml:space="preserve">Egger M, Davey Smith G, Schneider M, Minder C (1997) Bias in meta-analysis detected by a simple, graphical test. British Medical Journal 315(7109):629-34. </w:t>
      </w:r>
      <w:r w:rsidRPr="00C50373">
        <w:t>https://doi.org/10.1136/bmj.315.7109.629</w:t>
      </w:r>
    </w:p>
    <w:p w14:paraId="286AC56D" w14:textId="77777777" w:rsidR="001C1BFC" w:rsidRPr="001C1BFC" w:rsidRDefault="001C1BFC" w:rsidP="001C1BFC">
      <w:pPr>
        <w:pStyle w:val="EndNoteBibliography"/>
        <w:spacing w:after="0"/>
        <w:ind w:left="720" w:hanging="720"/>
      </w:pPr>
      <w:r w:rsidRPr="001C1BFC">
        <w:t>26.</w:t>
      </w:r>
      <w:r w:rsidRPr="001C1BFC">
        <w:tab/>
        <w:t>Naing NN (2000) Easy way to learn standardization : direct and indirect methods. Malays J Med Sci 7(1):10-5. PMC3406211</w:t>
      </w:r>
    </w:p>
    <w:p w14:paraId="650BEAEB" w14:textId="157DAA27" w:rsidR="001C1BFC" w:rsidRPr="001C1BFC" w:rsidRDefault="001C1BFC" w:rsidP="001C1BFC">
      <w:pPr>
        <w:pStyle w:val="EndNoteBibliography"/>
        <w:spacing w:after="0"/>
        <w:ind w:left="720" w:hanging="720"/>
      </w:pPr>
      <w:r w:rsidRPr="001C1BFC">
        <w:t>27.</w:t>
      </w:r>
      <w:r w:rsidRPr="001C1BFC">
        <w:tab/>
        <w:t xml:space="preserve">United Nations (2022) World Population Prospects: The 2022 Revision. Accessed 24 Oct 2023. United Nations, Department of Economic and Social Affairs, Population Division, New York, NY, USA. </w:t>
      </w:r>
      <w:r w:rsidRPr="00C50373">
        <w:t>https://www.populationpyramid.net/</w:t>
      </w:r>
    </w:p>
    <w:p w14:paraId="7046D9AB" w14:textId="6FF95DAA" w:rsidR="001C1BFC" w:rsidRPr="001C1BFC" w:rsidRDefault="001C1BFC" w:rsidP="001C1BFC">
      <w:pPr>
        <w:pStyle w:val="EndNoteBibliography"/>
        <w:spacing w:after="0"/>
        <w:ind w:left="720" w:hanging="720"/>
      </w:pPr>
      <w:r w:rsidRPr="001C1BFC">
        <w:lastRenderedPageBreak/>
        <w:t>28.</w:t>
      </w:r>
      <w:r w:rsidRPr="001C1BFC">
        <w:tab/>
        <w:t xml:space="preserve">Aboul-Enein F, Seifert-Held T, Mader S, Kuenz B, Lutterotti A, Rauschka H, Rommer P, Leutmezer F, Vass K, Flamm-Horak A, Stepansky R, Lang W, Fertl E, Schlager T, Heller T, Eggers C, Safoschnik G, Fuchs S, Kraus J, Assar H, Guggenberger S, Reisz M, Schnabl P, Komposch M, Simschitz P, Skrobal A, Moser A, Jeschow M, Stadlbauer D, Freimuller M, Guger M, Schmidegg S, Franta C, Weiser V, Koppi S, Niederkorn-Duft M, Raber B, Schmeissner I, Jecel J, Tinchon A, Storch MK, Reindl M, Berger T, Kristoferitsch W (2013) Neuromyelitis optica in Austria in 2011: to bridge the gap between neuroepidemiological research and practice in a study population of 8.4 million people. PLoS One 8(11):e79649. </w:t>
      </w:r>
      <w:r w:rsidRPr="00C50373">
        <w:t>https://doi.org/10.1371/journal.pone.0079649</w:t>
      </w:r>
    </w:p>
    <w:p w14:paraId="54B2EF82" w14:textId="4EAA0ED7" w:rsidR="001C1BFC" w:rsidRPr="001C1BFC" w:rsidRDefault="001C1BFC" w:rsidP="001C1BFC">
      <w:pPr>
        <w:pStyle w:val="EndNoteBibliography"/>
        <w:spacing w:after="0"/>
        <w:ind w:left="720" w:hanging="720"/>
      </w:pPr>
      <w:r w:rsidRPr="001C1BFC">
        <w:t>29.</w:t>
      </w:r>
      <w:r w:rsidRPr="001C1BFC">
        <w:tab/>
        <w:t xml:space="preserve">Adoni T, Lino AM, da Gama PD, Apostolos-Pereira SL, Marchiori PE, Kok F, Callegaro D (2010) Recurrent neuromyelitis optica in Brazilian patients: clinical, immunological, and neuroimaging characteristics. Mult Scler 16(1):81-6. </w:t>
      </w:r>
      <w:r w:rsidRPr="00C50373">
        <w:t>https://doi.org/10.1177/1352458509353651</w:t>
      </w:r>
    </w:p>
    <w:p w14:paraId="72F791A5" w14:textId="2215FB0A" w:rsidR="001C1BFC" w:rsidRPr="001C1BFC" w:rsidRDefault="001C1BFC" w:rsidP="001C1BFC">
      <w:pPr>
        <w:pStyle w:val="EndNoteBibliography"/>
        <w:spacing w:after="0"/>
        <w:ind w:left="720" w:hanging="720"/>
      </w:pPr>
      <w:r w:rsidRPr="001C1BFC">
        <w:t>30.</w:t>
      </w:r>
      <w:r w:rsidRPr="001C1BFC">
        <w:tab/>
        <w:t xml:space="preserve">Altintas A, Karabudak R, Balci BP, Terzi M, Soysal A, Saip S, Tuncer Kurne A, Uygunoglu U, Nalbantoglu M, Gozubatik Celik G, Isik N, Celik Y, Gokcay F, Duman T, Boz C, Yucesan C, Mangan MS, Celebisoy N, Diker S, Colpak Isikay I, Kansu T, Siva A (2015) Neuromyelitis Optica and Neuromyelitis Optica Spectrum Disorder Patients in Turkish Cohort: Demographic, Clinical, and Laboratory Features. Neurologist 20(4):61-6. </w:t>
      </w:r>
      <w:r w:rsidRPr="00C50373">
        <w:t>https://doi.org/10.1097/NRL.0000000000000057</w:t>
      </w:r>
    </w:p>
    <w:p w14:paraId="6C733E81" w14:textId="3D079D8B" w:rsidR="001C1BFC" w:rsidRPr="001C1BFC" w:rsidRDefault="001C1BFC" w:rsidP="001C1BFC">
      <w:pPr>
        <w:pStyle w:val="EndNoteBibliography"/>
        <w:spacing w:after="0"/>
        <w:ind w:left="720" w:hanging="720"/>
      </w:pPr>
      <w:r w:rsidRPr="001C1BFC">
        <w:t>31.</w:t>
      </w:r>
      <w:r w:rsidRPr="001C1BFC">
        <w:tab/>
        <w:t xml:space="preserve">Alves CS, Santos FBC, Diniz DS (2022) Correlation between Amerindian ancestry and neuromyelitis optica spectrum disorders (NMSOD) among patients in Midwestern Brazil. Arq Neuropsiquiatr 80(5):497-504. </w:t>
      </w:r>
      <w:r w:rsidRPr="00C50373">
        <w:t>https://doi.org/10.1590/0004-282X-ANP-2020-0527</w:t>
      </w:r>
    </w:p>
    <w:p w14:paraId="3C2195CA" w14:textId="0BB3A5B2" w:rsidR="001C1BFC" w:rsidRPr="001C1BFC" w:rsidRDefault="001C1BFC" w:rsidP="001C1BFC">
      <w:pPr>
        <w:pStyle w:val="EndNoteBibliography"/>
        <w:spacing w:after="0"/>
        <w:ind w:left="720" w:hanging="720"/>
      </w:pPr>
      <w:r w:rsidRPr="001C1BFC">
        <w:t>32.</w:t>
      </w:r>
      <w:r w:rsidRPr="001C1BFC">
        <w:tab/>
        <w:t xml:space="preserve">Asgari N, Lillevang ST, Skejoe HP, Falah M, Stenager E, Kyvik KO (2011) A population-based study of neuromyelitis optica in Caucasians. Neurology 76(18):1589-95. </w:t>
      </w:r>
      <w:r w:rsidRPr="00C50373">
        <w:t>https://doi.org/10.1212/WNL.0b013e3182190f74</w:t>
      </w:r>
    </w:p>
    <w:p w14:paraId="0B8E7641" w14:textId="43B7789E" w:rsidR="001C1BFC" w:rsidRPr="001C1BFC" w:rsidRDefault="001C1BFC" w:rsidP="001C1BFC">
      <w:pPr>
        <w:pStyle w:val="EndNoteBibliography"/>
        <w:spacing w:after="0"/>
        <w:ind w:left="720" w:hanging="720"/>
      </w:pPr>
      <w:r w:rsidRPr="001C1BFC">
        <w:lastRenderedPageBreak/>
        <w:t>33.</w:t>
      </w:r>
      <w:r w:rsidRPr="001C1BFC">
        <w:tab/>
        <w:t xml:space="preserve">Barhate KS, Ganeshan M, Singhal BS (2014) A clinical and radiological profile of neuromyelitis optica and spectrum disorders in an Indian cohort. Ann Indian Acad Neurol 17(1):77-81. </w:t>
      </w:r>
      <w:r w:rsidRPr="00C50373">
        <w:t>https://doi.org/10.4103/0972-2327.128559</w:t>
      </w:r>
    </w:p>
    <w:p w14:paraId="25290189" w14:textId="0A51764A" w:rsidR="001C1BFC" w:rsidRPr="001C1BFC" w:rsidRDefault="001C1BFC" w:rsidP="001C1BFC">
      <w:pPr>
        <w:pStyle w:val="EndNoteBibliography"/>
        <w:spacing w:after="0"/>
        <w:ind w:left="720" w:hanging="720"/>
      </w:pPr>
      <w:r w:rsidRPr="001C1BFC">
        <w:t>34.</w:t>
      </w:r>
      <w:r w:rsidRPr="001C1BFC">
        <w:tab/>
        <w:t xml:space="preserve">Bennis A, El Otmani H, Benkirane N, Harrizi I, El Moutawakil B, Rafai MA, Slassi I (2019) Clinical course of neuromyelitis optica spectrum disorder in a moroccan cohort. Mult Scler Relat Disord 30:141-8. </w:t>
      </w:r>
      <w:r w:rsidRPr="00C50373">
        <w:t>https://doi.org/10.1016/j.msard.2019.02.012</w:t>
      </w:r>
    </w:p>
    <w:p w14:paraId="37FA46B4" w14:textId="45A787A1" w:rsidR="001C1BFC" w:rsidRPr="001C1BFC" w:rsidRDefault="001C1BFC" w:rsidP="001C1BFC">
      <w:pPr>
        <w:pStyle w:val="EndNoteBibliography"/>
        <w:spacing w:after="0"/>
        <w:ind w:left="720" w:hanging="720"/>
      </w:pPr>
      <w:r w:rsidRPr="001C1BFC">
        <w:t>35.</w:t>
      </w:r>
      <w:r w:rsidRPr="001C1BFC">
        <w:tab/>
        <w:t xml:space="preserve">Bichuetti DB, Oliveira EM, Souza NA, Rivero RL, Gabbai AA (2009) Neuromyelitis optica in Brazil: a study on clinical and prognostic factors. Mult Scler 15(5):613-9. </w:t>
      </w:r>
      <w:r w:rsidRPr="00C50373">
        <w:t>https://doi.org/10.1177/1352458508101935</w:t>
      </w:r>
    </w:p>
    <w:p w14:paraId="74D3D0EF" w14:textId="2D43C2E5" w:rsidR="001C1BFC" w:rsidRPr="001C1BFC" w:rsidRDefault="001C1BFC" w:rsidP="001C1BFC">
      <w:pPr>
        <w:pStyle w:val="EndNoteBibliography"/>
        <w:spacing w:after="0"/>
        <w:ind w:left="720" w:hanging="720"/>
      </w:pPr>
      <w:r w:rsidRPr="001C1BFC">
        <w:t>36.</w:t>
      </w:r>
      <w:r w:rsidRPr="001C1BFC">
        <w:tab/>
        <w:t xml:space="preserve">Bizzoco E, Lolli F, Repice AM, Hakiki B, Falcini M, Barilaro A, Taiuti R, Siracusa G, Amato MP, Biagioli T, Lori S, Moretti M, Vinattieri A, Nencini P, Massacesi L, Mata S (2009) Prevalence of neuromyelitis optica spectrum disorder and phenotype distribution. J Neurol 256(11):1891-8. </w:t>
      </w:r>
      <w:r w:rsidRPr="00C50373">
        <w:t>https://doi.org/10.1007/s00415-009-5171-x</w:t>
      </w:r>
    </w:p>
    <w:p w14:paraId="422FB9CC" w14:textId="1EA6F137" w:rsidR="001C1BFC" w:rsidRPr="001C1BFC" w:rsidRDefault="001C1BFC" w:rsidP="001C1BFC">
      <w:pPr>
        <w:pStyle w:val="EndNoteBibliography"/>
        <w:spacing w:after="0"/>
        <w:ind w:left="720" w:hanging="720"/>
      </w:pPr>
      <w:r w:rsidRPr="001C1BFC">
        <w:t>37.</w:t>
      </w:r>
      <w:r w:rsidRPr="001C1BFC">
        <w:tab/>
        <w:t xml:space="preserve">Bukhari W, Prain KM, Waters P, Woodhall M, O'Gorman CM, Clarke L, Silvestrini RA, Bundell CS, Abernethy D, Bhuta S, Blum S, Boggild M, Boundy K, Brew BJ, Brown M, Brownlee WJ, Butzkueven H, Carroll WM, Chen C, Coulthard A, Dale RC, Das C, Dear K, Fabis-Pedrini MJ, Fulcher D, Gillis D, Hawke S, Heard R, Henderson APD, Heshmat S, Hodgkinson S, Jimenez-Sanchez S, Killpatrick T, King J, Kneebone C, Kornberg AJ, Lechner-Scott J, Lin MW, Lynch C, Macdonell R, Mason DF, McCombe PA, Pender MP, Pereira JA, Pollard JD, Reddel SW, Shaw C, Spies J, Stankovich J, Sutton I, Vucic S, Walsh M, Wong RC, Yiu EM, Barnett MH, Kermode AG, Marriott MP, Parratt JDE, Slee M, Taylor BV, Willoughby E, Wilson RJ, Vincent A, Broadley SA (2017) Incidence and prevalence of NMOSD in Australia and New Zealand. J Neurol Neurosurg Psychiatry 88(8):632-8. </w:t>
      </w:r>
      <w:r w:rsidRPr="00C50373">
        <w:t>https://doi.org/10.1136/jnnp-2016-314839</w:t>
      </w:r>
    </w:p>
    <w:p w14:paraId="79779BEF" w14:textId="2EC8C08A" w:rsidR="001C1BFC" w:rsidRPr="001C1BFC" w:rsidRDefault="001C1BFC" w:rsidP="001C1BFC">
      <w:pPr>
        <w:pStyle w:val="EndNoteBibliography"/>
        <w:spacing w:after="0"/>
        <w:ind w:left="720" w:hanging="720"/>
      </w:pPr>
      <w:r w:rsidRPr="001C1BFC">
        <w:t>38.</w:t>
      </w:r>
      <w:r w:rsidRPr="001C1BFC">
        <w:tab/>
        <w:t xml:space="preserve">Cabre P, Heinzlef O, Merle H, Buisson GG, Bera O, Bellance R, Vernant JC, Smadja D (2001) MS and neuromyelitis optica in Martinique (French West Indies). Neurology 56(4):507-14. </w:t>
      </w:r>
      <w:r w:rsidRPr="00C50373">
        <w:t>https://doi.org/10.1212/wnl.56.4.507</w:t>
      </w:r>
    </w:p>
    <w:p w14:paraId="0D41319F" w14:textId="40189E15" w:rsidR="001C1BFC" w:rsidRPr="001C1BFC" w:rsidRDefault="001C1BFC" w:rsidP="001C1BFC">
      <w:pPr>
        <w:pStyle w:val="EndNoteBibliography"/>
        <w:spacing w:after="0"/>
        <w:ind w:left="720" w:hanging="720"/>
      </w:pPr>
      <w:r w:rsidRPr="001C1BFC">
        <w:lastRenderedPageBreak/>
        <w:t>39.</w:t>
      </w:r>
      <w:r w:rsidRPr="001C1BFC">
        <w:tab/>
        <w:t xml:space="preserve">Cabrera-Gomez JA, Kurtzke JF, Gonzalez-Quevedo A, Lara-Rodriguez R (2009) An epidemiological study of neuromyelitis optica in Cuba. J Neurol 256(1):35-44. </w:t>
      </w:r>
      <w:r w:rsidRPr="00C50373">
        <w:t>https://doi.org/10.1007/s00415-009-0009-0</w:t>
      </w:r>
    </w:p>
    <w:p w14:paraId="625C71AA" w14:textId="71A4353E" w:rsidR="001C1BFC" w:rsidRPr="001C1BFC" w:rsidRDefault="001C1BFC" w:rsidP="001C1BFC">
      <w:pPr>
        <w:pStyle w:val="EndNoteBibliography"/>
        <w:spacing w:after="0"/>
        <w:ind w:left="720" w:hanging="720"/>
      </w:pPr>
      <w:r w:rsidRPr="001C1BFC">
        <w:t>40.</w:t>
      </w:r>
      <w:r w:rsidRPr="001C1BFC">
        <w:tab/>
        <w:t xml:space="preserve">Ceccarelli A, Mifsud VA, Dogar A, Hussain SI (2020) Seropositive neuromyelitis optica spectrum disorder in Emirati patients: A case series. J Clin Neurosci 72:185-90. </w:t>
      </w:r>
      <w:r w:rsidRPr="00C50373">
        <w:t>https://doi.org/10.1016/j.jocn.2019.11.045</w:t>
      </w:r>
    </w:p>
    <w:p w14:paraId="67B49665" w14:textId="19AEAF13" w:rsidR="001C1BFC" w:rsidRPr="001C1BFC" w:rsidRDefault="001C1BFC" w:rsidP="001C1BFC">
      <w:pPr>
        <w:pStyle w:val="EndNoteBibliography"/>
        <w:spacing w:after="0"/>
        <w:ind w:left="720" w:hanging="720"/>
      </w:pPr>
      <w:r w:rsidRPr="001C1BFC">
        <w:t>41.</w:t>
      </w:r>
      <w:r w:rsidRPr="001C1BFC">
        <w:tab/>
        <w:t xml:space="preserve">Chan KH, Lee R, Lee JC, Tse AC, Pang SY, Lau GK, Teo KC, Ho PW (2013) Central nervous system inflammatory demyelinating disorders among Hong Kong Chinese. J Neuroimmunol 262(1-2):100-5. </w:t>
      </w:r>
      <w:r w:rsidRPr="00C50373">
        <w:t>https://doi.org/10.1016/j.jneuroim.2013.06.004</w:t>
      </w:r>
    </w:p>
    <w:p w14:paraId="4563FC08" w14:textId="2708EE2B" w:rsidR="001C1BFC" w:rsidRPr="001C1BFC" w:rsidRDefault="001C1BFC" w:rsidP="001C1BFC">
      <w:pPr>
        <w:pStyle w:val="EndNoteBibliography"/>
        <w:spacing w:after="0"/>
        <w:ind w:left="720" w:hanging="720"/>
      </w:pPr>
      <w:r w:rsidRPr="001C1BFC">
        <w:t>42.</w:t>
      </w:r>
      <w:r w:rsidRPr="001C1BFC">
        <w:tab/>
        <w:t xml:space="preserve">Collongues N, Marignier R, Zephir H, Papeix C, Blanc F, Ritleng C, Tchikviladze M, Outteryck O, Vukusic S, Fleury M, Fontaine B, Brassat D, Clanet M, Milh M, Pelletier J, Audoin B, Ruet A, Lebrun-Frenay C, Thouvenot E, Camu W, Debouverie M, Creange A, Moreau T, Labauge P, Castelnovo G, Edan G, Le Page E, Defer G, Barroso B, Heinzlef O, Gout O, Rodriguez D, Wiertlewski S, Laplaud D, Borgel F, Tourniaire P, Grimaud J, Brochet B, Vermersch P, Confavreux C, de Seze J (2010) Neuromyelitis optica in France: a multicenter study of 125 patients. Neurology 74(9):736-42. </w:t>
      </w:r>
      <w:r w:rsidRPr="00C50373">
        <w:t>https://doi.org/10.1212/WNL.0b013e3181d31e35</w:t>
      </w:r>
    </w:p>
    <w:p w14:paraId="52F8EC69" w14:textId="7E3D3235" w:rsidR="001C1BFC" w:rsidRPr="001C1BFC" w:rsidRDefault="001C1BFC" w:rsidP="001C1BFC">
      <w:pPr>
        <w:pStyle w:val="EndNoteBibliography"/>
        <w:spacing w:after="0"/>
        <w:ind w:left="720" w:hanging="720"/>
      </w:pPr>
      <w:r w:rsidRPr="001C1BFC">
        <w:t>43.</w:t>
      </w:r>
      <w:r w:rsidRPr="001C1BFC">
        <w:tab/>
        <w:t xml:space="preserve">Cossburn M, Tackley G, Baker K, Ingram G, Burtonwood M, Malik G, Pickersgill T, te Water Naude J, Robertson N (2012) The prevalence of neuromyelitis optica in South East Wales. Eur J Neurol 19(4):655-9. </w:t>
      </w:r>
      <w:r w:rsidRPr="00C50373">
        <w:t>https://doi.org/10.1111/j.1468-1331.2011.03529.x</w:t>
      </w:r>
    </w:p>
    <w:p w14:paraId="35AD1C33" w14:textId="5C1D14AF" w:rsidR="001C1BFC" w:rsidRPr="001C1BFC" w:rsidRDefault="001C1BFC" w:rsidP="001C1BFC">
      <w:pPr>
        <w:pStyle w:val="EndNoteBibliography"/>
        <w:spacing w:after="0"/>
        <w:ind w:left="720" w:hanging="720"/>
      </w:pPr>
      <w:r w:rsidRPr="001C1BFC">
        <w:t>44.</w:t>
      </w:r>
      <w:r w:rsidRPr="001C1BFC">
        <w:tab/>
        <w:t xml:space="preserve">Daoudi S, Bouzar M (2016) Neuromyelitis optica spectrum disorders in Algeria: A preliminary study in the region of Tizi Ouzou. Mult Scler Relat Disord 6:37-40. </w:t>
      </w:r>
      <w:r w:rsidRPr="00C50373">
        <w:t>https://doi.org/10.1016/j.msard.2015.12.005</w:t>
      </w:r>
    </w:p>
    <w:p w14:paraId="42FCF7EB" w14:textId="24E372E3" w:rsidR="001C1BFC" w:rsidRPr="001C1BFC" w:rsidRDefault="001C1BFC" w:rsidP="001C1BFC">
      <w:pPr>
        <w:pStyle w:val="EndNoteBibliography"/>
        <w:spacing w:after="0"/>
        <w:ind w:left="720" w:hanging="720"/>
      </w:pPr>
      <w:r w:rsidRPr="001C1BFC">
        <w:t>45.</w:t>
      </w:r>
      <w:r w:rsidRPr="001C1BFC">
        <w:tab/>
        <w:t xml:space="preserve">Del Negro MC, Marinho PB, Papais-Alvarenga RM (2017) Neuromyelitis optica: phenotypic characteristics in a Brazilian case series. Arq Neuropsiquiatr 75(2):81-6. </w:t>
      </w:r>
      <w:r w:rsidRPr="00C50373">
        <w:t>https://doi.org/10.1590/0004-282X20160193</w:t>
      </w:r>
    </w:p>
    <w:p w14:paraId="353E428C" w14:textId="1F55C798" w:rsidR="001C1BFC" w:rsidRPr="001C1BFC" w:rsidRDefault="001C1BFC" w:rsidP="001C1BFC">
      <w:pPr>
        <w:pStyle w:val="EndNoteBibliography"/>
        <w:spacing w:after="0"/>
        <w:ind w:left="720" w:hanging="720"/>
      </w:pPr>
      <w:r w:rsidRPr="001C1BFC">
        <w:lastRenderedPageBreak/>
        <w:t>46.</w:t>
      </w:r>
      <w:r w:rsidRPr="001C1BFC">
        <w:tab/>
        <w:t xml:space="preserve">Drulovic J, Martinovic V, Basuroski ID, Mesaros S, Mader S, Weinshenker B, Pekmezovic T (2019) Long-term outcome and prognosis in patients with neuromyelitis optica spectrum disorder from Serbia. Mult Scler Relat Disord 36:101413. </w:t>
      </w:r>
      <w:r w:rsidRPr="00C50373">
        <w:t>https://doi.org/10.1016/j.msard.2019.101413</w:t>
      </w:r>
    </w:p>
    <w:p w14:paraId="585DA734" w14:textId="519FACB1" w:rsidR="001C1BFC" w:rsidRPr="001C1BFC" w:rsidRDefault="001C1BFC" w:rsidP="001C1BFC">
      <w:pPr>
        <w:pStyle w:val="EndNoteBibliography"/>
        <w:spacing w:after="0"/>
        <w:ind w:left="720" w:hanging="720"/>
      </w:pPr>
      <w:r w:rsidRPr="001C1BFC">
        <w:t>47.</w:t>
      </w:r>
      <w:r w:rsidRPr="001C1BFC">
        <w:tab/>
        <w:t xml:space="preserve">Eskandarieh S, Nedjat S, Azimi AR, Moghadasi AN, Sahraian MA (2017) Neuromyelitis optica spectrum disorders in Iran. Mult Scler Relat Disord 18:209-12. </w:t>
      </w:r>
      <w:r w:rsidRPr="00C50373">
        <w:t>https://doi.org/10.1016/j.msard.2017.10.007</w:t>
      </w:r>
    </w:p>
    <w:p w14:paraId="2161BCA5" w14:textId="3C81675D" w:rsidR="001C1BFC" w:rsidRPr="001C1BFC" w:rsidRDefault="001C1BFC" w:rsidP="001C1BFC">
      <w:pPr>
        <w:pStyle w:val="EndNoteBibliography"/>
        <w:spacing w:after="0"/>
        <w:ind w:left="720" w:hanging="720"/>
      </w:pPr>
      <w:r w:rsidRPr="001C1BFC">
        <w:t>48.</w:t>
      </w:r>
      <w:r w:rsidRPr="001C1BFC">
        <w:tab/>
        <w:t xml:space="preserve">Espiritu AI, Mesina BVQ, Puerto AAD, Reyes NGD, Damian LF, Pascual VJ (2019) Neuromyelitis optica spectrum disorder in a tertiary hospital in the Philippines: a case series. Mult Scler Relat Disord 31:124-30. </w:t>
      </w:r>
      <w:r w:rsidRPr="00C50373">
        <w:t>https://doi.org/10.1016/j.msard.2019.04.006</w:t>
      </w:r>
    </w:p>
    <w:p w14:paraId="24B1DE88" w14:textId="4A6C6AC1" w:rsidR="001C1BFC" w:rsidRPr="001C1BFC" w:rsidRDefault="001C1BFC" w:rsidP="001C1BFC">
      <w:pPr>
        <w:pStyle w:val="EndNoteBibliography"/>
        <w:spacing w:after="0"/>
        <w:ind w:left="720" w:hanging="720"/>
      </w:pPr>
      <w:r w:rsidRPr="001C1BFC">
        <w:t>49.</w:t>
      </w:r>
      <w:r w:rsidRPr="001C1BFC">
        <w:tab/>
        <w:t xml:space="preserve">Etemadifar M, Sabeti F, Ebrahimian S, Momeni F (2020) Dorsal midbrain involvement in MRI as a core clinical manifestation for NMOSD diagnosis. Mult Scler Relat Disord 43:102150. </w:t>
      </w:r>
      <w:r w:rsidRPr="00C50373">
        <w:t>https://doi.org/10.1016/j.msard.2020.102150</w:t>
      </w:r>
    </w:p>
    <w:p w14:paraId="5185B97E" w14:textId="32575D2F" w:rsidR="001C1BFC" w:rsidRPr="001C1BFC" w:rsidRDefault="001C1BFC" w:rsidP="001C1BFC">
      <w:pPr>
        <w:pStyle w:val="EndNoteBibliography"/>
        <w:spacing w:after="0"/>
        <w:ind w:left="720" w:hanging="720"/>
      </w:pPr>
      <w:r w:rsidRPr="001C1BFC">
        <w:t>50.</w:t>
      </w:r>
      <w:r w:rsidRPr="001C1BFC">
        <w:tab/>
        <w:t xml:space="preserve">Flanagan EP, Cabre P, Weinshenker BG, St Sauver J, Jacobson DJ, Majed M, Lennon VA, Lucchinetti CF, McKeon A, Matiello M, Kale N, Wingerchuk DM, Mandrekar J, Sagen JA, Fryer JP, Borders Robinson A, Pittock SJ (2016) Epidemiology of aquaporin-4 autoimmunity and neuromyelitis optica spectrum. Ann Neurol 79(5):775-83. </w:t>
      </w:r>
      <w:r w:rsidRPr="00C50373">
        <w:t>https://doi.org/10.1002/ana.24617</w:t>
      </w:r>
    </w:p>
    <w:p w14:paraId="29C4A7A5" w14:textId="61393E59" w:rsidR="001C1BFC" w:rsidRPr="001C1BFC" w:rsidRDefault="001C1BFC" w:rsidP="001C1BFC">
      <w:pPr>
        <w:pStyle w:val="EndNoteBibliography"/>
        <w:spacing w:after="0"/>
        <w:ind w:left="720" w:hanging="720"/>
      </w:pPr>
      <w:r w:rsidRPr="001C1BFC">
        <w:t>51.</w:t>
      </w:r>
      <w:r w:rsidRPr="001C1BFC">
        <w:tab/>
        <w:t xml:space="preserve">Fukuda TG, Silva ITF, Dos Santos TSS, Filho MBP, de Abreu FF, Oliveira-Filho J (2022) Clinical and prognostic aspects of patients with the Neuromyelitis Optica Spectrum Disorder (NMOSD) from a cohort in Northeast Brazil. BMC Neurol 22(1):95. </w:t>
      </w:r>
      <w:r w:rsidRPr="00C50373">
        <w:t>https://doi.org/10.1186/s12883-022-02621-5</w:t>
      </w:r>
    </w:p>
    <w:p w14:paraId="13954006" w14:textId="4743D731" w:rsidR="001C1BFC" w:rsidRPr="001C1BFC" w:rsidRDefault="001C1BFC" w:rsidP="001C1BFC">
      <w:pPr>
        <w:pStyle w:val="EndNoteBibliography"/>
        <w:spacing w:after="0"/>
        <w:ind w:left="720" w:hanging="720"/>
      </w:pPr>
      <w:r w:rsidRPr="001C1BFC">
        <w:t>52.</w:t>
      </w:r>
      <w:r w:rsidRPr="001C1BFC">
        <w:tab/>
        <w:t xml:space="preserve">Gao M, Yao X, Ding J, Hong R, Wu Y, Huang H, Zhuang L, Li Z, Wang Y, Zhang Y, Guan Y (2019) Low levels of vitamin D and the relationship between vitamin D and Th2 axis-related cytokines in neuromyelitis optica spectrum disorders. J Clin Neurosci 61:22-7. </w:t>
      </w:r>
      <w:r w:rsidRPr="00C50373">
        <w:t>https://doi.org/10.1016/j.jocn.2018.11.024</w:t>
      </w:r>
    </w:p>
    <w:p w14:paraId="5064A7A9" w14:textId="6AF42D05" w:rsidR="001C1BFC" w:rsidRPr="001C1BFC" w:rsidRDefault="001C1BFC" w:rsidP="001C1BFC">
      <w:pPr>
        <w:pStyle w:val="EndNoteBibliography"/>
        <w:spacing w:after="0"/>
        <w:ind w:left="720" w:hanging="720"/>
      </w:pPr>
      <w:r w:rsidRPr="001C1BFC">
        <w:lastRenderedPageBreak/>
        <w:t>53.</w:t>
      </w:r>
      <w:r w:rsidRPr="001C1BFC">
        <w:tab/>
        <w:t xml:space="preserve">Gracia F, Ramirez D, Parajeles-Vindas A, Diaz A, Diaz de la Fe A, Sanchez NER, Escobar RC, Valle LAG, Weiser R, Santos B, Candelario A, Benzadon A, Araujo P, Valderrama C, Larreategui M, Carrillo G, Gracia K, Vazquez-Cespedes J, Monterrey-Alvarez P, Carazo-Cespedes K, Sanabria-Castro A, Miranda-Loria G, Balmaceda-Meza A, Rivera LIP, Leal IO, Salinas LCR, Thompson A, Torres EL, Pereira DE, Zepeda C, Lopez CA, Valse EAC, Urbina KZC, Urrutia MA, Van Sijtveld I, Armien B, Rivera VM (2022) Neuromyelitis Optica Spectrum Disorder in Central America and the Caribbean: A Multinational Clinical Characterization Study. Neurol Int 14(1):284-93. </w:t>
      </w:r>
      <w:r w:rsidRPr="00C50373">
        <w:t>https://doi.org/10.3390/neurolint14010023</w:t>
      </w:r>
    </w:p>
    <w:p w14:paraId="2AB96AA7" w14:textId="63809AE3" w:rsidR="001C1BFC" w:rsidRPr="001C1BFC" w:rsidRDefault="001C1BFC" w:rsidP="001C1BFC">
      <w:pPr>
        <w:pStyle w:val="EndNoteBibliography"/>
        <w:spacing w:after="0"/>
        <w:ind w:left="720" w:hanging="720"/>
      </w:pPr>
      <w:r w:rsidRPr="001C1BFC">
        <w:t>54.</w:t>
      </w:r>
      <w:r w:rsidRPr="001C1BFC">
        <w:tab/>
        <w:t xml:space="preserve">Holroyd KB, Aziz F, Szolics M, Alsaadi T, Levy M, Schiess N (2018) Prevalence and characteristics of transverse myelitis and neuromyelitis optica spectrum disorders in the United Arab Emirates: A multicenter, retrospective study. Clin Exp Neuroimmunol 9(3):155-61. </w:t>
      </w:r>
      <w:r w:rsidRPr="00C50373">
        <w:t>https://doi.org/10.1111/cen3.12458</w:t>
      </w:r>
    </w:p>
    <w:p w14:paraId="409EAA96" w14:textId="580A1419" w:rsidR="001C1BFC" w:rsidRPr="001C1BFC" w:rsidRDefault="001C1BFC" w:rsidP="001C1BFC">
      <w:pPr>
        <w:pStyle w:val="EndNoteBibliography"/>
        <w:spacing w:after="0"/>
        <w:ind w:left="720" w:hanging="720"/>
      </w:pPr>
      <w:r w:rsidRPr="001C1BFC">
        <w:t>55.</w:t>
      </w:r>
      <w:r w:rsidRPr="001C1BFC">
        <w:tab/>
        <w:t xml:space="preserve">Hor JY, Lim TT, Chia YK, Ching YM, Cheah CF, Tan K, Chow HB, Arip M, Eow GB, Easaw PES, Leite MI (2018) Prevalence of neuromyelitis optica spectrum disorder in the multi-ethnic Penang Island, Malaysia, and a review of worldwide prevalence. Mult Scler Relat Disord 19:20-4. </w:t>
      </w:r>
      <w:r w:rsidRPr="00C50373">
        <w:t>https://doi.org/10.1016/j.msard.2017.10.015</w:t>
      </w:r>
    </w:p>
    <w:p w14:paraId="10E5B3C3" w14:textId="7C30C4E9" w:rsidR="001C1BFC" w:rsidRPr="001C1BFC" w:rsidRDefault="001C1BFC" w:rsidP="001C1BFC">
      <w:pPr>
        <w:pStyle w:val="EndNoteBibliography"/>
        <w:spacing w:after="0"/>
        <w:ind w:left="720" w:hanging="720"/>
      </w:pPr>
      <w:r w:rsidRPr="001C1BFC">
        <w:t>56.</w:t>
      </w:r>
      <w:r w:rsidRPr="001C1BFC">
        <w:tab/>
        <w:t xml:space="preserve">Ibis SC, Omaira M, Arnoldo S, Elizabeth A, Sandra M, Carlota CM, Elizabeth C, Laura V, Rosalba L, Oscar V, Luisa DM, Nahir A, Hernandez F (2021) Epidemiological findings of neuromyelitis optica spectrum disorders in a Venezuelan study. Mult Scler Relat Disord 47:102652. </w:t>
      </w:r>
      <w:r w:rsidRPr="00C50373">
        <w:t>https://doi.org/10.1016/j.msard.2020.102652</w:t>
      </w:r>
    </w:p>
    <w:p w14:paraId="5583F137" w14:textId="6EA75566" w:rsidR="001C1BFC" w:rsidRPr="001C1BFC" w:rsidRDefault="001C1BFC" w:rsidP="001C1BFC">
      <w:pPr>
        <w:pStyle w:val="EndNoteBibliography"/>
        <w:spacing w:after="0"/>
        <w:ind w:left="720" w:hanging="720"/>
      </w:pPr>
      <w:r w:rsidRPr="001C1BFC">
        <w:t>57.</w:t>
      </w:r>
      <w:r w:rsidRPr="001C1BFC">
        <w:tab/>
        <w:t xml:space="preserve">Jagtap SA, Mandliya A, Sarada C, Nair MD (2015) Neuromyelitis optica and neuromyelitis optica spectrum disorder: Natural history and long-term outcome, an Indian experience. J Neurosci Rural Pract 6(3):331-5. </w:t>
      </w:r>
      <w:r w:rsidRPr="00C50373">
        <w:t>https://doi.org/10.4103/0976-3147.158755</w:t>
      </w:r>
    </w:p>
    <w:p w14:paraId="17EA1262" w14:textId="67CF8549" w:rsidR="001C1BFC" w:rsidRPr="001C1BFC" w:rsidRDefault="001C1BFC" w:rsidP="001C1BFC">
      <w:pPr>
        <w:pStyle w:val="EndNoteBibliography"/>
        <w:spacing w:after="0"/>
        <w:ind w:left="720" w:hanging="720"/>
      </w:pPr>
      <w:r w:rsidRPr="001C1BFC">
        <w:t>58.</w:t>
      </w:r>
      <w:r w:rsidRPr="001C1BFC">
        <w:tab/>
        <w:t xml:space="preserve">Jiao Y, Fryer JP, Lennon VA, Jenkins SM, Quek AM, Smith CY, McKeon A, Costanzi C, Iorio R, Weinshenker BG, Wingerchuk DM, Shuster EA, Lucchinetti CF, Pittock SJ </w:t>
      </w:r>
      <w:r w:rsidRPr="001C1BFC">
        <w:lastRenderedPageBreak/>
        <w:t xml:space="preserve">(2013) Updated estimate of AQP4-IgG serostatus and disability outcome in neuromyelitis optica. Neurology 81(14):1197-204. </w:t>
      </w:r>
      <w:r w:rsidRPr="00C50373">
        <w:t>https://doi.org/10.1212/WNL.0b013e3182a6cb5c</w:t>
      </w:r>
    </w:p>
    <w:p w14:paraId="577FE78E" w14:textId="38C9461D" w:rsidR="001C1BFC" w:rsidRPr="001C1BFC" w:rsidRDefault="001C1BFC" w:rsidP="001C1BFC">
      <w:pPr>
        <w:pStyle w:val="EndNoteBibliography"/>
        <w:spacing w:after="0"/>
        <w:ind w:left="720" w:hanging="720"/>
      </w:pPr>
      <w:r w:rsidRPr="001C1BFC">
        <w:t>59.</w:t>
      </w:r>
      <w:r w:rsidRPr="001C1BFC">
        <w:tab/>
        <w:t xml:space="preserve">Jonsson DI, Sveinsson O, Hakim R, Brundin L (2019) Epidemiology of NMOSD in Sweden from 1987 to 2013: A nationwide population-based study. Neurology 93(2):e181-e9. </w:t>
      </w:r>
      <w:r w:rsidRPr="00C50373">
        <w:t>https://doi.org/10.1212/WNL.0000000000007746</w:t>
      </w:r>
    </w:p>
    <w:p w14:paraId="2B9F5441" w14:textId="1DCBA4EC" w:rsidR="001C1BFC" w:rsidRPr="001C1BFC" w:rsidRDefault="001C1BFC" w:rsidP="001C1BFC">
      <w:pPr>
        <w:pStyle w:val="EndNoteBibliography"/>
        <w:spacing w:after="0"/>
        <w:ind w:left="720" w:hanging="720"/>
      </w:pPr>
      <w:r w:rsidRPr="001C1BFC">
        <w:t>60.</w:t>
      </w:r>
      <w:r w:rsidRPr="001C1BFC">
        <w:tab/>
        <w:t xml:space="preserve">Joshi PB, Shah SD, Patel MA, Shah SV, Darji SH, Mirche KC (2022) A Study of Neuromyelitis Optica Spectrum Disorders (NMOSD): Disease Pattern Based on Antibody Status. Neurol India 70(3):1131-6. </w:t>
      </w:r>
      <w:r w:rsidRPr="00C50373">
        <w:t>https://doi.org/10.4103/0028-3886.349679</w:t>
      </w:r>
    </w:p>
    <w:p w14:paraId="09E29E0A" w14:textId="77777777" w:rsidR="001C1BFC" w:rsidRPr="001C1BFC" w:rsidRDefault="001C1BFC" w:rsidP="001C1BFC">
      <w:pPr>
        <w:pStyle w:val="EndNoteBibliography"/>
        <w:spacing w:after="0"/>
        <w:ind w:left="720" w:hanging="720"/>
      </w:pPr>
      <w:r w:rsidRPr="001C1BFC">
        <w:t>61.</w:t>
      </w:r>
      <w:r w:rsidRPr="001C1BFC">
        <w:tab/>
        <w:t>Kashipazha D, Mohammadianinejad SE, Majdinasab N, Azizi M, Jafari M (2015) A descriptive study of prevalence, clinical features and other findings of neuromyelitis optica and neuromyelitis optica spectrum disorder in Khuzestan Province, Iran. Iran J Neurol 14(4):204-10. PMC4754599</w:t>
      </w:r>
    </w:p>
    <w:p w14:paraId="30C8C4D7" w14:textId="3C3C40EA" w:rsidR="001C1BFC" w:rsidRPr="001C1BFC" w:rsidRDefault="001C1BFC" w:rsidP="001C1BFC">
      <w:pPr>
        <w:pStyle w:val="EndNoteBibliography"/>
        <w:spacing w:after="0"/>
        <w:ind w:left="720" w:hanging="720"/>
      </w:pPr>
      <w:r w:rsidRPr="001C1BFC">
        <w:t>62.</w:t>
      </w:r>
      <w:r w:rsidRPr="001C1BFC">
        <w:tab/>
        <w:t xml:space="preserve">Kim SH, Kim W, Li XF, Jung IJ, Kim HJ (2012) Clinical spectrum of CNS aquaporin-4 autoimmunity. Neurology 78(15):1179-85. </w:t>
      </w:r>
      <w:r w:rsidRPr="00C50373">
        <w:t>https://doi.org/10.1212/WNL.0b013e31824f8069</w:t>
      </w:r>
    </w:p>
    <w:p w14:paraId="1ED975BF" w14:textId="2EF2EAFA" w:rsidR="001C1BFC" w:rsidRPr="001C1BFC" w:rsidRDefault="001C1BFC" w:rsidP="001C1BFC">
      <w:pPr>
        <w:pStyle w:val="EndNoteBibliography"/>
        <w:spacing w:after="0"/>
        <w:ind w:left="720" w:hanging="720"/>
      </w:pPr>
      <w:r w:rsidRPr="001C1BFC">
        <w:t>63.</w:t>
      </w:r>
      <w:r w:rsidRPr="001C1BFC">
        <w:tab/>
        <w:t xml:space="preserve">Kishk NA, Abdelfattah W, Shalaby NM, Shehata HS, Hassan A, Hegazy MI, Abokrysha NT, Abdellatif D, Shawky SM, Abdo SS, Taha N, Fouad AM, Elmazny A, Ragab AH (2021) The aquaporin4-IgG status and how it affects the clinical features and treatment response in NMOSD patients in Egypt. BMC Neurol 21(1):53. </w:t>
      </w:r>
      <w:r w:rsidRPr="00C50373">
        <w:t>https://doi.org/10.1186/s12883-021-02083-1</w:t>
      </w:r>
    </w:p>
    <w:p w14:paraId="5EE64A37" w14:textId="68F749AD" w:rsidR="001C1BFC" w:rsidRPr="001C1BFC" w:rsidRDefault="001C1BFC" w:rsidP="001C1BFC">
      <w:pPr>
        <w:pStyle w:val="EndNoteBibliography"/>
        <w:spacing w:after="0"/>
        <w:ind w:left="720" w:hanging="720"/>
      </w:pPr>
      <w:r w:rsidRPr="001C1BFC">
        <w:t>64.</w:t>
      </w:r>
      <w:r w:rsidRPr="001C1BFC">
        <w:tab/>
        <w:t xml:space="preserve">Kitley J, Waters P, Woodhall M, Leite MI, Murchison A, George J, Kuker W, Chandratre S, Vincent A, Palace J (2014) Neuromyelitis optica spectrum disorders with aquaporin-4 and myelin-oligodendrocyte glycoprotein antibodies: a comparative study. JAMA Neurol 71(3):276-83. </w:t>
      </w:r>
      <w:r w:rsidRPr="00C50373">
        <w:t>https://doi.org/10.1001/jamaneurol.2013.5857</w:t>
      </w:r>
    </w:p>
    <w:p w14:paraId="655EA714" w14:textId="16BAACE3" w:rsidR="001C1BFC" w:rsidRPr="001C1BFC" w:rsidRDefault="001C1BFC" w:rsidP="001C1BFC">
      <w:pPr>
        <w:pStyle w:val="EndNoteBibliography"/>
        <w:spacing w:after="0"/>
        <w:ind w:left="720" w:hanging="720"/>
      </w:pPr>
      <w:r w:rsidRPr="001C1BFC">
        <w:t>65.</w:t>
      </w:r>
      <w:r w:rsidRPr="001C1BFC">
        <w:tab/>
        <w:t xml:space="preserve">Kleiter I, Gahlen A, Borisow N, Fischer K, Wernecke KD, Wegner B, Hellwig K, Pache F, Ruprecht K, Havla J, Krumbholz M, Kumpfel T, Aktas O, Hartung HP, </w:t>
      </w:r>
      <w:r w:rsidRPr="001C1BFC">
        <w:lastRenderedPageBreak/>
        <w:t xml:space="preserve">Ringelstein M, Geis C, Kleinschnitz C, Berthele A, Hemmer B, Angstwurm K, Stellmann JP, Schuster S, Stangel M, Lauda F, Tumani H, Mayer C, Zeltner L, Ziemann U, Linker R, Schwab M, Marziniak M, Then Bergh F, Hofstadt-van Oy U, Neuhaus O, Winkelmann A, Marouf W, Faiss J, Wildemann B, Paul F, Jarius S, Trebst C, Neuromyelitis Optica Study G (2016) Neuromyelitis optica: Evaluation of 871 attacks and 1,153 treatment courses. Ann Neurol 79(2):206-16. </w:t>
      </w:r>
      <w:r w:rsidRPr="00C50373">
        <w:t>https://doi.org/10.1002/ana.24554</w:t>
      </w:r>
    </w:p>
    <w:p w14:paraId="0201EE1D" w14:textId="7F504865" w:rsidR="001C1BFC" w:rsidRPr="001C1BFC" w:rsidRDefault="001C1BFC" w:rsidP="001C1BFC">
      <w:pPr>
        <w:pStyle w:val="EndNoteBibliography"/>
        <w:spacing w:after="0"/>
        <w:ind w:left="720" w:hanging="720"/>
      </w:pPr>
      <w:r w:rsidRPr="001C1BFC">
        <w:t>66.</w:t>
      </w:r>
      <w:r w:rsidRPr="001C1BFC">
        <w:tab/>
        <w:t xml:space="preserve">Mealy MA, Kessler RA, Rimler Z, Reid A, Totonis L, Cutter G, Kister I, Levy M (2018) Mortality in neuromyelitis optica is strongly associated with African ancestry. Neurol Neuroimmunol Neuroinflamm 5(4):e468. </w:t>
      </w:r>
      <w:r w:rsidRPr="00C50373">
        <w:t>https://doi.org/10.1212/NXI.0000000000000468</w:t>
      </w:r>
    </w:p>
    <w:p w14:paraId="518656C8" w14:textId="5E9298D4" w:rsidR="001C1BFC" w:rsidRPr="001C1BFC" w:rsidRDefault="001C1BFC" w:rsidP="001C1BFC">
      <w:pPr>
        <w:pStyle w:val="EndNoteBibliography"/>
        <w:spacing w:after="0"/>
        <w:ind w:left="720" w:hanging="720"/>
      </w:pPr>
      <w:r w:rsidRPr="001C1BFC">
        <w:t>67.</w:t>
      </w:r>
      <w:r w:rsidRPr="001C1BFC">
        <w:tab/>
        <w:t xml:space="preserve">Mireles-Ramirez MA, Pacheco-Moises FP, Gonzalez-Usigli HA, Sanchez-Rosales NA, Hernandez-Preciado MR, Delgado-Lara DLC, Hernandez-Cruz JJ, Ortiz GG (2022) Neuromyelitis optica spectrum disorder: pathophysiological approach. Int J Neurosci:1-13. </w:t>
      </w:r>
      <w:r w:rsidRPr="00C50373">
        <w:t>https://doi.org/10.1080/00207454.2022.2153046</w:t>
      </w:r>
    </w:p>
    <w:p w14:paraId="6BA61F82" w14:textId="46915598" w:rsidR="001C1BFC" w:rsidRPr="001C1BFC" w:rsidRDefault="001C1BFC" w:rsidP="001C1BFC">
      <w:pPr>
        <w:pStyle w:val="EndNoteBibliography"/>
        <w:spacing w:after="0"/>
        <w:ind w:left="720" w:hanging="720"/>
      </w:pPr>
      <w:r w:rsidRPr="001C1BFC">
        <w:t>68.</w:t>
      </w:r>
      <w:r w:rsidRPr="001C1BFC">
        <w:tab/>
        <w:t xml:space="preserve">Mirmosayyeb O, Barzegar M, Afshari-Safavi A, Nehzat N, Heidari A, Emami P, Shaygannejad V (2021) Evaluation of Month of Birth in Neuromyelitis Optica Spectrum Disorders (NMSOD) and Multiple Sclerosis (MS). Mult Scler Int 2021:8874999. </w:t>
      </w:r>
      <w:r w:rsidRPr="00C50373">
        <w:t>https://doi.org/10.1155/2021/8874999</w:t>
      </w:r>
    </w:p>
    <w:p w14:paraId="718055AB" w14:textId="68029299" w:rsidR="001C1BFC" w:rsidRPr="001C1BFC" w:rsidRDefault="001C1BFC" w:rsidP="001C1BFC">
      <w:pPr>
        <w:pStyle w:val="EndNoteBibliography"/>
        <w:spacing w:after="0"/>
        <w:ind w:left="720" w:hanging="720"/>
      </w:pPr>
      <w:r w:rsidRPr="001C1BFC">
        <w:t>69.</w:t>
      </w:r>
      <w:r w:rsidRPr="001C1BFC">
        <w:tab/>
        <w:t xml:space="preserve">Miyamoto K, Fujihara K, Kira JI, Kuriyama N, Matsui M, Tamakoshi A, Kusunoki S (2018) Nationwide epidemiological study of neuromyelitis optica in Japan. J Neurol Neurosurg Psychiatry 89(6):667-8. </w:t>
      </w:r>
      <w:r w:rsidRPr="00C50373">
        <w:t>https://doi.org/10.1136/jnnp-2017-317321</w:t>
      </w:r>
    </w:p>
    <w:p w14:paraId="746FA484" w14:textId="1633C9DD" w:rsidR="001C1BFC" w:rsidRPr="001C1BFC" w:rsidRDefault="001C1BFC" w:rsidP="001C1BFC">
      <w:pPr>
        <w:pStyle w:val="EndNoteBibliography"/>
        <w:spacing w:after="0"/>
        <w:ind w:left="720" w:hanging="720"/>
      </w:pPr>
      <w:r w:rsidRPr="001C1BFC">
        <w:t>70.</w:t>
      </w:r>
      <w:r w:rsidRPr="001C1BFC">
        <w:tab/>
        <w:t xml:space="preserve">Netravathi M, Bollampalli HK, Bhat MD, Ganaraja VH, Prasad S, Mahadevan A, Kamble N, Nalini A, Yadav R, Pal PK, Satishchandra P (2019) Clinical, neuroimaging and therapeutic response in AQP4-positive NMO patients from India. Mult Scler Relat Disord 30:85-93. </w:t>
      </w:r>
      <w:r w:rsidRPr="00C50373">
        <w:t>https://doi.org/10.1016/j.msard.2019.01.032</w:t>
      </w:r>
    </w:p>
    <w:p w14:paraId="044B002E" w14:textId="24C5AFAC" w:rsidR="001C1BFC" w:rsidRPr="001C1BFC" w:rsidRDefault="001C1BFC" w:rsidP="001C1BFC">
      <w:pPr>
        <w:pStyle w:val="EndNoteBibliography"/>
        <w:spacing w:after="0"/>
        <w:ind w:left="720" w:hanging="720"/>
      </w:pPr>
      <w:r w:rsidRPr="001C1BFC">
        <w:lastRenderedPageBreak/>
        <w:t>71.</w:t>
      </w:r>
      <w:r w:rsidRPr="001C1BFC">
        <w:tab/>
        <w:t xml:space="preserve">Pandit L, Kundapur R (2014) Prevalence and patterns of demyelinating central nervous system disorders in urban Mangalore, South India. Mult Scler 20(12):1651-3. </w:t>
      </w:r>
      <w:r w:rsidRPr="00C50373">
        <w:t>https://doi.org/10.1177/1352458514521503</w:t>
      </w:r>
    </w:p>
    <w:p w14:paraId="3C2CFA8D" w14:textId="39EFBD51" w:rsidR="001C1BFC" w:rsidRPr="001C1BFC" w:rsidRDefault="001C1BFC" w:rsidP="001C1BFC">
      <w:pPr>
        <w:pStyle w:val="EndNoteBibliography"/>
        <w:spacing w:after="0"/>
        <w:ind w:left="720" w:hanging="720"/>
      </w:pPr>
      <w:r w:rsidRPr="001C1BFC">
        <w:t>72.</w:t>
      </w:r>
      <w:r w:rsidRPr="001C1BFC">
        <w:tab/>
        <w:t xml:space="preserve">Papais-Alvarenga RM, Vasconcelos CC, Carra A, de Castillo IS, Florentin S, Diaz de Bedoya FH, Mandler R, de Siervi LC, Pimentel ML, Alvarenga MP, Alvarenga MP, Grzesiuk AK, Gama Pereira AB, Gomes Neto AP, Velasquez C, Soublette C, Fleitas CV, Diniz DS, Armas E, Batista E, Hernandez F, Pereira FF, Siqueira HH, Cabeca H, Sanchez J, Brooks JB, Goncalves MV, Barroso MC, Ravelo ME, Castillo MC, Ferreira ML, Rocha MS, Parolin MK, Molina O, Marinho PB, Christo PP, Brant de Souza R, Pessanha Neto S, Camargo SM, Machado SC, Neri VC, Fragoso YD, Alvarenga H, Thuler LC (2015) Central Nervous System Idiopathic Inflammatory Demyelinating Disorders in South Americans: A Descriptive, Multicenter, Cross-Sectional Study. PLoS One 10(7):e0127757. </w:t>
      </w:r>
      <w:r w:rsidRPr="00C50373">
        <w:t>https://doi.org/10.1371/journal.pone.0127757</w:t>
      </w:r>
    </w:p>
    <w:p w14:paraId="2B673F4B" w14:textId="5A26FE3A" w:rsidR="001C1BFC" w:rsidRPr="001C1BFC" w:rsidRDefault="001C1BFC" w:rsidP="001C1BFC">
      <w:pPr>
        <w:pStyle w:val="EndNoteBibliography"/>
        <w:spacing w:after="0"/>
        <w:ind w:left="720" w:hanging="720"/>
      </w:pPr>
      <w:r w:rsidRPr="001C1BFC">
        <w:t>73.</w:t>
      </w:r>
      <w:r w:rsidRPr="001C1BFC">
        <w:tab/>
        <w:t xml:space="preserve">Papp V, Iljicsov A, Rajda C, Magyari M, Koch-Henriksen N, Petersen T, Jakab G, Deme I, Nagy F, Imre P, Lohner Z, Kovacs K, Birkas AJ, Koves A, Rum G, Nagy Z, Kerenyi L, Vecsei L, Bencsik K, Jobbagy Z, Dioszeghy P, Horvath L, Galantai G, Kasza J, Molnar G, Simo M, Satori M, Rozsa C, Acs P, Berki T, Lovas G, Komoly S, Illes Z (2020) A population-based epidemiological study of neuromyelitis optica spectrum disorder in Hungary. Eur J Neurol 27(2):308-17. </w:t>
      </w:r>
      <w:r w:rsidRPr="00C50373">
        <w:t>https://doi.org/10.1111/ene.14079</w:t>
      </w:r>
    </w:p>
    <w:p w14:paraId="64A5F405" w14:textId="55FD4BB4" w:rsidR="001C1BFC" w:rsidRPr="001C1BFC" w:rsidRDefault="001C1BFC" w:rsidP="001C1BFC">
      <w:pPr>
        <w:pStyle w:val="EndNoteBibliography"/>
        <w:spacing w:after="0"/>
        <w:ind w:left="720" w:hanging="720"/>
      </w:pPr>
      <w:r w:rsidRPr="001C1BFC">
        <w:t>74.</w:t>
      </w:r>
      <w:r w:rsidRPr="001C1BFC">
        <w:tab/>
        <w:t xml:space="preserve">Papp V, Trones KDP, Magyari M, Koch-Henriksen N, Iljicsov A, Rajda C, Nielsen HH, Lovas G, Rozsa C, Kristiansen BH, Stenager E, Frederiksen JL, Komoly S, Sellebjerg F, Petersen T, Illes Z (2021) Population-based head-to-head comparison of the clinical characteristics and epidemiology of AQP4 antibody-positive NMOSD between two European countries. Mult Scler Relat Disord 51:102879. </w:t>
      </w:r>
      <w:r w:rsidRPr="00C50373">
        <w:t>https://doi.org/10.1016/j.msard.2021.102879</w:t>
      </w:r>
    </w:p>
    <w:p w14:paraId="59B05C04" w14:textId="383ED47C" w:rsidR="001C1BFC" w:rsidRPr="001C1BFC" w:rsidRDefault="001C1BFC" w:rsidP="001C1BFC">
      <w:pPr>
        <w:pStyle w:val="EndNoteBibliography"/>
        <w:spacing w:after="0"/>
        <w:ind w:left="720" w:hanging="720"/>
      </w:pPr>
      <w:r w:rsidRPr="001C1BFC">
        <w:lastRenderedPageBreak/>
        <w:t>75.</w:t>
      </w:r>
      <w:r w:rsidRPr="001C1BFC">
        <w:tab/>
        <w:t xml:space="preserve">Paz ES, Maciel P, D'Almeida JAC, Silva B, Sampaio HAC, Pinheiro ADV, Carioca AAF, de Melo MLP (2021) Excess weight, central adiposity and pro-inflammatory diet consumption in patients with neuromyelitis optica spectrum disorder. Mult Scler Relat Disord 54:103110. </w:t>
      </w:r>
      <w:r w:rsidRPr="00C50373">
        <w:t>https://doi.org/10.1016/j.msard.2021.103110</w:t>
      </w:r>
    </w:p>
    <w:p w14:paraId="2BF1D89F" w14:textId="268972E3" w:rsidR="001C1BFC" w:rsidRPr="001C1BFC" w:rsidRDefault="001C1BFC" w:rsidP="001C1BFC">
      <w:pPr>
        <w:pStyle w:val="EndNoteBibliography"/>
        <w:spacing w:after="0"/>
        <w:ind w:left="720" w:hanging="720"/>
      </w:pPr>
      <w:r w:rsidRPr="001C1BFC">
        <w:t>76.</w:t>
      </w:r>
      <w:r w:rsidRPr="001C1BFC">
        <w:tab/>
        <w:t xml:space="preserve">Rafiee F, Tarjoman T, Moghadasi AN, Sahraian MA, Azimi A, Rezaeimanesh N, Eskandarieh S (2020) Stressful life events, socioeconomic status, and the risk of neuromyelitis optica spectrum disorder: A population-based case-control study. Mult Scler Relat Disord 46:102544. </w:t>
      </w:r>
      <w:r w:rsidRPr="00C50373">
        <w:t>https://doi.org/10.1016/j.msard.2020.102544</w:t>
      </w:r>
    </w:p>
    <w:p w14:paraId="1A52123B" w14:textId="27A05F99" w:rsidR="001C1BFC" w:rsidRPr="001C1BFC" w:rsidRDefault="001C1BFC" w:rsidP="001C1BFC">
      <w:pPr>
        <w:pStyle w:val="EndNoteBibliography"/>
        <w:spacing w:after="0"/>
        <w:ind w:left="720" w:hanging="720"/>
      </w:pPr>
      <w:r w:rsidRPr="001C1BFC">
        <w:t>77.</w:t>
      </w:r>
      <w:r w:rsidRPr="001C1BFC">
        <w:tab/>
        <w:t xml:space="preserve">Rivera JF, Kurtzke JF, Booth VJ, Corona VTt (2008) Characteristics of Devic's disease (neuromyelitis optica) in Mexico. J Neurol 255(5):710-5. </w:t>
      </w:r>
      <w:r w:rsidRPr="00C50373">
        <w:t>https://doi.org/10.1007/s00415-008-0781-2</w:t>
      </w:r>
    </w:p>
    <w:p w14:paraId="043ADAD0" w14:textId="3163C9AE" w:rsidR="001C1BFC" w:rsidRPr="001C1BFC" w:rsidRDefault="001C1BFC" w:rsidP="001C1BFC">
      <w:pPr>
        <w:pStyle w:val="EndNoteBibliography"/>
        <w:spacing w:after="0"/>
        <w:ind w:left="720" w:hanging="720"/>
      </w:pPr>
      <w:r w:rsidRPr="001C1BFC">
        <w:t>78.</w:t>
      </w:r>
      <w:r w:rsidRPr="001C1BFC">
        <w:tab/>
        <w:t xml:space="preserve">Rojas JI, Alonso Serena M, Garcea O, Patrucco L, Carra A, Correale J, Vrech C, Pappolla A, Miguez J, Doldan ML, Silveira F, Alonso R, Cohen L, Pita C, Silva BA, Fiol M, Gaitan MI, Marrodan M, Negrotto L, Ysrraelit MC, Deri N, Luetic G, Caride A, Carnero Contentti E, Lopez PA, Pettinicchi JP, Curbelo C, Martinez AD, Steinberg JD, Balbuena ME, Tkachuk V, Burgos M, Knorre E, Leguizamon F, Piedrabuena R, Liwacki SDV, Barboza AG, Nofal P, Volman G, Alvez Pinheiro A, Hryb J, Tavolini D, Blaya PA, Silva E, Blanche J, Tizio S, Caceres F, Saladino ML, Zanga G, Fracaro ME, Sgrilli G, Pagani Cassara F, Vazquez G, Sinay V, Menichini ML, Lazaro L, Cabrera LM, Bestoso S, Divi P, Jacobo M, Kohler E, Kohler M, Giunta D, Mainella C, Manzi R, Parada Marcilla M, Viglione JP, Martos I, Reich E, Jose G, Cristiano E, Fernandez Liguori N, on behalf Relevar EMi (2020) Multiple sclerosis and neuromyelitis optica spectrum disorders in Argentina: comparing baseline data from the Argentinean MS Registry (RelevarEM). Neurol Sci 41(6):1513-9. </w:t>
      </w:r>
      <w:r w:rsidRPr="00C50373">
        <w:t>https://doi.org/10.1007/s10072-019-04230-6</w:t>
      </w:r>
    </w:p>
    <w:p w14:paraId="2E401C97" w14:textId="3A3BCD87" w:rsidR="001C1BFC" w:rsidRPr="001C1BFC" w:rsidRDefault="001C1BFC" w:rsidP="001C1BFC">
      <w:pPr>
        <w:pStyle w:val="EndNoteBibliography"/>
        <w:spacing w:after="0"/>
        <w:ind w:left="720" w:hanging="720"/>
      </w:pPr>
      <w:r w:rsidRPr="001C1BFC">
        <w:t>79.</w:t>
      </w:r>
      <w:r w:rsidRPr="001C1BFC">
        <w:tab/>
        <w:t xml:space="preserve">Salama S, Marouf H, Ihab Reda M, Mansour AR, O EL, Levy M (2018) Clinical and radiological characteristics of neuromyelitis optica spectrum disorder in the North </w:t>
      </w:r>
      <w:r w:rsidRPr="001C1BFC">
        <w:lastRenderedPageBreak/>
        <w:t xml:space="preserve">Egyptian Nile Delta. J Neuroimmunol 324:22-5. </w:t>
      </w:r>
      <w:r w:rsidRPr="00C50373">
        <w:t>https://doi.org/10.1016/j.jneuroim.2018.08.014</w:t>
      </w:r>
    </w:p>
    <w:p w14:paraId="5E6CBF6A" w14:textId="1FEB4B4A" w:rsidR="001C1BFC" w:rsidRPr="001C1BFC" w:rsidRDefault="001C1BFC" w:rsidP="001C1BFC">
      <w:pPr>
        <w:pStyle w:val="EndNoteBibliography"/>
        <w:spacing w:after="0"/>
        <w:ind w:left="720" w:hanging="720"/>
      </w:pPr>
      <w:r w:rsidRPr="001C1BFC">
        <w:t>80.</w:t>
      </w:r>
      <w:r w:rsidRPr="001C1BFC">
        <w:tab/>
        <w:t xml:space="preserve">Sepulveda M, Armangue T, Sola-Valls N, Arrambide G, Meca-Lallana JE, Oreja-Guevara C, Mendibe M, Alvarez de Arcaya A, Aladro Y, Casanova B, Olascoaga J, Jimenez-Huete A, Fernandez-Fournier M, Ramio-Torrenta L, Cobo-Calvo A, Vinals M, de Andres C, Meca-Lallana V, Cervello A, Calles C, Rubio MB, Ramo-Tello C, Caminero A, Munteis E, Antiguedad AR, Blanco Y, Villoslada P, Montalban X, Graus F, Saiz A (2016) Neuromyelitis optica spectrum disorders: Comparison according to the phenotype and serostatus. Neurol Neuroimmunol Neuroinflamm 3(3):e225. </w:t>
      </w:r>
      <w:r w:rsidRPr="00C50373">
        <w:t>https://doi.org/10.1212/NXI.0000000000000225</w:t>
      </w:r>
    </w:p>
    <w:p w14:paraId="76CA3F38" w14:textId="764681CD" w:rsidR="001C1BFC" w:rsidRPr="001C1BFC" w:rsidRDefault="001C1BFC" w:rsidP="001C1BFC">
      <w:pPr>
        <w:pStyle w:val="EndNoteBibliography"/>
        <w:spacing w:after="0"/>
        <w:ind w:left="720" w:hanging="720"/>
      </w:pPr>
      <w:r w:rsidRPr="001C1BFC">
        <w:t>81.</w:t>
      </w:r>
      <w:r w:rsidRPr="001C1BFC">
        <w:tab/>
        <w:t xml:space="preserve">Shaygannejad V, Maljaei MB, Bank SS, Mirmosayyeb O, Maracy MR, Askari G (2018) Association between Sun Exposure, Vitamin D Intake, Serum Vitamin D Level, and Immunoglobulin G Level in Patients with Neuromyelitis Optica Spectrum Disorder. Int J Prev Med 9:68. </w:t>
      </w:r>
      <w:r w:rsidRPr="00C50373">
        <w:t>https://doi.org/10.4103/ijpvm.IJPVM_45_16</w:t>
      </w:r>
    </w:p>
    <w:p w14:paraId="3F808513" w14:textId="5EB78A0D" w:rsidR="001C1BFC" w:rsidRPr="001C1BFC" w:rsidRDefault="001C1BFC" w:rsidP="001C1BFC">
      <w:pPr>
        <w:pStyle w:val="EndNoteBibliography"/>
        <w:spacing w:after="0"/>
        <w:ind w:left="720" w:hanging="720"/>
      </w:pPr>
      <w:r w:rsidRPr="001C1BFC">
        <w:t>82.</w:t>
      </w:r>
      <w:r w:rsidRPr="001C1BFC">
        <w:tab/>
        <w:t xml:space="preserve">Shosha E, Al Asmi A, Nasim E, Inshasi J, Abdulla F, Al Malik Y, Althobaiti A, Alzawahmah M, Alnajashi HA, Binfalah M, AlHarbi A, Thubaiti IA, Ahmed SF, Al-Hashel J, Elyas M, Nandhagopal R, Gujjar A, Harbi TA, Towaijri GA, Alsharooqi IA, AlMaawi A, Al Khathaami AM, Alotaibi N, Nahrir S, Al Rasheed AA, Al Qahtani M, Alawi S, Hundallah K, Jumah M, Alroughani R, with the Guthy-Jackson Charitable Foundation International Clinical C (2020) Neuromyelitis optica spectrum disorders in Arabian Gulf (NMOAG); establishment and initial characterization of a patient registry. Mult Scler Relat Disord 38:101448. </w:t>
      </w:r>
      <w:r w:rsidRPr="00C50373">
        <w:t>https://doi.org/10.1016/j.msard.2019.101448</w:t>
      </w:r>
    </w:p>
    <w:p w14:paraId="257FB50F" w14:textId="7DDDFE23" w:rsidR="001C1BFC" w:rsidRPr="001C1BFC" w:rsidRDefault="001C1BFC" w:rsidP="001C1BFC">
      <w:pPr>
        <w:pStyle w:val="EndNoteBibliography"/>
        <w:spacing w:after="0"/>
        <w:ind w:left="720" w:hanging="720"/>
      </w:pPr>
      <w:r w:rsidRPr="001C1BFC">
        <w:t>83.</w:t>
      </w:r>
      <w:r w:rsidRPr="001C1BFC">
        <w:tab/>
        <w:t xml:space="preserve">Singh N, Bhatia R, Bali P, Sreenivas V, Padma MV, Goyal V, Saxena R, Dash D, Garg A, Joseph SL (2021) Clinical Features, Gender Differences, Disease Course, and Outcome in Neuromyelitis Optica Spectrum Disorder. Ann Indian Acad Neurol 24(2):186-91. </w:t>
      </w:r>
      <w:r w:rsidRPr="00C50373">
        <w:t>https://doi.org/10.4103/aian.AIAN_334_20</w:t>
      </w:r>
    </w:p>
    <w:p w14:paraId="190A67EE" w14:textId="0A65829F" w:rsidR="001C1BFC" w:rsidRPr="001C1BFC" w:rsidRDefault="001C1BFC" w:rsidP="001C1BFC">
      <w:pPr>
        <w:pStyle w:val="EndNoteBibliography"/>
        <w:spacing w:after="0"/>
        <w:ind w:left="720" w:hanging="720"/>
      </w:pPr>
      <w:r w:rsidRPr="001C1BFC">
        <w:lastRenderedPageBreak/>
        <w:t>84.</w:t>
      </w:r>
      <w:r w:rsidRPr="001C1BFC">
        <w:tab/>
        <w:t xml:space="preserve">Stratos K, Lee L, Dai D, Pavenski K, Zuo F, Rotstein D (2020) Evaluation of ethnicity as a predictor of diagnostic phenotype and prognosis in neuromyelitis optica spectrum disorder in Toronto, Canada. Mult Scler Relat Disord 40:101950. </w:t>
      </w:r>
      <w:r w:rsidRPr="00C50373">
        <w:t>https://doi.org/10.1016/j.msard.2020.101950</w:t>
      </w:r>
    </w:p>
    <w:p w14:paraId="2A8128D2" w14:textId="24DA5F4B" w:rsidR="001C1BFC" w:rsidRPr="001C1BFC" w:rsidRDefault="001C1BFC" w:rsidP="001C1BFC">
      <w:pPr>
        <w:pStyle w:val="EndNoteBibliography"/>
        <w:spacing w:after="0"/>
        <w:ind w:left="720" w:hanging="720"/>
      </w:pPr>
      <w:r w:rsidRPr="001C1BFC">
        <w:t>85.</w:t>
      </w:r>
      <w:r w:rsidRPr="001C1BFC">
        <w:tab/>
        <w:t xml:space="preserve">Sun H, Sun X, Li J, Huo Y, Wu L, Huang D, Yu S, Wu W (2017) Gender differences among Chinese patients with neuromyelitis optica spectrum disorders. Mult Scler Relat Disord 17:5-8. </w:t>
      </w:r>
      <w:r w:rsidRPr="00C50373">
        <w:t>https://doi.org/10.1016/j.msard.2017.06.008</w:t>
      </w:r>
    </w:p>
    <w:p w14:paraId="196DC63D" w14:textId="664479BA" w:rsidR="001C1BFC" w:rsidRPr="001C1BFC" w:rsidRDefault="001C1BFC" w:rsidP="001C1BFC">
      <w:pPr>
        <w:pStyle w:val="EndNoteBibliography"/>
        <w:spacing w:after="0"/>
        <w:ind w:left="720" w:hanging="720"/>
      </w:pPr>
      <w:r w:rsidRPr="001C1BFC">
        <w:t>86.</w:t>
      </w:r>
      <w:r w:rsidRPr="001C1BFC">
        <w:tab/>
        <w:t xml:space="preserve">Tarhan B, Rempe T, Rahman S, Rodriguez E, Sladky J, Tuna IS, Rees J (2022) A Comparison of Pediatric- and Adult-Onset Aquaporin-4 Immunoglobulin G-Positive Neuromyelitis Optica Spectrum Disorder: A Review of Clinical and Radiographic Characteristics. J Child Neurol 37(8-9):727-37. </w:t>
      </w:r>
      <w:r w:rsidRPr="00C50373">
        <w:t>https://doi.org/10.1177/08830738221103085</w:t>
      </w:r>
    </w:p>
    <w:p w14:paraId="74ADB613" w14:textId="6E1CF7DB" w:rsidR="001C1BFC" w:rsidRPr="001C1BFC" w:rsidRDefault="001C1BFC" w:rsidP="001C1BFC">
      <w:pPr>
        <w:pStyle w:val="EndNoteBibliography"/>
        <w:spacing w:after="0"/>
        <w:ind w:left="720" w:hanging="720"/>
      </w:pPr>
      <w:r w:rsidRPr="001C1BFC">
        <w:t>87.</w:t>
      </w:r>
      <w:r w:rsidRPr="001C1BFC">
        <w:tab/>
        <w:t xml:space="preserve">Tian DC, Li Z, Yuan M, Zhang C, Gu H, Wang Y, Shi FD (2020) Incidence of neuromyelitis optica spectrum disorder (NMOSD) in China: A national population-based study. Lancet Reg Health West Pac 2:100021. </w:t>
      </w:r>
      <w:r w:rsidRPr="00C50373">
        <w:t>https://doi.org/10.1016/j.lanwpc.2020.100021</w:t>
      </w:r>
    </w:p>
    <w:p w14:paraId="70601EDD" w14:textId="292BBF58" w:rsidR="001C1BFC" w:rsidRPr="001C1BFC" w:rsidRDefault="001C1BFC" w:rsidP="001C1BFC">
      <w:pPr>
        <w:pStyle w:val="EndNoteBibliography"/>
        <w:spacing w:after="0"/>
        <w:ind w:left="720" w:hanging="720"/>
      </w:pPr>
      <w:r w:rsidRPr="001C1BFC">
        <w:t>88.</w:t>
      </w:r>
      <w:r w:rsidRPr="001C1BFC">
        <w:tab/>
        <w:t xml:space="preserve">van Pelt ED, Wong YY, Ketelslegers IA, Hamann D, Hintzen RQ (2016) Neuromyelitis optica spectrum disorders: comparison of clinical and magnetic resonance imaging characteristics of AQP4-IgG versus MOG-IgG seropositive cases in the Netherlands. Eur J Neurol 23(3):580-7. </w:t>
      </w:r>
      <w:r w:rsidRPr="00C50373">
        <w:t>https://doi.org/10.1111/ene.12898</w:t>
      </w:r>
    </w:p>
    <w:p w14:paraId="45A40D54" w14:textId="33FC1737" w:rsidR="001C1BFC" w:rsidRPr="001C1BFC" w:rsidRDefault="001C1BFC" w:rsidP="001C1BFC">
      <w:pPr>
        <w:pStyle w:val="EndNoteBibliography"/>
        <w:spacing w:after="0"/>
        <w:ind w:left="720" w:hanging="720"/>
      </w:pPr>
      <w:r w:rsidRPr="001C1BFC">
        <w:t>89.</w:t>
      </w:r>
      <w:r w:rsidRPr="001C1BFC">
        <w:tab/>
        <w:t xml:space="preserve">Wu Y, Yang M, Gao P, Wang Z, Wu J, Wang J, Xu Q, Zhou H, Wu T, Wu W, Wei S, Hu YH (2022) Incidence of neuromyelitis optica spectrum disorders in China: a large cohort study using claim data. BMJ Open 12(1):e048942. </w:t>
      </w:r>
      <w:r w:rsidRPr="00C50373">
        <w:t>https://doi.org/10.1136/bmjopen-2021-048942</w:t>
      </w:r>
    </w:p>
    <w:p w14:paraId="01C36E7D" w14:textId="041C9D12" w:rsidR="001C1BFC" w:rsidRPr="001C1BFC" w:rsidRDefault="001C1BFC" w:rsidP="001C1BFC">
      <w:pPr>
        <w:pStyle w:val="EndNoteBibliography"/>
        <w:spacing w:after="0"/>
        <w:ind w:left="720" w:hanging="720"/>
      </w:pPr>
      <w:r w:rsidRPr="001C1BFC">
        <w:t>90.</w:t>
      </w:r>
      <w:r w:rsidRPr="001C1BFC">
        <w:tab/>
        <w:t xml:space="preserve">Yin J, Long Y, Shan F, Fan Y, Wu L, Zhong R, Gao C, Chen X, Gao Q, Yang N (2015) Clinical manifestations of neuromyelitis optica in male and female patients. Neurol Res 37(11):967-73. </w:t>
      </w:r>
      <w:r w:rsidRPr="00C50373">
        <w:t>https://doi.org/10.1179/1743132815Y.0000000081</w:t>
      </w:r>
    </w:p>
    <w:p w14:paraId="67CEAED5" w14:textId="53CC4625" w:rsidR="001C1BFC" w:rsidRPr="001C1BFC" w:rsidRDefault="001C1BFC" w:rsidP="001C1BFC">
      <w:pPr>
        <w:pStyle w:val="EndNoteBibliography"/>
        <w:spacing w:after="0"/>
        <w:ind w:left="720" w:hanging="720"/>
      </w:pPr>
      <w:r w:rsidRPr="001C1BFC">
        <w:lastRenderedPageBreak/>
        <w:t>91.</w:t>
      </w:r>
      <w:r w:rsidRPr="001C1BFC">
        <w:tab/>
        <w:t xml:space="preserve">Banwell B, Tenembaum S, Lennon VA, Ursell E, Kennedy J, Bar-Or A, Weinshenker BG, Lucchinetti CF, Pittock SJ (2008) Neuromyelitis optica-IgG in childhood inflammatory demyelinating CNS disorders. Neurology 70(5):344-52. </w:t>
      </w:r>
      <w:r w:rsidRPr="00C50373">
        <w:t>https://doi.org/10.1212/01.wnl.0000284600.80782.d5</w:t>
      </w:r>
    </w:p>
    <w:p w14:paraId="6E34970C" w14:textId="5A54A19A" w:rsidR="001C1BFC" w:rsidRPr="001C1BFC" w:rsidRDefault="001C1BFC" w:rsidP="001C1BFC">
      <w:pPr>
        <w:pStyle w:val="EndNoteBibliography"/>
        <w:spacing w:after="0"/>
        <w:ind w:left="720" w:hanging="720"/>
      </w:pPr>
      <w:r w:rsidRPr="001C1BFC">
        <w:t>92.</w:t>
      </w:r>
      <w:r w:rsidRPr="001C1BFC">
        <w:tab/>
        <w:t xml:space="preserve">Camera V, Messina S, Elhadd KT, Sanpera-Iglesias J, Mariano R, Hacohen Y, Dobson R, Meletti S, Wassmer E, Lim MJ, Huda S, Hemingway C, Leite MI, Ramdas S, Palace J (2022) Early predictors of disability of paediatric-onset AQP4-IgG-seropositive neuromyelitis optica spectrum disorders. J Neurol Neurosurg Psychiatry 93(1):101-11. </w:t>
      </w:r>
      <w:r w:rsidRPr="00C50373">
        <w:t>https://doi.org/10.1136/jnnp-2021-327206</w:t>
      </w:r>
    </w:p>
    <w:p w14:paraId="3F01230F" w14:textId="6688844D" w:rsidR="001C1BFC" w:rsidRPr="001C1BFC" w:rsidRDefault="001C1BFC" w:rsidP="001C1BFC">
      <w:pPr>
        <w:pStyle w:val="EndNoteBibliography"/>
        <w:spacing w:after="0"/>
        <w:ind w:left="720" w:hanging="720"/>
      </w:pPr>
      <w:r w:rsidRPr="001C1BFC">
        <w:t>93.</w:t>
      </w:r>
      <w:r w:rsidRPr="001C1BFC">
        <w:tab/>
        <w:t xml:space="preserve">Collongues N, Marignier R, Zephir H, Papeix C, Fontaine B, Blanc F, Rodriguez D, Fleury M, Vukusic S, Pelletier J, Audoin B, Thouvenot E, Camu W, Barroso B, Ruet A, Brochet B, Vermersch P, Confavreux C, de Seze J (2010) Long-term follow-up of neuromyelitis optica with a pediatric onset. Neurology 75(12):1084-8. </w:t>
      </w:r>
      <w:r w:rsidRPr="00C50373">
        <w:t>https://doi.org/10.1212/WNL.0b013e3181f39a66</w:t>
      </w:r>
    </w:p>
    <w:p w14:paraId="4EA8DAB6" w14:textId="7664D7FF" w:rsidR="001C1BFC" w:rsidRPr="001C1BFC" w:rsidRDefault="001C1BFC" w:rsidP="001C1BFC">
      <w:pPr>
        <w:pStyle w:val="EndNoteBibliography"/>
        <w:spacing w:after="0"/>
        <w:ind w:left="720" w:hanging="720"/>
      </w:pPr>
      <w:r w:rsidRPr="001C1BFC">
        <w:t>94.</w:t>
      </w:r>
      <w:r w:rsidRPr="001C1BFC">
        <w:tab/>
        <w:t xml:space="preserve">Huppke P, Bluthner M, Bauer O, Stark W, Reinhardt K, Huppke B, Gartner J (2010) Neuromyelitis optica and NMO-IgG in European pediatric patients. Neurology 75(19):1740-4. </w:t>
      </w:r>
      <w:r w:rsidRPr="00C50373">
        <w:t>https://doi.org/10.1212/WNL.0b013e3181fc2823</w:t>
      </w:r>
    </w:p>
    <w:p w14:paraId="455552DD" w14:textId="468A30AE" w:rsidR="001C1BFC" w:rsidRPr="001C1BFC" w:rsidRDefault="001C1BFC" w:rsidP="001C1BFC">
      <w:pPr>
        <w:pStyle w:val="EndNoteBibliography"/>
        <w:spacing w:after="0"/>
        <w:ind w:left="720" w:hanging="720"/>
      </w:pPr>
      <w:r w:rsidRPr="001C1BFC">
        <w:t>95.</w:t>
      </w:r>
      <w:r w:rsidRPr="001C1BFC">
        <w:tab/>
        <w:t xml:space="preserve">Lin WS, Wang HP, Chen HM, Lin JW, Lee WT (2020) Epidemiology of pediatric multiple sclerosis, neuromyelitis optica, and optic neuritis in Taiwan. J Neurol 267(4):925-32. </w:t>
      </w:r>
      <w:r w:rsidRPr="00C50373">
        <w:t>https://doi.org/10.1007/s00415-019-09647-9</w:t>
      </w:r>
    </w:p>
    <w:p w14:paraId="465D9EF8" w14:textId="59C81D9E" w:rsidR="001C1BFC" w:rsidRPr="001C1BFC" w:rsidRDefault="001C1BFC" w:rsidP="001C1BFC">
      <w:pPr>
        <w:pStyle w:val="EndNoteBibliography"/>
        <w:spacing w:after="0"/>
        <w:ind w:left="720" w:hanging="720"/>
      </w:pPr>
      <w:r w:rsidRPr="001C1BFC">
        <w:t>96.</w:t>
      </w:r>
      <w:r w:rsidRPr="001C1BFC">
        <w:tab/>
        <w:t xml:space="preserve">Lotze TE, Northrop JL, Hutton GJ, Ross B, Schiffman JS, Hunter JV (2008) Spectrum of pediatric neuromyelitis optica. Pediatrics 122(5):e1039-47. </w:t>
      </w:r>
      <w:r w:rsidRPr="00C50373">
        <w:t>https://doi.org/10.1542/peds.2007-2758</w:t>
      </w:r>
    </w:p>
    <w:p w14:paraId="43373253" w14:textId="72A17359" w:rsidR="001C1BFC" w:rsidRPr="001C1BFC" w:rsidRDefault="001C1BFC" w:rsidP="001C1BFC">
      <w:pPr>
        <w:pStyle w:val="EndNoteBibliography"/>
        <w:spacing w:after="0"/>
        <w:ind w:left="720" w:hanging="720"/>
      </w:pPr>
      <w:r w:rsidRPr="001C1BFC">
        <w:t>97.</w:t>
      </w:r>
      <w:r w:rsidRPr="001C1BFC">
        <w:tab/>
        <w:t xml:space="preserve">Martins C, Moura J, Figueiroa S, Garrido C, Martins J, Samoes R, Guimaraes J, Melo C, Sousa R, Palavra F, Ferreira J, da Silva AM, Sa MJ, Santos E (2022) Pediatric neuromyelitis optica spectrum disorders in Portugal: A multicentre retrospective study. Mult Scler Relat Disord 59:103531. </w:t>
      </w:r>
      <w:r w:rsidRPr="00C50373">
        <w:t>https://doi.org/10.1016/j.msard.2022.103531</w:t>
      </w:r>
    </w:p>
    <w:p w14:paraId="5C79253F" w14:textId="1AB590BA" w:rsidR="001C1BFC" w:rsidRPr="001C1BFC" w:rsidRDefault="001C1BFC" w:rsidP="001C1BFC">
      <w:pPr>
        <w:pStyle w:val="EndNoteBibliography"/>
        <w:spacing w:after="0"/>
        <w:ind w:left="720" w:hanging="720"/>
      </w:pPr>
      <w:r w:rsidRPr="001C1BFC">
        <w:lastRenderedPageBreak/>
        <w:t>98.</w:t>
      </w:r>
      <w:r w:rsidRPr="001C1BFC">
        <w:tab/>
        <w:t xml:space="preserve">McKeon A, Lennon VA, Lotze T, Tenenbaum S, Ness JM, Rensel M, Kuntz NL, Fryer JP, Homburger H, Hunter J, Weinshenker BG, Krecke K, Lucchinetti CF, Pittock SJ (2008) CNS aquaporin-4 autoimmunity in children. Neurology 71(2):93-100. </w:t>
      </w:r>
      <w:r w:rsidRPr="00C50373">
        <w:t>https://doi.org/10.1212/01.wnl.0000314832.24682.c6</w:t>
      </w:r>
    </w:p>
    <w:p w14:paraId="0829DE2F" w14:textId="1245B329" w:rsidR="001C1BFC" w:rsidRPr="001C1BFC" w:rsidRDefault="001C1BFC" w:rsidP="001C1BFC">
      <w:pPr>
        <w:pStyle w:val="EndNoteBibliography"/>
        <w:spacing w:after="0"/>
        <w:ind w:left="720" w:hanging="720"/>
      </w:pPr>
      <w:r w:rsidRPr="001C1BFC">
        <w:t>99.</w:t>
      </w:r>
      <w:r w:rsidRPr="001C1BFC">
        <w:tab/>
        <w:t xml:space="preserve">Paolilo RB, Hacohen Y, Yazbeck E, Armangue T, Bruijstens A, Lechner C, Apostolos-Pereira SL, Martynenko Y, Breu M, de Medeiros Rimkus C, Wassmer E, Baumann M, Papetti L, Capobianco M, Kornek B, Rostasy K, da Paz JA, Ciccarelli O, Lim M, Saiz A, Neuteboom R, Marignier R, Hemingway C, Sato DK, Deiva K (2020) Treatment and outcome of aquaporin-4 antibody-positive NMOSD: A multinational pediatric study. Neurol Neuroimmunol Neuroinflamm 7(5):e837. </w:t>
      </w:r>
      <w:r w:rsidRPr="00C50373">
        <w:t>https://doi.org/10.1212/NXI.0000000000000837</w:t>
      </w:r>
    </w:p>
    <w:p w14:paraId="5A01241B" w14:textId="69F7D18B" w:rsidR="001C1BFC" w:rsidRPr="001C1BFC" w:rsidRDefault="001C1BFC" w:rsidP="001C1BFC">
      <w:pPr>
        <w:pStyle w:val="EndNoteBibliography"/>
        <w:spacing w:after="0"/>
        <w:ind w:left="720" w:hanging="720"/>
      </w:pPr>
      <w:r w:rsidRPr="001C1BFC">
        <w:t>100.</w:t>
      </w:r>
      <w:r w:rsidRPr="001C1BFC">
        <w:tab/>
        <w:t xml:space="preserve">Yamaguchi Y, Torisu H, Kira R, Ishizaki Y, Sakai Y, Sanefuji M, Ichiyama T, Oka A, Kishi T, Kimura S, Kubota M, Takanashi J, Takahashi Y, Tamai H, Natsume J, Hamano S, Hirabayashi S, Maegaki Y, Mizuguchi M, Minagawa K, Yoshikawa H, Kira J, Kusunoki S, Hara T (2016) A nationwide survey of pediatric acquired demyelinating syndromes in Japan. Neurology 87(19):2006-15. </w:t>
      </w:r>
      <w:r w:rsidRPr="00C50373">
        <w:t>https://doi.org/10.1212/WNL.0000000000003318</w:t>
      </w:r>
    </w:p>
    <w:p w14:paraId="509AC8A8" w14:textId="1D391289" w:rsidR="001C1BFC" w:rsidRPr="001C1BFC" w:rsidRDefault="001C1BFC" w:rsidP="001C1BFC">
      <w:pPr>
        <w:pStyle w:val="EndNoteBibliography"/>
        <w:spacing w:after="0"/>
        <w:ind w:left="720" w:hanging="720"/>
      </w:pPr>
      <w:r w:rsidRPr="001C1BFC">
        <w:t>101.</w:t>
      </w:r>
      <w:r w:rsidRPr="001C1BFC">
        <w:tab/>
        <w:t xml:space="preserve">Yoon HH, Park JY, Kim SY, Lee NM, Yi DY, Yun SW, Lim IS, Chae SA (2021) Epidemiology of Demyelinating Diseases in Korean Pediatric Patients. J Child Neurol 36(2):141-7. </w:t>
      </w:r>
      <w:r w:rsidRPr="00C50373">
        <w:t>https://doi.org/10.1177/0883073820959543</w:t>
      </w:r>
    </w:p>
    <w:p w14:paraId="52F1E61A" w14:textId="67570776" w:rsidR="001C1BFC" w:rsidRPr="001C1BFC" w:rsidRDefault="001C1BFC" w:rsidP="001C1BFC">
      <w:pPr>
        <w:pStyle w:val="EndNoteBibliography"/>
        <w:spacing w:after="0"/>
        <w:ind w:left="720" w:hanging="720"/>
      </w:pPr>
      <w:r w:rsidRPr="001C1BFC">
        <w:t>102.</w:t>
      </w:r>
      <w:r w:rsidRPr="001C1BFC">
        <w:tab/>
        <w:t xml:space="preserve">Zhou Y, Zhong X, Shu Y, Cui C, Wang J, Wang Y, Li X, Chen Z, Peng L, Kermode A, Qiu W (2019) Clinical course, treatment responses and outcomes in Chinese paediatric neuromyelitis optica spectrum disorder. Mult Scler Relat Disord 28:213-20. </w:t>
      </w:r>
      <w:r w:rsidRPr="00C50373">
        <w:t>https://doi.org/10.1016/j.msard.2018.12.038</w:t>
      </w:r>
    </w:p>
    <w:p w14:paraId="3FE35CEE" w14:textId="4B21C7D0" w:rsidR="001C1BFC" w:rsidRPr="001C1BFC" w:rsidRDefault="001C1BFC" w:rsidP="001C1BFC">
      <w:pPr>
        <w:pStyle w:val="EndNoteBibliography"/>
        <w:spacing w:after="0"/>
        <w:ind w:left="720" w:hanging="720"/>
      </w:pPr>
      <w:r w:rsidRPr="001C1BFC">
        <w:t>103.</w:t>
      </w:r>
      <w:r w:rsidRPr="001C1BFC">
        <w:tab/>
        <w:t xml:space="preserve">Cai LJ, Zhang Q, Zhang Y, Chen HX, Shi ZY, Du Q, Zhou HY (2020) Clinical characteristics of very late-onset neuromyelitis optica spectrum disorder. Mult Scler Relat Disord 46:102515. </w:t>
      </w:r>
      <w:r w:rsidRPr="00C50373">
        <w:t>https://doi.org/10.1016/j.msard.2020.102515</w:t>
      </w:r>
    </w:p>
    <w:p w14:paraId="14ED45B2" w14:textId="7936291F" w:rsidR="001C1BFC" w:rsidRPr="001C1BFC" w:rsidRDefault="001C1BFC" w:rsidP="001C1BFC">
      <w:pPr>
        <w:pStyle w:val="EndNoteBibliography"/>
        <w:spacing w:after="0"/>
        <w:ind w:left="720" w:hanging="720"/>
      </w:pPr>
      <w:r w:rsidRPr="001C1BFC">
        <w:lastRenderedPageBreak/>
        <w:t>104.</w:t>
      </w:r>
      <w:r w:rsidRPr="001C1BFC">
        <w:tab/>
        <w:t xml:space="preserve">Carnero Contentti E, Daccach Marques V, Soto de Castillo I, Tkachuk V, Ariel B, Castillo MC, Cristiano E, Diegues Serva GB, Dos Santos AC, Finkelsteyn AM, Lopez PA, Patrucco L, Molina O, Pettinicchi JP, Toneguzzo V, Caride A, Rojas JI (2020) Clinical features and prognosis of late-onset neuromyelitis optica spectrum disorders in a Latin American cohort. J Neurol 267(5):1260-8. </w:t>
      </w:r>
      <w:r w:rsidRPr="00C50373">
        <w:t>https://doi.org/10.1007/s00415-020-09699-2</w:t>
      </w:r>
    </w:p>
    <w:p w14:paraId="403A104F" w14:textId="53036F74" w:rsidR="001C1BFC" w:rsidRPr="001C1BFC" w:rsidRDefault="001C1BFC" w:rsidP="001C1BFC">
      <w:pPr>
        <w:pStyle w:val="EndNoteBibliography"/>
        <w:spacing w:after="0"/>
        <w:ind w:left="720" w:hanging="720"/>
      </w:pPr>
      <w:r w:rsidRPr="001C1BFC">
        <w:t>105.</w:t>
      </w:r>
      <w:r w:rsidRPr="001C1BFC">
        <w:tab/>
        <w:t xml:space="preserve">Collongues N, Marignier R, Jacob A, Leite MI, Siva A, Paul F, Zephir H, Akman-Demir G, Elsone L, Jarius S, Papeix C, Mutch K, Saip S, Wildemann B, Kitley J, Karabudak R, Aktas O, Kuscu D, Altintas A, Palace J, Confavreux C, De Seze J (2014) Characterization of neuromyelitis optica and neuromyelitis optica spectrum disorder patients with a late onset. Mult Scler 20(8):1086-94. </w:t>
      </w:r>
      <w:r w:rsidRPr="00C50373">
        <w:t>https://doi.org/10.1177/1352458513515085</w:t>
      </w:r>
    </w:p>
    <w:p w14:paraId="71CA33B0" w14:textId="6F59015D" w:rsidR="001C1BFC" w:rsidRPr="001C1BFC" w:rsidRDefault="001C1BFC" w:rsidP="001C1BFC">
      <w:pPr>
        <w:pStyle w:val="EndNoteBibliography"/>
        <w:spacing w:after="0"/>
        <w:ind w:left="720" w:hanging="720"/>
      </w:pPr>
      <w:r w:rsidRPr="001C1BFC">
        <w:t>106.</w:t>
      </w:r>
      <w:r w:rsidRPr="001C1BFC">
        <w:tab/>
        <w:t xml:space="preserve">Delgado-Garcia G, Antonio-Luna E, Lopez-Mena D, Rivas-Alonso V, Flores-Rivera J, Corona-Vazquez T (2020) AQP4-IgG-positive neuromyelitis optica spectrum disorder with late onset in Mexico. Mult Scler Relat Disord 43:102221. </w:t>
      </w:r>
      <w:r w:rsidRPr="00C50373">
        <w:t>https://doi.org/10.1016/j.msard.2020.102221</w:t>
      </w:r>
    </w:p>
    <w:p w14:paraId="4D63D7D7" w14:textId="72F6B2C3" w:rsidR="001C1BFC" w:rsidRPr="001C1BFC" w:rsidRDefault="001C1BFC" w:rsidP="001C1BFC">
      <w:pPr>
        <w:pStyle w:val="EndNoteBibliography"/>
        <w:spacing w:after="0"/>
        <w:ind w:left="720" w:hanging="720"/>
      </w:pPr>
      <w:r w:rsidRPr="001C1BFC">
        <w:t>107.</w:t>
      </w:r>
      <w:r w:rsidRPr="001C1BFC">
        <w:tab/>
        <w:t xml:space="preserve">Lavandier N, Bonnan M, Carra-Dalliere C, Charif M, Labauge P, Camdessanche JP, Edan G, Naudin A, Brassat D, Ciron J, Clavelou P, Dulau C, Moroso A, Brochet B, Ouallet JC, on behalf Societe Francophone de la Sclerose en P (2019) First clinical inflammatory demyelinating events of the central nervous system in a population aged over 70 years: A multicentre study. Mult Scler Relat Disord 28:309-12. </w:t>
      </w:r>
      <w:r w:rsidRPr="00C50373">
        <w:t>https://doi.org/10.1016/j.msard.2018.12.016</w:t>
      </w:r>
    </w:p>
    <w:p w14:paraId="6145A73F" w14:textId="61812CD8" w:rsidR="001C1BFC" w:rsidRPr="001C1BFC" w:rsidRDefault="001C1BFC" w:rsidP="001C1BFC">
      <w:pPr>
        <w:pStyle w:val="EndNoteBibliography"/>
        <w:spacing w:after="0"/>
        <w:ind w:left="720" w:hanging="720"/>
      </w:pPr>
      <w:r w:rsidRPr="001C1BFC">
        <w:t>108.</w:t>
      </w:r>
      <w:r w:rsidRPr="001C1BFC">
        <w:tab/>
        <w:t xml:space="preserve">Mao Z, Yin J, Zhong X, Zhao Z, Qiu W, Lu Z, Hu X (2015) Late-onset neuromyelitis optica spectrum disorder in AQP4-seropositivepatients in a Chinese population. BMC Neurol 15:160. </w:t>
      </w:r>
      <w:r w:rsidRPr="00C50373">
        <w:t>https://doi.org/10.1186/s12883-015-0417-y</w:t>
      </w:r>
    </w:p>
    <w:p w14:paraId="26C2AC09" w14:textId="50864C41" w:rsidR="001C1BFC" w:rsidRPr="001C1BFC" w:rsidRDefault="001C1BFC" w:rsidP="001C1BFC">
      <w:pPr>
        <w:pStyle w:val="EndNoteBibliography"/>
        <w:spacing w:after="0"/>
        <w:ind w:left="720" w:hanging="720"/>
      </w:pPr>
      <w:r w:rsidRPr="001C1BFC">
        <w:t>109.</w:t>
      </w:r>
      <w:r w:rsidRPr="001C1BFC">
        <w:tab/>
        <w:t xml:space="preserve">Nakahara K, Nakane S, Nagaishi A, Narita T, Matsuo H, Ando Y (2021) Very late onset neuromyelitis optica spectrum disorders. Eur J Neurol 28(8):2574-81. </w:t>
      </w:r>
      <w:r w:rsidRPr="00C50373">
        <w:t>https://doi.org/10.1111/ene.14901</w:t>
      </w:r>
    </w:p>
    <w:p w14:paraId="41F595B6" w14:textId="3F913551" w:rsidR="001C1BFC" w:rsidRPr="001C1BFC" w:rsidRDefault="001C1BFC" w:rsidP="001C1BFC">
      <w:pPr>
        <w:pStyle w:val="EndNoteBibliography"/>
        <w:spacing w:after="0"/>
        <w:ind w:left="720" w:hanging="720"/>
      </w:pPr>
      <w:r w:rsidRPr="001C1BFC">
        <w:lastRenderedPageBreak/>
        <w:t>110.</w:t>
      </w:r>
      <w:r w:rsidRPr="001C1BFC">
        <w:tab/>
        <w:t xml:space="preserve">Seok JM, Cho HJ, Ahn SW, Cho EB, Park MS, Joo IS, Shin HY, Kim SY, Kim BJ, Kim JK, Cho JY, Huh SY, Kwon O, Lee KH, Kim BJ, Min JH (2017) Clinical characteristics of late-onset neuromyelitis optica spectrum disorder: A multicenter retrospective study in Korea. Mult Scler 23(13):1748-56. </w:t>
      </w:r>
      <w:r w:rsidRPr="00C50373">
        <w:t>https://doi.org/10.1177/1352458516685416</w:t>
      </w:r>
    </w:p>
    <w:p w14:paraId="1F5C54B3" w14:textId="4089DC24" w:rsidR="001C1BFC" w:rsidRPr="001C1BFC" w:rsidRDefault="001C1BFC" w:rsidP="001C1BFC">
      <w:pPr>
        <w:pStyle w:val="EndNoteBibliography"/>
        <w:spacing w:after="0"/>
        <w:ind w:left="720" w:hanging="720"/>
      </w:pPr>
      <w:r w:rsidRPr="001C1BFC">
        <w:t>111.</w:t>
      </w:r>
      <w:r w:rsidRPr="001C1BFC">
        <w:tab/>
        <w:t xml:space="preserve">Sepulveda M, Delgado-Garcia G, Blanco Y, Sola-Valls N, Martinez-Lapiscina EH, Armangue T, Montejo C, Pulido-Valdeolivas I, Martinez-Hernandez E, Arino H, Escudero D, Ruiz-Garcia R, Llufriu S, Dalmau J, Graus F, Saiz A (2019) Late-onset neuromyelitis optica spectrum disorder: The importance of autoantibody serostatus. Neurol Neuroimmunol Neuroinflamm 6(6):e607. </w:t>
      </w:r>
      <w:r w:rsidRPr="00C50373">
        <w:t>https://doi.org/10.1212/NXI.0000000000000607</w:t>
      </w:r>
    </w:p>
    <w:p w14:paraId="58DFC476" w14:textId="4348A352" w:rsidR="001C1BFC" w:rsidRPr="001C1BFC" w:rsidRDefault="001C1BFC" w:rsidP="001C1BFC">
      <w:pPr>
        <w:pStyle w:val="EndNoteBibliography"/>
        <w:spacing w:after="0"/>
        <w:ind w:left="720" w:hanging="720"/>
      </w:pPr>
      <w:r w:rsidRPr="001C1BFC">
        <w:t>112.</w:t>
      </w:r>
      <w:r w:rsidRPr="001C1BFC">
        <w:tab/>
        <w:t xml:space="preserve">Zhang LJ, Yang LN, Li T, Wang J, Qi Y, Zhang DQ, Yang CS, Yang L (2017) Distinctive characteristics of early-onset and late-onset neuromyelitis optica spectrum disorders. Int J Neurosci 127(4):334-8. </w:t>
      </w:r>
      <w:r w:rsidRPr="00C50373">
        <w:t>https://doi.org/10.1080/00207454.2016.1254630</w:t>
      </w:r>
    </w:p>
    <w:p w14:paraId="413EB6FB" w14:textId="52869D1B" w:rsidR="001C1BFC" w:rsidRPr="001C1BFC" w:rsidRDefault="001C1BFC" w:rsidP="001C1BFC">
      <w:pPr>
        <w:pStyle w:val="EndNoteBibliography"/>
        <w:spacing w:after="0"/>
        <w:ind w:left="720" w:hanging="720"/>
      </w:pPr>
      <w:r w:rsidRPr="001C1BFC">
        <w:t>113.</w:t>
      </w:r>
      <w:r w:rsidRPr="001C1BFC">
        <w:tab/>
        <w:t xml:space="preserve">Bukhari W, Clarke L, O'Gorman C, Khalilidehkordi E, Arnett S, Prain KM, Woodhall M, Silvestrini R, Bundell CS, Ramanathan S, Abernethy D, Bhuta S, Blum S, Boggild M, Boundy K, Brew BJ, Brownlee W, Butzkueven H, Carroll WM, Chen C, Coulthard A, Dale RC, Das C, Dear K, Fabis-Pedrini MJ, Fulcher D, Gillis D, Hawke S, Heard R, Henderson APD, Heshmat S, Hodgkinson S, Jimenez-Sanchez S, Kilpatrick TJ, King J, Kneebone C, Kornberg AJ, Lechner-Scott J, Lin MW, Lynch C, Macdonnell RAL, Mason DF, McCombe PA, Pereira J, Pollard JD, Reddel SW, Shaw C, Spies J, Stankovich J, Sutton I, Vucic S, Walsh M, Wong RC, Yiu EM, Barnett MH, Kermode AG, Marriott MP, Parratt J, Slee M, Taylor BV, Willoughby E, Wilson RJ, Brilot F, Vincent A, Waters P, Broadley SA (2020) The clinical profile of NMOSD in Australia and New Zealand. J Neurol 267(5):1431-43. </w:t>
      </w:r>
      <w:r w:rsidRPr="00C50373">
        <w:t>https://doi.org/10.1007/s00415-020-09716-4</w:t>
      </w:r>
    </w:p>
    <w:p w14:paraId="0FBDDD3C" w14:textId="4C649B1A" w:rsidR="001C1BFC" w:rsidRPr="001C1BFC" w:rsidRDefault="001C1BFC" w:rsidP="001C1BFC">
      <w:pPr>
        <w:pStyle w:val="EndNoteBibliography"/>
        <w:spacing w:after="0"/>
        <w:ind w:left="720" w:hanging="720"/>
      </w:pPr>
      <w:r w:rsidRPr="001C1BFC">
        <w:lastRenderedPageBreak/>
        <w:t>114.</w:t>
      </w:r>
      <w:r w:rsidRPr="001C1BFC">
        <w:tab/>
        <w:t xml:space="preserve">Jarius S, Ruprecht K, Wildemann B, Kuempfel T, Ringelstein M, Geis C, Kleiter I, Kleinschnitz C, Berthele A, Brettschneider J, Hellwig K, Hemmer B, Linker RA, Lauda F, Mayer CA, Tumani H, Melms A, Trebst C, Stangel M, Marziniak M, Hoffmann F, Schippling S, Faiss JH, Neuhaus O, Ettrich B, Zentner C, Guthke K, Hofstadt-van Oy U, Reuss R, Pellkofer H, Ziemann U, Kern P, Wandinger KP, Bergh FT, Boettcher T, Langel S, Liebetrau M, Rommer PS, Niehaus S, Munch C, Winkelmann A, Zettl UU, Metz I, Veauthier C, Sieb JP, Wilke C, Hartung HP, Aktas O, Paul F (2012) Contrasting disease patterns in seropositive and seronegative neuromyelitis optica: A multicentre study of 175 patients. J Neuroinflammation 9:14. </w:t>
      </w:r>
      <w:r w:rsidRPr="00C50373">
        <w:t>https://doi.org/10.1186/1742-2094-9-14</w:t>
      </w:r>
    </w:p>
    <w:p w14:paraId="6232E499" w14:textId="0497D874" w:rsidR="001C1BFC" w:rsidRPr="001C1BFC" w:rsidRDefault="001C1BFC" w:rsidP="001C1BFC">
      <w:pPr>
        <w:pStyle w:val="EndNoteBibliography"/>
        <w:spacing w:after="0"/>
        <w:ind w:left="720" w:hanging="720"/>
      </w:pPr>
      <w:r w:rsidRPr="001C1BFC">
        <w:t>115.</w:t>
      </w:r>
      <w:r w:rsidRPr="001C1BFC">
        <w:tab/>
        <w:t xml:space="preserve">Nagaishi A, Takagi M, Umemura A, Tanaka M, Kitagawa Y, Matsui M, Nishizawa M, Sakimura K, Tanaka K (2011) Clinical features of neuromyelitis optica in a large Japanese cohort: comparison between phenotypes. J Neurol Neurosurg Psychiatry 82(12):1360-4. </w:t>
      </w:r>
      <w:r w:rsidRPr="00C50373">
        <w:t>https://doi.org/10.1136/jnnp-2011-300403</w:t>
      </w:r>
    </w:p>
    <w:p w14:paraId="50D2C3DF" w14:textId="314AAA87" w:rsidR="001C1BFC" w:rsidRPr="001C1BFC" w:rsidRDefault="001C1BFC" w:rsidP="001C1BFC">
      <w:pPr>
        <w:pStyle w:val="EndNoteBibliography"/>
        <w:spacing w:after="0"/>
        <w:ind w:left="720" w:hanging="720"/>
      </w:pPr>
      <w:r w:rsidRPr="001C1BFC">
        <w:t>116.</w:t>
      </w:r>
      <w:r w:rsidRPr="001C1BFC">
        <w:tab/>
        <w:t xml:space="preserve">Alvarenga MP, Schimidt S, Alvarenga RP (2017) Epidemiology of neuromyelitis optica in Latin America. Mult Scler J Exp Transl Clin 3(3):2055217317730098. </w:t>
      </w:r>
      <w:r w:rsidRPr="00C50373">
        <w:t>https://doi.org/10.1177/2055217317730098</w:t>
      </w:r>
    </w:p>
    <w:p w14:paraId="68EA64CF" w14:textId="4612441B" w:rsidR="001C1BFC" w:rsidRPr="001C1BFC" w:rsidRDefault="001C1BFC" w:rsidP="001C1BFC">
      <w:pPr>
        <w:pStyle w:val="EndNoteBibliography"/>
        <w:spacing w:after="0"/>
        <w:ind w:left="720" w:hanging="720"/>
      </w:pPr>
      <w:r w:rsidRPr="001C1BFC">
        <w:t>117.</w:t>
      </w:r>
      <w:r w:rsidRPr="001C1BFC">
        <w:tab/>
        <w:t xml:space="preserve">Asgari N, Lillevang ST, Skejoe HPB, Kyvik KO (2019) Epidemiology of neuromyelitis optica spectrum disorder in Denmark (1998-2008, 2007-2014). Brain Behav 9(7):e01338. </w:t>
      </w:r>
      <w:r w:rsidRPr="00C50373">
        <w:t>https://doi.org/10.1002/brb3.1338</w:t>
      </w:r>
    </w:p>
    <w:p w14:paraId="5D1ED31D" w14:textId="24E83716" w:rsidR="001C1BFC" w:rsidRPr="001C1BFC" w:rsidRDefault="001C1BFC" w:rsidP="001C1BFC">
      <w:pPr>
        <w:pStyle w:val="EndNoteBibliography"/>
        <w:spacing w:after="0"/>
        <w:ind w:left="720" w:hanging="720"/>
      </w:pPr>
      <w:r w:rsidRPr="001C1BFC">
        <w:t>118.</w:t>
      </w:r>
      <w:r w:rsidRPr="001C1BFC">
        <w:tab/>
        <w:t xml:space="preserve">Ashtari F, Safaei A, Shaygannejad V, Najafi MA, Vesal S (2017) Neuromyelitis optica spectrum disease characteristics in Isfahan, Iran: A cross-sectional study. J Res Med Sci 22:41. </w:t>
      </w:r>
      <w:r w:rsidRPr="00C50373">
        <w:t>https://doi.org/10.4103/1735-1995.202142</w:t>
      </w:r>
    </w:p>
    <w:p w14:paraId="6434D650" w14:textId="438700A1" w:rsidR="001C1BFC" w:rsidRPr="001C1BFC" w:rsidRDefault="001C1BFC" w:rsidP="001C1BFC">
      <w:pPr>
        <w:pStyle w:val="EndNoteBibliography"/>
        <w:spacing w:after="0"/>
        <w:ind w:left="720" w:hanging="720"/>
      </w:pPr>
      <w:r w:rsidRPr="001C1BFC">
        <w:t>119.</w:t>
      </w:r>
      <w:r w:rsidRPr="001C1BFC">
        <w:tab/>
        <w:t xml:space="preserve">Badihian S, Manouchehri N, Mirmosayyeb O, Ashtari F, Shaygannejad V (2018) Neuromyelitis optica spectrum disorder and menstruation. Rev Neurol (Paris) 174(10):716-21. </w:t>
      </w:r>
      <w:r w:rsidRPr="00C50373">
        <w:t>https://doi.org/10.1016/j.neurol.2018.01.373</w:t>
      </w:r>
    </w:p>
    <w:p w14:paraId="6644C4B0" w14:textId="32448BE5" w:rsidR="001C1BFC" w:rsidRPr="001C1BFC" w:rsidRDefault="001C1BFC" w:rsidP="001C1BFC">
      <w:pPr>
        <w:pStyle w:val="EndNoteBibliography"/>
        <w:spacing w:after="0"/>
        <w:ind w:left="720" w:hanging="720"/>
      </w:pPr>
      <w:r w:rsidRPr="001C1BFC">
        <w:lastRenderedPageBreak/>
        <w:t>120.</w:t>
      </w:r>
      <w:r w:rsidRPr="001C1BFC">
        <w:tab/>
        <w:t xml:space="preserve">Bergamaschi R, Ghezzi A (2004) Devic's neuromyelitis optica: clinical features and prognostic factors. Neurol Sci 25 Suppl 4:S364-7. </w:t>
      </w:r>
      <w:r w:rsidRPr="00C50373">
        <w:t>https://doi.org/10.1007/s10072-004-0342-0</w:t>
      </w:r>
    </w:p>
    <w:p w14:paraId="6796FF29" w14:textId="5FB43732" w:rsidR="001C1BFC" w:rsidRPr="001C1BFC" w:rsidRDefault="001C1BFC" w:rsidP="001C1BFC">
      <w:pPr>
        <w:pStyle w:val="EndNoteBibliography"/>
        <w:spacing w:after="0"/>
        <w:ind w:left="720" w:hanging="720"/>
      </w:pPr>
      <w:r w:rsidRPr="001C1BFC">
        <w:t>121.</w:t>
      </w:r>
      <w:r w:rsidRPr="001C1BFC">
        <w:tab/>
        <w:t xml:space="preserve">Bukhari W, Khalilidehkordi E, Mason DF, Barnett MH, Taylor BV, Fabis-Pedrini M, Kermode AG, Subramanian S, Waters P, Broadley SA, Australian, New Zealand NMOC (2022) NMOSD and MS prevalence in the Indigenous populations of Australia and New Zealand. J Neurol 269(2):836-45. </w:t>
      </w:r>
      <w:r w:rsidRPr="00C50373">
        <w:t>https://doi.org/10.1007/s00415-021-10665-9</w:t>
      </w:r>
    </w:p>
    <w:p w14:paraId="48C7569A" w14:textId="43E387B3" w:rsidR="001C1BFC" w:rsidRPr="001C1BFC" w:rsidRDefault="001C1BFC" w:rsidP="001C1BFC">
      <w:pPr>
        <w:pStyle w:val="EndNoteBibliography"/>
        <w:spacing w:after="0"/>
        <w:ind w:left="720" w:hanging="720"/>
      </w:pPr>
      <w:r w:rsidRPr="001C1BFC">
        <w:t>122.</w:t>
      </w:r>
      <w:r w:rsidRPr="001C1BFC">
        <w:tab/>
        <w:t xml:space="preserve">Cabre P, Gonzalez-Quevedo A, Lannuzel A, Bonnan M, Merle H, Olindo S, Chausson N, Lara-Rodriguez R, Smadja D, Cabrera-Gomez J (2009) [Descriptive epidemiology of neuromyelitis optica in the Caribbean basin]. Rev Neurol (Paris) 165(8-9):676-83. </w:t>
      </w:r>
      <w:r w:rsidRPr="00C50373">
        <w:t>https://doi.org/10.1016/j.neurol.2009.02.012</w:t>
      </w:r>
    </w:p>
    <w:p w14:paraId="0D06AB2F" w14:textId="5591579D" w:rsidR="001C1BFC" w:rsidRPr="001C1BFC" w:rsidRDefault="001C1BFC" w:rsidP="001C1BFC">
      <w:pPr>
        <w:pStyle w:val="EndNoteBibliography"/>
        <w:spacing w:after="0"/>
        <w:ind w:left="720" w:hanging="720"/>
      </w:pPr>
      <w:r w:rsidRPr="001C1BFC">
        <w:t>123.</w:t>
      </w:r>
      <w:r w:rsidRPr="001C1BFC">
        <w:tab/>
        <w:t xml:space="preserve">Carnero Contentti E, Daccach Marques V, Soto de Castillo I, Tkachuk V, Lopez PA, Rojas JI (2020) Age at onset correlate with disability in Latin American aquaporin-4-IgG-positive NMOSD patients. Mult Scler Relat Disord 44:102258. </w:t>
      </w:r>
      <w:r w:rsidRPr="00C50373">
        <w:t>https://doi.org/10.1016/j.msard.2020.102258</w:t>
      </w:r>
    </w:p>
    <w:p w14:paraId="02B17C48" w14:textId="38535D68" w:rsidR="001C1BFC" w:rsidRPr="001C1BFC" w:rsidRDefault="001C1BFC" w:rsidP="001C1BFC">
      <w:pPr>
        <w:pStyle w:val="EndNoteBibliography"/>
        <w:spacing w:after="0"/>
        <w:ind w:left="720" w:hanging="720"/>
      </w:pPr>
      <w:r w:rsidRPr="001C1BFC">
        <w:t>124.</w:t>
      </w:r>
      <w:r w:rsidRPr="001C1BFC">
        <w:tab/>
        <w:t xml:space="preserve">Cheng Q, Miao L, Zhang J, Guan YT, Liu ZG, Wang X, Sun XJ, Zhao ZX, Song YJ, Ding XY, Guo ZI, Cheng XJ, Chen SD, Jiang GX, Fredrikson S (2008) Clinical features of patients with multiple sclerosis from a survey in Shanghai, China. Mult Scler 14(5):671-8. </w:t>
      </w:r>
      <w:r w:rsidRPr="00C50373">
        <w:t>https://doi.org/10.1177/1352458507087844</w:t>
      </w:r>
    </w:p>
    <w:p w14:paraId="1744B2FF" w14:textId="69C474A6" w:rsidR="001C1BFC" w:rsidRPr="001C1BFC" w:rsidRDefault="001C1BFC" w:rsidP="001C1BFC">
      <w:pPr>
        <w:pStyle w:val="EndNoteBibliography"/>
        <w:spacing w:after="0"/>
        <w:ind w:left="720" w:hanging="720"/>
      </w:pPr>
      <w:r w:rsidRPr="001C1BFC">
        <w:t>125.</w:t>
      </w:r>
      <w:r w:rsidRPr="001C1BFC">
        <w:tab/>
        <w:t xml:space="preserve">Choy BNK, Ng ALK, Lai JSM (2018) Clinical characteristics of optic neuritis in Hong Kong population: 10-year review. Int Ophthalmol 38(2):557-64. </w:t>
      </w:r>
      <w:r w:rsidRPr="00C50373">
        <w:t>https://doi.org/10.1007/s10792-017-0491-9</w:t>
      </w:r>
    </w:p>
    <w:p w14:paraId="221073F7" w14:textId="280C931E" w:rsidR="001C1BFC" w:rsidRPr="001C1BFC" w:rsidRDefault="001C1BFC" w:rsidP="001C1BFC">
      <w:pPr>
        <w:pStyle w:val="EndNoteBibliography"/>
        <w:spacing w:after="0"/>
        <w:ind w:left="720" w:hanging="720"/>
      </w:pPr>
      <w:r w:rsidRPr="001C1BFC">
        <w:t>126.</w:t>
      </w:r>
      <w:r w:rsidRPr="001C1BFC">
        <w:tab/>
        <w:t xml:space="preserve">Collongues N, Marignier R, Zephir H, Blanc F, Vukusic S, Outteryck O, Fleury M, Ruet A, Borgel F, Thouvenot E, Moreau T, Defer G, Derache N, Pelletier J, Audoin B, Debouverie M, Labauge P, Gout O, Camu W, Brassat D, Brochet B, Vermersch P, Confavreux C, de Seze J (2011) High-risk syndrome for neuromyelitis optica: a </w:t>
      </w:r>
      <w:r w:rsidRPr="001C1BFC">
        <w:lastRenderedPageBreak/>
        <w:t xml:space="preserve">descriptive and comparative study. Mult Scler 17(6):720-4. </w:t>
      </w:r>
      <w:r w:rsidRPr="00C50373">
        <w:t>https://doi.org/10.1177/1352458510396923</w:t>
      </w:r>
    </w:p>
    <w:p w14:paraId="64273097" w14:textId="4AC0D752" w:rsidR="001C1BFC" w:rsidRPr="001C1BFC" w:rsidRDefault="001C1BFC" w:rsidP="001C1BFC">
      <w:pPr>
        <w:pStyle w:val="EndNoteBibliography"/>
        <w:spacing w:after="0"/>
        <w:ind w:left="720" w:hanging="720"/>
      </w:pPr>
      <w:r w:rsidRPr="001C1BFC">
        <w:t>127.</w:t>
      </w:r>
      <w:r w:rsidRPr="001C1BFC">
        <w:tab/>
        <w:t xml:space="preserve">Cristiano E, Patrucco L, Miguez J, Giunta D, Peroni J, Rojas JI (2016) Increasing incidence of multiple sclerosis among women in Buenos Aires: a 22 year health maintenance organization based study. Neurol Sci 37(10):1621-6. </w:t>
      </w:r>
      <w:r w:rsidRPr="00C50373">
        <w:t>https://doi.org/10.1007/s10072-016-2637-3</w:t>
      </w:r>
    </w:p>
    <w:p w14:paraId="032B05EF" w14:textId="41557B7C" w:rsidR="001C1BFC" w:rsidRPr="001C1BFC" w:rsidRDefault="001C1BFC" w:rsidP="001C1BFC">
      <w:pPr>
        <w:pStyle w:val="EndNoteBibliography"/>
        <w:spacing w:after="0"/>
        <w:ind w:left="720" w:hanging="720"/>
      </w:pPr>
      <w:r w:rsidRPr="001C1BFC">
        <w:t>128.</w:t>
      </w:r>
      <w:r w:rsidRPr="001C1BFC">
        <w:tab/>
        <w:t xml:space="preserve">Dale GH, Svendsen KB, Gjelstrup MC, Christensen T, Houen G, Nielsen E, Bek T, Petersen T (2018) Incidence of neuromyelitis optica spectrum disorder in the Central Denmark Region. Acta Neurol Scand 137(6):582-8. </w:t>
      </w:r>
      <w:r w:rsidRPr="00C50373">
        <w:t>https://doi.org/10.1111/ane.12903</w:t>
      </w:r>
    </w:p>
    <w:p w14:paraId="5A4C47C6" w14:textId="1F4EE8F5" w:rsidR="001C1BFC" w:rsidRPr="001C1BFC" w:rsidRDefault="001C1BFC" w:rsidP="001C1BFC">
      <w:pPr>
        <w:pStyle w:val="EndNoteBibliography"/>
        <w:spacing w:after="0"/>
        <w:ind w:left="720" w:hanging="720"/>
      </w:pPr>
      <w:r w:rsidRPr="001C1BFC">
        <w:t>129.</w:t>
      </w:r>
      <w:r w:rsidRPr="001C1BFC">
        <w:tab/>
        <w:t xml:space="preserve">Domingos J, Isidoro L, Figueiredo R, Brum M, Capela C, Barros P, Santos E, Macario Mdo C, Pinto Marques J, Pedrosa R, Vale J, Sa MJ (2015) Neuromyelitis optica in Portugal (NEMIPORT) - A multicentre study. Clin Neurol Neurosurg 134:79-84. </w:t>
      </w:r>
      <w:r w:rsidRPr="00C50373">
        <w:t>https://doi.org/10.1016/j.clineuro.2015.04.001</w:t>
      </w:r>
    </w:p>
    <w:p w14:paraId="6C8455EC" w14:textId="7B733990" w:rsidR="001C1BFC" w:rsidRPr="001C1BFC" w:rsidRDefault="001C1BFC" w:rsidP="001C1BFC">
      <w:pPr>
        <w:pStyle w:val="EndNoteBibliography"/>
        <w:spacing w:after="0"/>
        <w:ind w:left="720" w:hanging="720"/>
      </w:pPr>
      <w:r w:rsidRPr="001C1BFC">
        <w:t>130.</w:t>
      </w:r>
      <w:r w:rsidRPr="001C1BFC">
        <w:tab/>
        <w:t xml:space="preserve">Eskandarieh S, Nedjat S, Abdollahpour I, Moghadasi AN, Azimi AR, Sahraian MA (2017) Comparing epidemiology and baseline characteristic of multiple sclerosis and neuromyelitis optica: A case-control study. Mult Scler Relat Disord 12:39-43. </w:t>
      </w:r>
      <w:r w:rsidRPr="00C50373">
        <w:t>https://doi.org/10.1016/j.msard.2017.01.004</w:t>
      </w:r>
    </w:p>
    <w:p w14:paraId="14DEF6E7" w14:textId="4A8F9982" w:rsidR="001C1BFC" w:rsidRPr="001C1BFC" w:rsidRDefault="001C1BFC" w:rsidP="001C1BFC">
      <w:pPr>
        <w:pStyle w:val="EndNoteBibliography"/>
        <w:spacing w:after="0"/>
        <w:ind w:left="720" w:hanging="720"/>
      </w:pPr>
      <w:r w:rsidRPr="001C1BFC">
        <w:t>131.</w:t>
      </w:r>
      <w:r w:rsidRPr="001C1BFC">
        <w:tab/>
        <w:t xml:space="preserve">Eskandarieh S, Nedjat S, Abdollahpour I, Azimi AR, Moghadasi AN, Asgari N, Sahraian MA (2018) Environmental risk factors in neuromyelitis optica spectrum disorder: a case-control study. Acta Neurol Belg 118(2):277-87. </w:t>
      </w:r>
      <w:r w:rsidRPr="00C50373">
        <w:t>https://doi.org/10.1007/s13760-018-0900-5</w:t>
      </w:r>
    </w:p>
    <w:p w14:paraId="07476DBF" w14:textId="49E487DE" w:rsidR="001C1BFC" w:rsidRPr="001C1BFC" w:rsidRDefault="001C1BFC" w:rsidP="001C1BFC">
      <w:pPr>
        <w:pStyle w:val="EndNoteBibliography"/>
        <w:spacing w:after="0"/>
        <w:ind w:left="720" w:hanging="720"/>
      </w:pPr>
      <w:r w:rsidRPr="001C1BFC">
        <w:t>132.</w:t>
      </w:r>
      <w:r w:rsidRPr="001C1BFC">
        <w:tab/>
        <w:t xml:space="preserve">Etemadifar M, Dashti M, Vosoughi R, Abtahi SH, Ramagopalan SV, Nasr Z (2014) An epidemiological study of neuromyelitis optica in Isfahan. Mult Scler 20(14):1920-2. </w:t>
      </w:r>
      <w:r w:rsidRPr="00C50373">
        <w:t>https://doi.org/10.1177/1352458514537699</w:t>
      </w:r>
    </w:p>
    <w:p w14:paraId="13F70129" w14:textId="77777777" w:rsidR="001C1BFC" w:rsidRPr="001C1BFC" w:rsidRDefault="001C1BFC" w:rsidP="001C1BFC">
      <w:pPr>
        <w:pStyle w:val="EndNoteBibliography"/>
        <w:spacing w:after="0"/>
        <w:ind w:left="720" w:hanging="720"/>
      </w:pPr>
      <w:r w:rsidRPr="001C1BFC">
        <w:t>133.</w:t>
      </w:r>
      <w:r w:rsidRPr="001C1BFC">
        <w:tab/>
        <w:t>Etemadifar M, Mehrbod N, Dehghani L, Golabbakhsh A, Fereidan-Esfahani M, Akbari M, Nasr Z (2014) Prevalence of Lhermitte's sign in multiple sclerosis versus neuromyelitis optica. Iran J Neurol 13(1):50-1. PMC3968359</w:t>
      </w:r>
    </w:p>
    <w:p w14:paraId="54EE5FBF" w14:textId="64E56E65" w:rsidR="001C1BFC" w:rsidRPr="001C1BFC" w:rsidRDefault="001C1BFC" w:rsidP="001C1BFC">
      <w:pPr>
        <w:pStyle w:val="EndNoteBibliography"/>
        <w:spacing w:after="0"/>
        <w:ind w:left="720" w:hanging="720"/>
      </w:pPr>
      <w:r w:rsidRPr="001C1BFC">
        <w:lastRenderedPageBreak/>
        <w:t>134.</w:t>
      </w:r>
      <w:r w:rsidRPr="001C1BFC">
        <w:tab/>
        <w:t xml:space="preserve">Fragoso YD, Sousa NAC, Saad T, Alves-Leon SV, Pimentel MLV, Goncalves MVM, Stella CV, Diniz DS, Santos GC, Gomes S, Adoni T, Anacleto A, Claudino R, Malfetano FR, Winckler TCD, Damasceno A, Eboni ACB, Farinhas JGD, Mota RSS (2019) Clinical Characteristics of Patients With Neuromyelitis Optica Spectrum Disorders With Early Onset. J Child Neurol 34(9):487-90. </w:t>
      </w:r>
      <w:r w:rsidRPr="00C50373">
        <w:t>https://doi.org/10.1177/0883073819842421</w:t>
      </w:r>
    </w:p>
    <w:p w14:paraId="2DD549D4" w14:textId="5D707A32" w:rsidR="001C1BFC" w:rsidRPr="001C1BFC" w:rsidRDefault="001C1BFC" w:rsidP="001C1BFC">
      <w:pPr>
        <w:pStyle w:val="EndNoteBibliography"/>
        <w:spacing w:after="0"/>
        <w:ind w:left="720" w:hanging="720"/>
      </w:pPr>
      <w:r w:rsidRPr="001C1BFC">
        <w:t>135.</w:t>
      </w:r>
      <w:r w:rsidRPr="001C1BFC">
        <w:tab/>
        <w:t xml:space="preserve">Gold SM, Willing A, Leypoldt F, Paul F, Friese MA (2019) Sex differences in autoimmune disorders of the central nervous system. Semin Immunopathol 41(2):177-88. </w:t>
      </w:r>
      <w:r w:rsidRPr="00C50373">
        <w:t>https://doi.org/10.1007/s00281-018-0723-8</w:t>
      </w:r>
    </w:p>
    <w:p w14:paraId="29D8FD25" w14:textId="071525EB" w:rsidR="001C1BFC" w:rsidRPr="001C1BFC" w:rsidRDefault="001C1BFC" w:rsidP="001C1BFC">
      <w:pPr>
        <w:pStyle w:val="EndNoteBibliography"/>
        <w:spacing w:after="0"/>
        <w:ind w:left="720" w:hanging="720"/>
      </w:pPr>
      <w:r w:rsidRPr="001C1BFC">
        <w:t>136.</w:t>
      </w:r>
      <w:r w:rsidRPr="001C1BFC">
        <w:tab/>
        <w:t xml:space="preserve">Hoftberger R, Sepulveda M, Armangue T, Blanco Y, Rostasy K, Calvo AC, Olascoaga J, Ramio-Torrenta L, Reindl M, Benito-Leon J, Casanova B, Arrambide G, Sabater L, Graus F, Dalmau J, Saiz A (2015) Antibodies to MOG and AQP4 in adults with neuromyelitis optica and suspected limited forms of the disease. Mult Scler 21(7):866-74. </w:t>
      </w:r>
      <w:r w:rsidRPr="00C50373">
        <w:t>https://doi.org/10.1177/1352458514555785</w:t>
      </w:r>
    </w:p>
    <w:p w14:paraId="20297138" w14:textId="134C3CF5" w:rsidR="001C1BFC" w:rsidRPr="001C1BFC" w:rsidRDefault="001C1BFC" w:rsidP="001C1BFC">
      <w:pPr>
        <w:pStyle w:val="EndNoteBibliography"/>
        <w:spacing w:after="0"/>
        <w:ind w:left="720" w:hanging="720"/>
      </w:pPr>
      <w:r w:rsidRPr="001C1BFC">
        <w:t>137.</w:t>
      </w:r>
      <w:r w:rsidRPr="001C1BFC">
        <w:tab/>
        <w:t xml:space="preserve">Houzen H, Niino M, Hirotani M, Fukazawa T, Kikuchi S, Tanaka K, Sasaki H (2012) Increased prevalence, incidence, and female predominance of multiple sclerosis in northern Japan. J Neurol Sci 323(1-2):117-22. </w:t>
      </w:r>
      <w:r w:rsidRPr="00C50373">
        <w:t>https://doi.org/10.1016/j.jns.2012.08.032</w:t>
      </w:r>
    </w:p>
    <w:p w14:paraId="79B8F1AD" w14:textId="7488CF65" w:rsidR="001C1BFC" w:rsidRPr="001C1BFC" w:rsidRDefault="001C1BFC" w:rsidP="001C1BFC">
      <w:pPr>
        <w:pStyle w:val="EndNoteBibliography"/>
        <w:spacing w:after="0"/>
        <w:ind w:left="720" w:hanging="720"/>
      </w:pPr>
      <w:r w:rsidRPr="001C1BFC">
        <w:t>138.</w:t>
      </w:r>
      <w:r w:rsidRPr="001C1BFC">
        <w:tab/>
        <w:t xml:space="preserve">Houzen H, Kondo K, Horiuchi K, Niino M (2018) Consistent increase in the prevalence and female ratio of multiple sclerosis over 15 years in northern Japan. Eur J Neurol 25(2):334-9. </w:t>
      </w:r>
      <w:r w:rsidRPr="00C50373">
        <w:t>https://doi.org/10.1111/ene.13506</w:t>
      </w:r>
    </w:p>
    <w:p w14:paraId="7BF2B64E" w14:textId="056976DE" w:rsidR="001C1BFC" w:rsidRPr="001C1BFC" w:rsidRDefault="001C1BFC" w:rsidP="001C1BFC">
      <w:pPr>
        <w:pStyle w:val="EndNoteBibliography"/>
        <w:spacing w:after="0"/>
        <w:ind w:left="720" w:hanging="720"/>
      </w:pPr>
      <w:r w:rsidRPr="001C1BFC">
        <w:t>139.</w:t>
      </w:r>
      <w:r w:rsidRPr="001C1BFC">
        <w:tab/>
        <w:t xml:space="preserve">Jacob A, Panicker J, Lythgoe D, Elsone L, Mutch K, Wilson M, Das K, Boggild M (2013) The epidemiology of neuromyelitis optica amongst adults in the Merseyside county of United Kingdom. J Neurol 260(8):2134-7. </w:t>
      </w:r>
      <w:r w:rsidRPr="00C50373">
        <w:t>https://doi.org/10.1007/s00415-013-6926-y</w:t>
      </w:r>
    </w:p>
    <w:p w14:paraId="0635CA83" w14:textId="3BD751A9" w:rsidR="001C1BFC" w:rsidRPr="001C1BFC" w:rsidRDefault="001C1BFC" w:rsidP="001C1BFC">
      <w:pPr>
        <w:pStyle w:val="EndNoteBibliography"/>
        <w:spacing w:after="0"/>
        <w:ind w:left="720" w:hanging="720"/>
      </w:pPr>
      <w:r w:rsidRPr="001C1BFC">
        <w:t>140.</w:t>
      </w:r>
      <w:r w:rsidRPr="001C1BFC">
        <w:tab/>
        <w:t xml:space="preserve">Jarius S, Frederikson J, Waters P, Paul F, Akman-Demir G, Marignier R, Franciotta D, Ruprecht K, Kuenz B, Rommer P, Kristoferitsch W, Wildemann B, Vincent A </w:t>
      </w:r>
      <w:r w:rsidRPr="001C1BFC">
        <w:lastRenderedPageBreak/>
        <w:t xml:space="preserve">(2010) Frequency and prognostic impact of antibodies to aquaporin-4 in patients with optic neuritis. J Neurol Sci 298(1-2):158-62. </w:t>
      </w:r>
      <w:r w:rsidRPr="00C50373">
        <w:t>https://doi.org/10.1016/j.jns.2010.07.011</w:t>
      </w:r>
    </w:p>
    <w:p w14:paraId="672349CE" w14:textId="144C4578" w:rsidR="001C1BFC" w:rsidRPr="001C1BFC" w:rsidRDefault="001C1BFC" w:rsidP="001C1BFC">
      <w:pPr>
        <w:pStyle w:val="EndNoteBibliography"/>
        <w:spacing w:after="0"/>
        <w:ind w:left="720" w:hanging="720"/>
      </w:pPr>
      <w:r w:rsidRPr="001C1BFC">
        <w:t>141.</w:t>
      </w:r>
      <w:r w:rsidRPr="001C1BFC">
        <w:tab/>
        <w:t xml:space="preserve">Jarius S, Ruprecht K, Kleiter I, Borisow N, Asgari N, Pitarokoili K, Pache F, Stich O, Beume LA, Hummert MW, Trebst C, Ringelstein M, Aktas O, Winkelmann A, Buttmann M, Schwarz A, Zimmermann H, Brandt AU, Franciotta D, Capobianco M, Kuchling J, Haas J, Korporal-Kuhnke M, Lillevang ST, Fechner K, Schanda K, Paul F, Wildemann B, Reindl M, in cooperation with the Neuromyelitis Optica Study G (2016) MOG-IgG in NMO and related disorders: a multicenter study of 50 patients. Part 1: Frequency, syndrome specificity, influence of disease activity, long-term course, association with AQP4-IgG, and origin. J Neuroinflammation 13(1):279. </w:t>
      </w:r>
      <w:r w:rsidRPr="00C50373">
        <w:t>https://doi.org/10.1186/s12974-016-0717-1</w:t>
      </w:r>
    </w:p>
    <w:p w14:paraId="5B71E6F5" w14:textId="60ECA1EC" w:rsidR="001C1BFC" w:rsidRPr="001C1BFC" w:rsidRDefault="001C1BFC" w:rsidP="001C1BFC">
      <w:pPr>
        <w:pStyle w:val="EndNoteBibliography"/>
        <w:spacing w:after="0"/>
        <w:ind w:left="720" w:hanging="720"/>
      </w:pPr>
      <w:r w:rsidRPr="001C1BFC">
        <w:t>142.</w:t>
      </w:r>
      <w:r w:rsidRPr="001C1BFC">
        <w:tab/>
        <w:t xml:space="preserve">Kim SH, Mealy MA, Levy M, Schmidt F, Ruprecht K, Paul F, Ringelstein M, Aktas O, Hartung HP, Asgari N, Tsz-Ching JL, Siritho S, Prayoonwiwat N, Shin HJ, Hyun JW, Han M, Leite MI, Palace J, Kim HJ (2018) Racial differences in neuromyelitis optica spectrum disorder. Neurology 91(22):e2089-e99. </w:t>
      </w:r>
      <w:r w:rsidRPr="00C50373">
        <w:t>https://doi.org/10.1212/WNL.0000000000006574</w:t>
      </w:r>
    </w:p>
    <w:p w14:paraId="6B8E0498" w14:textId="247F45DD" w:rsidR="001C1BFC" w:rsidRPr="001C1BFC" w:rsidRDefault="001C1BFC" w:rsidP="001C1BFC">
      <w:pPr>
        <w:pStyle w:val="EndNoteBibliography"/>
        <w:spacing w:after="0"/>
        <w:ind w:left="720" w:hanging="720"/>
      </w:pPr>
      <w:r w:rsidRPr="001C1BFC">
        <w:t>143.</w:t>
      </w:r>
      <w:r w:rsidRPr="001C1BFC">
        <w:tab/>
        <w:t xml:space="preserve">Kim JE, Park SH, Han K, Kim HJ, Shin DW, Kim SM (2020) Prevalence and incidence of neuromyelitis optica spectrum disorder and multiple sclerosis in Korea. Mult Scler 26(14):1837-44. </w:t>
      </w:r>
      <w:r w:rsidRPr="00C50373">
        <w:t>https://doi.org/10.1177/1352458519888609</w:t>
      </w:r>
    </w:p>
    <w:p w14:paraId="0F2FF43E" w14:textId="527BE579" w:rsidR="001C1BFC" w:rsidRPr="001C1BFC" w:rsidRDefault="001C1BFC" w:rsidP="001C1BFC">
      <w:pPr>
        <w:pStyle w:val="EndNoteBibliography"/>
        <w:spacing w:after="0"/>
        <w:ind w:left="720" w:hanging="720"/>
      </w:pPr>
      <w:r w:rsidRPr="001C1BFC">
        <w:t>144.</w:t>
      </w:r>
      <w:r w:rsidRPr="001C1BFC">
        <w:tab/>
        <w:t xml:space="preserve">Krumbholz M, Hofstadt-van Oy U, Angstwurm K, Kleiter I, Jarius S, Paul F, Aktas O, Buchholz G, Kern P, Straube A, Kumpfel T (2015) Very late-onset neuromyelitis optica spectrum disorder beyond the age of 75. J Neurol 262(5):1379-84. </w:t>
      </w:r>
      <w:r w:rsidRPr="00C50373">
        <w:t>https://doi.org/10.1007/s00415-015-7766-8</w:t>
      </w:r>
    </w:p>
    <w:p w14:paraId="60D30BB6" w14:textId="694F9A32" w:rsidR="001C1BFC" w:rsidRPr="001C1BFC" w:rsidRDefault="001C1BFC" w:rsidP="001C1BFC">
      <w:pPr>
        <w:pStyle w:val="EndNoteBibliography"/>
        <w:spacing w:after="0"/>
        <w:ind w:left="720" w:hanging="720"/>
      </w:pPr>
      <w:r w:rsidRPr="001C1BFC">
        <w:t>145.</w:t>
      </w:r>
      <w:r w:rsidRPr="001C1BFC">
        <w:tab/>
        <w:t xml:space="preserve">Lee JD, Guimond C, Yee IM, Vilarino-Guell C, Wu ZY, Traboulsee AL, Sadovnick AD (2015) Incidence of Multiple Sclerosis and Related Disorders in Asian Populations of British Columbia. Can J Neurol Sci 42(4):235-41. </w:t>
      </w:r>
      <w:r w:rsidRPr="00C50373">
        <w:t>https://doi.org/10.1017/cjn.2015.36</w:t>
      </w:r>
    </w:p>
    <w:p w14:paraId="63AAAF69" w14:textId="73217D61" w:rsidR="001C1BFC" w:rsidRPr="001C1BFC" w:rsidRDefault="001C1BFC" w:rsidP="001C1BFC">
      <w:pPr>
        <w:pStyle w:val="EndNoteBibliography"/>
        <w:spacing w:after="0"/>
        <w:ind w:left="720" w:hanging="720"/>
      </w:pPr>
      <w:r w:rsidRPr="001C1BFC">
        <w:t>146.</w:t>
      </w:r>
      <w:r w:rsidRPr="001C1BFC">
        <w:tab/>
        <w:t xml:space="preserve">Lee HL, Kim JY, Seok JM, Hong YH, Lim NG, Shin HY, Kim BJ, Hwang SY, Min JH, Kim BJ (2020) Prevalence and Incidence of Neuromyelitis Optica Spectrum Disorder </w:t>
      </w:r>
      <w:r w:rsidRPr="001C1BFC">
        <w:lastRenderedPageBreak/>
        <w:t xml:space="preserve">in Korea: Population Based Study. J Korean Med Sci 35(17):e115. </w:t>
      </w:r>
      <w:r w:rsidRPr="00C50373">
        <w:t>https://doi.org/10.3346/jkms.2020.35.e115</w:t>
      </w:r>
    </w:p>
    <w:p w14:paraId="0A976990" w14:textId="2C42AB89" w:rsidR="001C1BFC" w:rsidRPr="001C1BFC" w:rsidRDefault="001C1BFC" w:rsidP="001C1BFC">
      <w:pPr>
        <w:pStyle w:val="EndNoteBibliography"/>
        <w:spacing w:after="0"/>
        <w:ind w:left="720" w:hanging="720"/>
      </w:pPr>
      <w:r w:rsidRPr="001C1BFC">
        <w:t>147.</w:t>
      </w:r>
      <w:r w:rsidRPr="001C1BFC">
        <w:tab/>
        <w:t xml:space="preserve">Li Y, Zhang J, Zhou Y, Xie H, Duan R, Jing L, Yao Y, Teng J, Jia Y (2021) Analysis of Predictive Risk Factors in Aquaporin-4-IgG Positive Highly Active Neuromyelitis Optica Spectrum Disorders. Front Neurol 12:731835. </w:t>
      </w:r>
      <w:r w:rsidRPr="00C50373">
        <w:t>https://doi.org/10.3389/fneur.2021.731835</w:t>
      </w:r>
    </w:p>
    <w:p w14:paraId="5EEBD291" w14:textId="0189DCBC" w:rsidR="001C1BFC" w:rsidRPr="001C1BFC" w:rsidRDefault="001C1BFC" w:rsidP="001C1BFC">
      <w:pPr>
        <w:pStyle w:val="EndNoteBibliography"/>
        <w:spacing w:after="0"/>
        <w:ind w:left="720" w:hanging="720"/>
      </w:pPr>
      <w:r w:rsidRPr="001C1BFC">
        <w:t>148.</w:t>
      </w:r>
      <w:r w:rsidRPr="001C1BFC">
        <w:tab/>
        <w:t xml:space="preserve">Marignier R, Cobo Calvo A, Vukusic S (2017) Neuromyelitis optica and neuromyelitis optica spectrum disorders. Curr Opin Neurol 30(3):208-15. </w:t>
      </w:r>
      <w:r w:rsidRPr="00C50373">
        <w:t>https://doi.org/10.1097/WCO.0000000000000455</w:t>
      </w:r>
    </w:p>
    <w:p w14:paraId="56611843" w14:textId="66C6AC9A" w:rsidR="001C1BFC" w:rsidRPr="001C1BFC" w:rsidRDefault="001C1BFC" w:rsidP="001C1BFC">
      <w:pPr>
        <w:pStyle w:val="EndNoteBibliography"/>
        <w:spacing w:after="0"/>
        <w:ind w:left="720" w:hanging="720"/>
      </w:pPr>
      <w:r w:rsidRPr="001C1BFC">
        <w:t>149.</w:t>
      </w:r>
      <w:r w:rsidRPr="001C1BFC">
        <w:tab/>
        <w:t xml:space="preserve">Mealy MA, Wingerchuk DM, Greenberg BM, Levy M (2012) Epidemiology of neuromyelitis optica in the United States: a multicenter analysis. Arch Neurol 69(9):1176-80. </w:t>
      </w:r>
      <w:r w:rsidRPr="00C50373">
        <w:t>https://doi.org/10.1001/archneurol.2012.314</w:t>
      </w:r>
    </w:p>
    <w:p w14:paraId="4A6BB6B4" w14:textId="2DE8C3A4" w:rsidR="001C1BFC" w:rsidRPr="001C1BFC" w:rsidRDefault="001C1BFC" w:rsidP="001C1BFC">
      <w:pPr>
        <w:pStyle w:val="EndNoteBibliography"/>
        <w:spacing w:after="0"/>
        <w:ind w:left="720" w:hanging="720"/>
      </w:pPr>
      <w:r w:rsidRPr="001C1BFC">
        <w:t>150.</w:t>
      </w:r>
      <w:r w:rsidRPr="001C1BFC">
        <w:tab/>
        <w:t xml:space="preserve">O'Connell K, Hamilton-Shield A, Woodhall M, Messina S, Mariano R, Waters P, Ramdas S, Leite MI, Palace J (2020) Prevalence and incidence of neuromyelitis optica spectrum disorder, aquaporin-4 antibody-positive NMOSD and MOG antibody-positive disease in Oxfordshire, UK. J Neurol Neurosurg Psychiatry 91(10):1126-8. </w:t>
      </w:r>
      <w:r w:rsidRPr="00C50373">
        <w:t>https://doi.org/10.1136/jnnp-2020-323158</w:t>
      </w:r>
    </w:p>
    <w:p w14:paraId="582D9385" w14:textId="620E8328" w:rsidR="001C1BFC" w:rsidRPr="001C1BFC" w:rsidRDefault="001C1BFC" w:rsidP="001C1BFC">
      <w:pPr>
        <w:pStyle w:val="EndNoteBibliography"/>
        <w:spacing w:after="0"/>
        <w:ind w:left="720" w:hanging="720"/>
      </w:pPr>
      <w:r w:rsidRPr="001C1BFC">
        <w:t>151.</w:t>
      </w:r>
      <w:r w:rsidRPr="001C1BFC">
        <w:tab/>
        <w:t xml:space="preserve">Ortiz Salas PA, Gaviria Carrillo M, Cortes Bernal GA, Moreno Medina K, Roa LF, Rodriguez Quintana JH (2022) Neuromyelitis optica spectrum disorder: do patients positive and negative for anti-aquaporin-4 antibodies present distinct entities? A Colombian perspective. Neurologia (Engl Ed) 38(7):504-10. </w:t>
      </w:r>
      <w:r w:rsidRPr="00C50373">
        <w:t>https://doi.org/10.1016/j.nrleng.2020.08.022</w:t>
      </w:r>
    </w:p>
    <w:p w14:paraId="52B026D3" w14:textId="26A2EED8" w:rsidR="001C1BFC" w:rsidRPr="001C1BFC" w:rsidRDefault="001C1BFC" w:rsidP="001C1BFC">
      <w:pPr>
        <w:pStyle w:val="EndNoteBibliography"/>
        <w:spacing w:after="0"/>
        <w:ind w:left="720" w:hanging="720"/>
      </w:pPr>
      <w:r w:rsidRPr="001C1BFC">
        <w:t>152.</w:t>
      </w:r>
      <w:r w:rsidRPr="001C1BFC">
        <w:tab/>
        <w:t xml:space="preserve">Papp V, Illes Z, Magyari M, Koch-Henriksen N, Kant M, Pfleger CC, Roemer SF, Jensen MB, Petersen AE, Nielsen HH, Rosendahl L, Mezei Z, Christensen T, Svendsen K, Hyldgaard Jensen PE, Lydolph MC, Heegaard N, Frederiksen JL, Sellebjerg F, Stenager E, Petersen T (2018) Nationwide prevalence and incidence study of neuromyelitis optica spectrum disorder in Denmark. Neurology 91(24):e2265-e75. </w:t>
      </w:r>
      <w:r w:rsidRPr="00C50373">
        <w:t>https://doi.org/10.1212/WNL.0000000000006645</w:t>
      </w:r>
    </w:p>
    <w:p w14:paraId="6792B06B" w14:textId="6CF022B7" w:rsidR="001C1BFC" w:rsidRPr="001C1BFC" w:rsidRDefault="001C1BFC" w:rsidP="001C1BFC">
      <w:pPr>
        <w:pStyle w:val="EndNoteBibliography"/>
        <w:spacing w:after="0"/>
        <w:ind w:left="720" w:hanging="720"/>
      </w:pPr>
      <w:r w:rsidRPr="001C1BFC">
        <w:lastRenderedPageBreak/>
        <w:t>153.</w:t>
      </w:r>
      <w:r w:rsidRPr="001C1BFC">
        <w:tab/>
        <w:t xml:space="preserve">Park TJ, Kim JH, Kim HJ, Bae JS, Cheong HS, Park BL, Shin HD (2014) Lack of association between AQP4 polymorphisms and risk of inflammatory demyelinating disease in a Korean population. Gene 536(2):302-7. </w:t>
      </w:r>
      <w:r w:rsidRPr="00C50373">
        <w:t>https://doi.org/10.1016/j.gene.2013.12.007</w:t>
      </w:r>
    </w:p>
    <w:p w14:paraId="793F4DC6" w14:textId="5572518D" w:rsidR="001C1BFC" w:rsidRPr="001C1BFC" w:rsidRDefault="001C1BFC" w:rsidP="001C1BFC">
      <w:pPr>
        <w:pStyle w:val="EndNoteBibliography"/>
        <w:spacing w:after="0"/>
        <w:ind w:left="720" w:hanging="720"/>
      </w:pPr>
      <w:r w:rsidRPr="001C1BFC">
        <w:t>154.</w:t>
      </w:r>
      <w:r w:rsidRPr="001C1BFC">
        <w:tab/>
        <w:t xml:space="preserve">Pittock SJ, Lennon VA, Bakshi N, Shen L, McKeon A, Quach H, Briggs FB, Bernstein AL, Schaefer CA, Barcellos LF (2014) Seroprevalence of aquaporin-4-IgG in a northern California population representative cohort of multiple sclerosis. JAMA Neurol 71(11):1433-6. </w:t>
      </w:r>
      <w:r w:rsidRPr="00C50373">
        <w:t>https://doi.org/10.1001/jamaneurol.2014.1581</w:t>
      </w:r>
    </w:p>
    <w:p w14:paraId="5984DBDC" w14:textId="1A0147D0" w:rsidR="001C1BFC" w:rsidRPr="001C1BFC" w:rsidRDefault="001C1BFC" w:rsidP="001C1BFC">
      <w:pPr>
        <w:pStyle w:val="EndNoteBibliography"/>
        <w:spacing w:after="0"/>
        <w:ind w:left="720" w:hanging="720"/>
      </w:pPr>
      <w:r w:rsidRPr="001C1BFC">
        <w:t>155.</w:t>
      </w:r>
      <w:r w:rsidRPr="001C1BFC">
        <w:tab/>
        <w:t xml:space="preserve">Rezaeimanesh N, Sahraian MA, Moghadasi AN, Eskandarieh S (2020) Epidemiology of neuromyelitis optica spectrum disorder in Tehran, Iran: the prevalence, baseline characteristics, and clinical aspects. Neurol Sci 41(9):2647-8. </w:t>
      </w:r>
      <w:r w:rsidRPr="00C50373">
        <w:t>https://doi.org/10.1007/s10072-020-04393-7</w:t>
      </w:r>
    </w:p>
    <w:p w14:paraId="0BF948D5" w14:textId="5C848F19" w:rsidR="001C1BFC" w:rsidRPr="001C1BFC" w:rsidRDefault="001C1BFC" w:rsidP="001C1BFC">
      <w:pPr>
        <w:pStyle w:val="EndNoteBibliography"/>
        <w:spacing w:after="0"/>
        <w:ind w:left="720" w:hanging="720"/>
      </w:pPr>
      <w:r w:rsidRPr="001C1BFC">
        <w:t>156.</w:t>
      </w:r>
      <w:r w:rsidRPr="001C1BFC">
        <w:tab/>
        <w:t xml:space="preserve">Sahraian MA, Moinfar Z, Khorramnia S, Ebrahim MM (2010) Relapsing neuromyelitis optica: demographic and clinical features in Iranian patients. Eur J Neurol 17(6):794-9. </w:t>
      </w:r>
      <w:r w:rsidRPr="00C50373">
        <w:t>https://doi.org/10.1111/j.1468-1331.2009.02928.x</w:t>
      </w:r>
    </w:p>
    <w:p w14:paraId="42FFB2C5" w14:textId="70F97D26" w:rsidR="001C1BFC" w:rsidRPr="001C1BFC" w:rsidRDefault="001C1BFC" w:rsidP="001C1BFC">
      <w:pPr>
        <w:pStyle w:val="EndNoteBibliography"/>
        <w:spacing w:after="0"/>
        <w:ind w:left="720" w:hanging="720"/>
      </w:pPr>
      <w:r w:rsidRPr="001C1BFC">
        <w:t>157.</w:t>
      </w:r>
      <w:r w:rsidRPr="001C1BFC">
        <w:tab/>
        <w:t xml:space="preserve">Saiz A, Zuliani L, Blanco Y, Tavolato B, Giometto B, Graus F, Spanish-Italian NMOSG (2007) Revised diagnostic criteria for neuromyelitis optica (NMO). Application in a series of suspected patients. J Neurol 254(9):1233-7. </w:t>
      </w:r>
      <w:r w:rsidRPr="00C50373">
        <w:t>https://doi.org/10.1007/s00415-007-0509-8</w:t>
      </w:r>
    </w:p>
    <w:p w14:paraId="5E9EC0B8" w14:textId="4890E523" w:rsidR="001C1BFC" w:rsidRPr="001C1BFC" w:rsidRDefault="001C1BFC" w:rsidP="001C1BFC">
      <w:pPr>
        <w:pStyle w:val="EndNoteBibliography"/>
        <w:spacing w:after="0"/>
        <w:ind w:left="720" w:hanging="720"/>
      </w:pPr>
      <w:r w:rsidRPr="001C1BFC">
        <w:t>158.</w:t>
      </w:r>
      <w:r w:rsidRPr="001C1BFC">
        <w:tab/>
        <w:t xml:space="preserve">Sepulveda M, Aldea M, Escudero D, Llufriu S, Arrambide G, Otero-Romero S, Sastre-Garriga J, Romero-Pinel L, Martinez-Yelamos S, Sola-Valls N, Armangue T, Sotoca J, Escartin A, Robles-Cedeno R, Ramio-Torrenta L, Presas-Rodriguez S, Ramo-Tello C, Munteis E, Pelayo R, Gubieras L, Brieva L, Ortiz N, Hervas M, Mane-Martinez MA, Cano A, Vela E, Tintore M, Blanco Y, Montalban X, Graus F, Saiz A (2018) Epidemiology of NMOSD in Catalonia: Influence of the new 2015 criteria in incidence and prevalence estimates. Mult Scler 24(14):1843-51. </w:t>
      </w:r>
      <w:r w:rsidRPr="00C50373">
        <w:t>https://doi.org/10.1177/1352458517735191</w:t>
      </w:r>
    </w:p>
    <w:p w14:paraId="7E06A90E" w14:textId="1005987F" w:rsidR="001C1BFC" w:rsidRPr="001C1BFC" w:rsidRDefault="001C1BFC" w:rsidP="001C1BFC">
      <w:pPr>
        <w:pStyle w:val="EndNoteBibliography"/>
        <w:spacing w:after="0"/>
        <w:ind w:left="720" w:hanging="720"/>
      </w:pPr>
      <w:r w:rsidRPr="001C1BFC">
        <w:lastRenderedPageBreak/>
        <w:t>159.</w:t>
      </w:r>
      <w:r w:rsidRPr="001C1BFC">
        <w:tab/>
        <w:t xml:space="preserve">Simaniv TO, Kochergin IA, Zakharova MN, Korobko DS, Zaslavskii LG, Zelenova OV, Abramov SI (2021) [Clinical and epidemiological aspects of neuromyelitis optic spectrum diseases in the russian population]. Zh Nevrol Psikhiatr Im S S Korsakova 121(7):96-103. </w:t>
      </w:r>
      <w:r w:rsidRPr="00C50373">
        <w:t>https://doi.org/10.17116/jnevro202112107196</w:t>
      </w:r>
    </w:p>
    <w:p w14:paraId="09DE1C93" w14:textId="637E0968" w:rsidR="001C1BFC" w:rsidRPr="001C1BFC" w:rsidRDefault="001C1BFC" w:rsidP="001C1BFC">
      <w:pPr>
        <w:pStyle w:val="EndNoteBibliography"/>
        <w:spacing w:after="0"/>
        <w:ind w:left="720" w:hanging="720"/>
      </w:pPr>
      <w:r w:rsidRPr="001C1BFC">
        <w:t>160.</w:t>
      </w:r>
      <w:r w:rsidRPr="001C1BFC">
        <w:tab/>
        <w:t xml:space="preserve">Vanikieti K, Poonyathalang A, Jindahra P, Bouzika P, Rizzo JF, 3rd, Cestari DM (2017) Clinical characteristics and long-term visual outcome of optic neuritis in neuromyelitis optica spectrum disorder: A comparison between Thai and American-Caucasian cohorts. Mult Scler Relat Disord 17:87-91. </w:t>
      </w:r>
      <w:r w:rsidRPr="00C50373">
        <w:t>https://doi.org/10.1016/j.msard.2017.07.013</w:t>
      </w:r>
    </w:p>
    <w:p w14:paraId="0B8100D2" w14:textId="50F1465F" w:rsidR="001C1BFC" w:rsidRPr="001C1BFC" w:rsidRDefault="001C1BFC" w:rsidP="001C1BFC">
      <w:pPr>
        <w:pStyle w:val="EndNoteBibliography"/>
        <w:spacing w:after="0"/>
        <w:ind w:left="720" w:hanging="720"/>
      </w:pPr>
      <w:r w:rsidRPr="001C1BFC">
        <w:t>161.</w:t>
      </w:r>
      <w:r w:rsidRPr="001C1BFC">
        <w:tab/>
        <w:t xml:space="preserve">Wang H, Dai Y, Qiu W, Zhong X, Wu A, Wang Y, Lu Z, Bao J, Hu X (2011) HLA-DPB1 0501 is associated with susceptibility to anti-aquaporin-4 antibodies positive neuromyelitis optica in southern Han Chinese. J Neuroimmunol 233(1-2):181-4. </w:t>
      </w:r>
      <w:r w:rsidRPr="00C50373">
        <w:t>https://doi.org/10.1016/j.jneuroim.2010.11.004</w:t>
      </w:r>
    </w:p>
    <w:p w14:paraId="3AB3D233" w14:textId="77777777" w:rsidR="001C1BFC" w:rsidRPr="001C1BFC" w:rsidRDefault="001C1BFC" w:rsidP="001C1BFC">
      <w:pPr>
        <w:pStyle w:val="EndNoteBibliography"/>
        <w:spacing w:after="0"/>
        <w:ind w:left="720" w:hanging="720"/>
      </w:pPr>
      <w:r w:rsidRPr="001C1BFC">
        <w:t>162.</w:t>
      </w:r>
      <w:r w:rsidRPr="001C1BFC">
        <w:tab/>
        <w:t>Mumford CJ, Fraser MB, Wood NW, Compston DA (1992) Multiple sclerosis in the Cambridge health district of east Anglia. J Neurol Neurosurg Psychiatry 55(10):877-82. 1015180</w:t>
      </w:r>
    </w:p>
    <w:p w14:paraId="297FA542" w14:textId="62CF0DC1" w:rsidR="001C1BFC" w:rsidRPr="001C1BFC" w:rsidRDefault="001C1BFC" w:rsidP="001C1BFC">
      <w:pPr>
        <w:pStyle w:val="EndNoteBibliography"/>
        <w:spacing w:after="0"/>
        <w:ind w:left="720" w:hanging="720"/>
      </w:pPr>
      <w:r w:rsidRPr="001C1BFC">
        <w:t>163.</w:t>
      </w:r>
      <w:r w:rsidRPr="001C1BFC">
        <w:tab/>
        <w:t xml:space="preserve">Nakamura M, Ogawa R, Fujimori J, Uzawa A, Sato Y, Nagashima K, Kuriyama N, Kuwabara S, Nakashima I (2023) Epidemiological and clinical characteristics of myelin oligodendrocyte glycoprotein antibody-associated disease in a nationwide survey. Mult Scler 29(4-5):530-9. </w:t>
      </w:r>
      <w:r w:rsidRPr="00C50373">
        <w:t>https://doi.org/10.1177/13524585231156736</w:t>
      </w:r>
    </w:p>
    <w:p w14:paraId="14F1BB70" w14:textId="7AD864FE" w:rsidR="001C1BFC" w:rsidRPr="001C1BFC" w:rsidRDefault="001C1BFC" w:rsidP="001C1BFC">
      <w:pPr>
        <w:pStyle w:val="EndNoteBibliography"/>
        <w:spacing w:after="0"/>
        <w:ind w:left="720" w:hanging="720"/>
      </w:pPr>
      <w:r w:rsidRPr="001C1BFC">
        <w:t>164.</w:t>
      </w:r>
      <w:r w:rsidRPr="001C1BFC">
        <w:tab/>
        <w:t xml:space="preserve">Trojano M, Lucchese G, Graziano G, Taylor BV, Simpson S, Jr., Lepore V, Grand'maison F, Duquette P, Izquierdo G, Grammond P, Amato MP, Bergamaschi R, Giuliani G, Boz C, Hupperts R, Van Pesch V, Lechner-Scott J, Cristiano E, Fiol M, Oreja-Guevara C, Saladino ML, Verheul F, Slee M, Paolicelli D, Tortorella C, D'Onghia M, Iaffaldano P, Direnzo V, Butzkueven H, Group MSS, the New Zealand MSPSG (2012) Geographical variations in sex ratio trends over time in multiple sclerosis. PLoS One 7(10):e48078. </w:t>
      </w:r>
      <w:r w:rsidRPr="00C50373">
        <w:t>https://doi.org/10.1371/journal.pone.0048078</w:t>
      </w:r>
    </w:p>
    <w:p w14:paraId="7AF25CC0" w14:textId="23A509A1" w:rsidR="001C1BFC" w:rsidRPr="001C1BFC" w:rsidRDefault="001C1BFC" w:rsidP="001C1BFC">
      <w:pPr>
        <w:pStyle w:val="EndNoteBibliography"/>
        <w:spacing w:after="0"/>
        <w:ind w:left="720" w:hanging="720"/>
      </w:pPr>
      <w:r w:rsidRPr="001C1BFC">
        <w:lastRenderedPageBreak/>
        <w:t>165.</w:t>
      </w:r>
      <w:r w:rsidRPr="001C1BFC">
        <w:tab/>
        <w:t xml:space="preserve">Silcocks PB, Jenner DA, Reza R (2001) Life expectancy as a summary of mortality in a population: statistical considerations and suitability for use by health authorities. J Epidemiol Community Health 55(1):38-43. </w:t>
      </w:r>
      <w:r w:rsidRPr="00C50373">
        <w:t>https://doi.org/10.1136/jech.55.1.38</w:t>
      </w:r>
    </w:p>
    <w:p w14:paraId="0261A5AF" w14:textId="5B99885B" w:rsidR="001C1BFC" w:rsidRPr="001C1BFC" w:rsidRDefault="001C1BFC" w:rsidP="001C1BFC">
      <w:pPr>
        <w:pStyle w:val="EndNoteBibliography"/>
        <w:spacing w:after="0"/>
        <w:ind w:left="720" w:hanging="720"/>
      </w:pPr>
      <w:r w:rsidRPr="001C1BFC">
        <w:t>166.</w:t>
      </w:r>
      <w:r w:rsidRPr="001C1BFC">
        <w:tab/>
        <w:t xml:space="preserve">Rider V, Abdou NI, Kimler BF, Lu N, Brown S, Fridley BL (2018) Gender Bias in Human Systemic Lupus Erythematosus: A Problem of Steroid Receptor Action? Front Immunol 9:611. </w:t>
      </w:r>
      <w:r w:rsidRPr="00C50373">
        <w:t>https://doi.org/10.3389/fimmu.2018.00611</w:t>
      </w:r>
    </w:p>
    <w:p w14:paraId="5416547E" w14:textId="40DE6302" w:rsidR="001C1BFC" w:rsidRPr="001C1BFC" w:rsidRDefault="001C1BFC" w:rsidP="001C1BFC">
      <w:pPr>
        <w:pStyle w:val="EndNoteBibliography"/>
        <w:spacing w:after="0"/>
        <w:ind w:left="720" w:hanging="720"/>
      </w:pPr>
      <w:r w:rsidRPr="001C1BFC">
        <w:t>167.</w:t>
      </w:r>
      <w:r w:rsidRPr="001C1BFC">
        <w:tab/>
        <w:t xml:space="preserve">Kvarnstrom M, Ottosson V, Nordmark B, Wahren-Herlenius M (2015) Incident cases of primary Sjogren's syndrome during a 5-year period in Stockholm County: a descriptive study of the patients and their characteristics. Scand J Rheumatol 44(2):135-42. </w:t>
      </w:r>
      <w:r w:rsidRPr="00C50373">
        <w:t>https://doi.org/10.3109/03009742.2014.931457</w:t>
      </w:r>
    </w:p>
    <w:p w14:paraId="0033FF6D" w14:textId="199DF9C4" w:rsidR="001C1BFC" w:rsidRPr="001C1BFC" w:rsidRDefault="001C1BFC" w:rsidP="001C1BFC">
      <w:pPr>
        <w:pStyle w:val="EndNoteBibliography"/>
        <w:spacing w:after="0"/>
        <w:ind w:left="720" w:hanging="720"/>
      </w:pPr>
      <w:r w:rsidRPr="001C1BFC">
        <w:t>168.</w:t>
      </w:r>
      <w:r w:rsidRPr="001C1BFC">
        <w:tab/>
        <w:t xml:space="preserve">Pittock SJ, Lennon VA, de Seze J, Vermersch P, Homburger HA, Wingerchuk DM, Lucchinetti CF, Zephir H, Moder K, Weinshenker BG (2008) Neuromyelitis optica and non organ-specific autoimmunity. Arch Neurol 65(1):78-83. </w:t>
      </w:r>
      <w:r w:rsidRPr="00C50373">
        <w:t>https://doi.org/10.1001/archneurol.2007.17</w:t>
      </w:r>
    </w:p>
    <w:p w14:paraId="135B2BCF" w14:textId="11DB2126" w:rsidR="001C1BFC" w:rsidRPr="001C1BFC" w:rsidRDefault="001C1BFC" w:rsidP="001C1BFC">
      <w:pPr>
        <w:pStyle w:val="EndNoteBibliography"/>
        <w:spacing w:after="0"/>
        <w:ind w:left="720" w:hanging="720"/>
      </w:pPr>
      <w:r w:rsidRPr="001C1BFC">
        <w:t>169.</w:t>
      </w:r>
      <w:r w:rsidRPr="001C1BFC">
        <w:tab/>
        <w:t xml:space="preserve">Desai MK, Brinton RD (2019) Autoimmune Disease in Women: Endocrine Transition and Risk Across the Lifespan. Front Endocrinol (Lausanne) 10:265. </w:t>
      </w:r>
      <w:r w:rsidRPr="00C50373">
        <w:t>https://doi.org/10.3389/fendo.2019.00265</w:t>
      </w:r>
    </w:p>
    <w:p w14:paraId="0B01772A" w14:textId="1277406D" w:rsidR="001C1BFC" w:rsidRPr="001C1BFC" w:rsidRDefault="001C1BFC" w:rsidP="001C1BFC">
      <w:pPr>
        <w:pStyle w:val="EndNoteBibliography"/>
        <w:spacing w:after="0"/>
        <w:ind w:left="720" w:hanging="720"/>
      </w:pPr>
      <w:r w:rsidRPr="001C1BFC">
        <w:t>170.</w:t>
      </w:r>
      <w:r w:rsidRPr="001C1BFC">
        <w:tab/>
        <w:t xml:space="preserve">Romero-Pinel L, Bau L, Matas E, Leon I, Munoz-Vendrell A, Arroyo P, Masuet-Aumatell C, Martinez-Yelamos A, Martinez-Yelamos S (2022) The age at onset of relapsing-remitting multiple sclerosis has increased over the last five decades. Mult Scler Relat Disord 68:104103. </w:t>
      </w:r>
      <w:r w:rsidRPr="00C50373">
        <w:t>https://doi.org/10.1016/j.msard.2022.104103</w:t>
      </w:r>
    </w:p>
    <w:p w14:paraId="42D92915" w14:textId="01FF4F91" w:rsidR="001C1BFC" w:rsidRPr="001C1BFC" w:rsidRDefault="001C1BFC" w:rsidP="001C1BFC">
      <w:pPr>
        <w:pStyle w:val="EndNoteBibliography"/>
        <w:spacing w:after="0"/>
        <w:ind w:left="720" w:hanging="720"/>
      </w:pPr>
      <w:r w:rsidRPr="001C1BFC">
        <w:t>171.</w:t>
      </w:r>
      <w:r w:rsidRPr="001C1BFC">
        <w:tab/>
        <w:t xml:space="preserve">Hooge JP, Redekop WK (1992) Multiple sclerosis with very late onset. Neurology 42(10):1907-10. </w:t>
      </w:r>
      <w:r w:rsidRPr="00C50373">
        <w:t>https://doi.org/10.1212/wnl.42.10.1907</w:t>
      </w:r>
    </w:p>
    <w:p w14:paraId="6D233915" w14:textId="3E0FDE8A" w:rsidR="001C1BFC" w:rsidRPr="001C1BFC" w:rsidRDefault="001C1BFC" w:rsidP="001C1BFC">
      <w:pPr>
        <w:pStyle w:val="EndNoteBibliography"/>
        <w:spacing w:after="0"/>
        <w:ind w:left="720" w:hanging="720"/>
      </w:pPr>
      <w:r w:rsidRPr="001C1BFC">
        <w:t>172.</w:t>
      </w:r>
      <w:r w:rsidRPr="001C1BFC">
        <w:tab/>
        <w:t xml:space="preserve">Bermel RA, Rae-Grant AD, Fox RJ (2010) Diagnosing multiple sclerosis at a later age: more than just progressive myelopathy. Mult Scler 16(11):1335-40. </w:t>
      </w:r>
      <w:r w:rsidRPr="00C50373">
        <w:t>https://doi.org/10.1177/1352458510377334</w:t>
      </w:r>
    </w:p>
    <w:p w14:paraId="4CF94BEC" w14:textId="1B6BA8F8" w:rsidR="001C1BFC" w:rsidRPr="001C1BFC" w:rsidRDefault="001C1BFC" w:rsidP="001C1BFC">
      <w:pPr>
        <w:pStyle w:val="EndNoteBibliography"/>
        <w:spacing w:after="0"/>
        <w:ind w:left="720" w:hanging="720"/>
      </w:pPr>
      <w:r w:rsidRPr="001C1BFC">
        <w:lastRenderedPageBreak/>
        <w:t>173.</w:t>
      </w:r>
      <w:r w:rsidRPr="001C1BFC">
        <w:tab/>
        <w:t xml:space="preserve">McGrogan A, Madle GC, Seaman HE, de Vries CS (2009) The epidemiology of Guillain-Barre syndrome worldwide. A systematic literature review. Neuroepidemiology 32(2):150-63. </w:t>
      </w:r>
      <w:r w:rsidRPr="00C50373">
        <w:t>https://doi.org/10.1159/000184748</w:t>
      </w:r>
    </w:p>
    <w:p w14:paraId="16084A46" w14:textId="6918AE78" w:rsidR="001C1BFC" w:rsidRPr="001C1BFC" w:rsidRDefault="001C1BFC" w:rsidP="001C1BFC">
      <w:pPr>
        <w:pStyle w:val="EndNoteBibliography"/>
        <w:spacing w:after="0"/>
        <w:ind w:left="720" w:hanging="720"/>
      </w:pPr>
      <w:r w:rsidRPr="001C1BFC">
        <w:t>174.</w:t>
      </w:r>
      <w:r w:rsidRPr="001C1BFC">
        <w:tab/>
        <w:t xml:space="preserve">Childs B, Scriver CR (1986) Age at onset and causes of disease. Perspect Biol Med 29(3):437-60. </w:t>
      </w:r>
      <w:r w:rsidRPr="00C50373">
        <w:t>https://doi.org/10.1353/pbm.1986.0056</w:t>
      </w:r>
    </w:p>
    <w:p w14:paraId="1CFF8B3E" w14:textId="36453E89" w:rsidR="001C1BFC" w:rsidRPr="001C1BFC" w:rsidRDefault="001C1BFC" w:rsidP="001C1BFC">
      <w:pPr>
        <w:pStyle w:val="EndNoteBibliography"/>
        <w:spacing w:after="0"/>
        <w:ind w:left="720" w:hanging="720"/>
      </w:pPr>
      <w:r w:rsidRPr="001C1BFC">
        <w:t>175.</w:t>
      </w:r>
      <w:r w:rsidRPr="001C1BFC">
        <w:tab/>
        <w:t xml:space="preserve">Lee JY, Chitnis T (2016) Pediatric Multiple Sclerosis. Semin Neurol 36(2):148-53. </w:t>
      </w:r>
      <w:r w:rsidRPr="00C50373">
        <w:t>https://doi.org/10.1055/s-0036-1579738</w:t>
      </w:r>
    </w:p>
    <w:p w14:paraId="24AB23DB" w14:textId="1C34F795" w:rsidR="001C1BFC" w:rsidRPr="001C1BFC" w:rsidRDefault="001C1BFC" w:rsidP="001C1BFC">
      <w:pPr>
        <w:pStyle w:val="EndNoteBibliography"/>
        <w:ind w:left="720" w:hanging="720"/>
      </w:pPr>
      <w:r w:rsidRPr="001C1BFC">
        <w:t>176.</w:t>
      </w:r>
      <w:r w:rsidRPr="001C1BFC">
        <w:tab/>
        <w:t xml:space="preserve">Li Y, Xie H, Zhang J, Zhou Y, Jing L, Yao Y, Duan R, Jia Y (2021) Clinical and Radiological Characteristics of Children and Adults With First-Attack Myelin Oligodendrocyte Glycoprotein Antibody Disease and Analysis of Risk Factors for Predicting the Severity at Disease Onset in Central China. Front Immunol 12:752557. </w:t>
      </w:r>
      <w:r w:rsidRPr="00C50373">
        <w:t>https://doi.org/10.3389/fimmu.2021.752557</w:t>
      </w:r>
    </w:p>
    <w:p w14:paraId="32AB4A4E" w14:textId="60C3B26B" w:rsidR="00CD67EC" w:rsidRPr="00CD67EC" w:rsidRDefault="00CD67EC" w:rsidP="008A7603">
      <w:pPr>
        <w:spacing w:after="0" w:line="480" w:lineRule="auto"/>
        <w:rPr>
          <w:rFonts w:ascii="Arial" w:hAnsi="Arial" w:cs="Arial"/>
        </w:rPr>
      </w:pPr>
    </w:p>
    <w:sectPr w:rsidR="00CD67EC" w:rsidRPr="00CD67EC" w:rsidSect="003F26DF">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ldhabi">
    <w:charset w:val="B2"/>
    <w:family w:val="auto"/>
    <w:pitch w:val="variable"/>
    <w:sig w:usb0="80002007"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34F19"/>
    <w:multiLevelType w:val="hybridMultilevel"/>
    <w:tmpl w:val="9AFC55AC"/>
    <w:lvl w:ilvl="0" w:tplc="2A9E6992">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CF7995"/>
    <w:multiLevelType w:val="hybridMultilevel"/>
    <w:tmpl w:val="A45840BA"/>
    <w:lvl w:ilvl="0" w:tplc="52E45D38">
      <w:start w:val="23"/>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546050A"/>
    <w:multiLevelType w:val="hybridMultilevel"/>
    <w:tmpl w:val="E116C172"/>
    <w:lvl w:ilvl="0" w:tplc="7ABE5D04">
      <w:numFmt w:val="bullet"/>
      <w:lvlText w:val=""/>
      <w:lvlJc w:val="left"/>
      <w:pPr>
        <w:ind w:left="720" w:hanging="360"/>
      </w:pPr>
      <w:rPr>
        <w:rFonts w:ascii="Symbol" w:eastAsia="Times New Roman" w:hAnsi="Symbol" w:cs="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95365FF"/>
    <w:multiLevelType w:val="hybridMultilevel"/>
    <w:tmpl w:val="5A5252A6"/>
    <w:lvl w:ilvl="0" w:tplc="DB58748A">
      <w:start w:val="59"/>
      <w:numFmt w:val="bullet"/>
      <w:lvlText w:val=""/>
      <w:lvlJc w:val="left"/>
      <w:pPr>
        <w:ind w:left="720" w:hanging="360"/>
      </w:pPr>
      <w:rPr>
        <w:rFonts w:ascii="Symbol" w:eastAsiaTheme="minorHAnsi" w:hAnsi="Symbol" w:cs="Aldhab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 Neurology DOI&lt;/Style&gt;&lt;LeftDelim&gt;{&lt;/LeftDelim&gt;&lt;RightDelim&gt;}&lt;/RightDelim&gt;&lt;FontName&gt;Arial&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swerx2efj92ze5e2xvzvd9tiezprzr52xtwf&quot;&gt;Neurology-Converted Copy-Saved&lt;record-ids&gt;&lt;item&gt;1382&lt;/item&gt;&lt;item&gt;1383&lt;/item&gt;&lt;item&gt;1413&lt;/item&gt;&lt;item&gt;1415&lt;/item&gt;&lt;item&gt;1421&lt;/item&gt;&lt;item&gt;1422&lt;/item&gt;&lt;item&gt;1527&lt;/item&gt;&lt;item&gt;1596&lt;/item&gt;&lt;item&gt;2720&lt;/item&gt;&lt;item&gt;2731&lt;/item&gt;&lt;item&gt;2732&lt;/item&gt;&lt;item&gt;2733&lt;/item&gt;&lt;item&gt;2734&lt;/item&gt;&lt;item&gt;2735&lt;/item&gt;&lt;item&gt;2736&lt;/item&gt;&lt;item&gt;2737&lt;/item&gt;&lt;item&gt;2738&lt;/item&gt;&lt;item&gt;2740&lt;/item&gt;&lt;item&gt;2742&lt;/item&gt;&lt;item&gt;2746&lt;/item&gt;&lt;item&gt;2748&lt;/item&gt;&lt;item&gt;2749&lt;/item&gt;&lt;item&gt;2750&lt;/item&gt;&lt;item&gt;2753&lt;/item&gt;&lt;item&gt;2760&lt;/item&gt;&lt;item&gt;2764&lt;/item&gt;&lt;item&gt;2765&lt;/item&gt;&lt;item&gt;2766&lt;/item&gt;&lt;item&gt;2771&lt;/item&gt;&lt;item&gt;2779&lt;/item&gt;&lt;item&gt;2860&lt;/item&gt;&lt;item&gt;2870&lt;/item&gt;&lt;item&gt;2884&lt;/item&gt;&lt;item&gt;2896&lt;/item&gt;&lt;item&gt;3018&lt;/item&gt;&lt;item&gt;3020&lt;/item&gt;&lt;item&gt;3025&lt;/item&gt;&lt;item&gt;3035&lt;/item&gt;&lt;item&gt;3036&lt;/item&gt;&lt;item&gt;3086&lt;/item&gt;&lt;item&gt;3090&lt;/item&gt;&lt;item&gt;3192&lt;/item&gt;&lt;item&gt;3193&lt;/item&gt;&lt;item&gt;3195&lt;/item&gt;&lt;item&gt;3196&lt;/item&gt;&lt;item&gt;3210&lt;/item&gt;&lt;item&gt;3226&lt;/item&gt;&lt;item&gt;3227&lt;/item&gt;&lt;item&gt;3245&lt;/item&gt;&lt;item&gt;3278&lt;/item&gt;&lt;item&gt;3413&lt;/item&gt;&lt;item&gt;3530&lt;/item&gt;&lt;item&gt;3552&lt;/item&gt;&lt;item&gt;3848&lt;/item&gt;&lt;item&gt;3849&lt;/item&gt;&lt;item&gt;3850&lt;/item&gt;&lt;item&gt;3851&lt;/item&gt;&lt;item&gt;3854&lt;/item&gt;&lt;item&gt;3855&lt;/item&gt;&lt;item&gt;3857&lt;/item&gt;&lt;item&gt;3858&lt;/item&gt;&lt;item&gt;3859&lt;/item&gt;&lt;item&gt;3860&lt;/item&gt;&lt;item&gt;3861&lt;/item&gt;&lt;item&gt;3862&lt;/item&gt;&lt;item&gt;3863&lt;/item&gt;&lt;item&gt;3864&lt;/item&gt;&lt;item&gt;3866&lt;/item&gt;&lt;item&gt;3867&lt;/item&gt;&lt;item&gt;3868&lt;/item&gt;&lt;item&gt;3869&lt;/item&gt;&lt;item&gt;3870&lt;/item&gt;&lt;item&gt;3871&lt;/item&gt;&lt;item&gt;3872&lt;/item&gt;&lt;item&gt;3873&lt;/item&gt;&lt;item&gt;3874&lt;/item&gt;&lt;item&gt;3875&lt;/item&gt;&lt;item&gt;3876&lt;/item&gt;&lt;item&gt;3877&lt;/item&gt;&lt;item&gt;3878&lt;/item&gt;&lt;item&gt;3879&lt;/item&gt;&lt;item&gt;3880&lt;/item&gt;&lt;item&gt;3881&lt;/item&gt;&lt;item&gt;3882&lt;/item&gt;&lt;item&gt;3883&lt;/item&gt;&lt;item&gt;3884&lt;/item&gt;&lt;item&gt;3885&lt;/item&gt;&lt;item&gt;3886&lt;/item&gt;&lt;item&gt;3887&lt;/item&gt;&lt;item&gt;3888&lt;/item&gt;&lt;item&gt;3889&lt;/item&gt;&lt;item&gt;3890&lt;/item&gt;&lt;item&gt;3892&lt;/item&gt;&lt;item&gt;3893&lt;/item&gt;&lt;item&gt;3894&lt;/item&gt;&lt;item&gt;3895&lt;/item&gt;&lt;item&gt;3896&lt;/item&gt;&lt;item&gt;3897&lt;/item&gt;&lt;item&gt;3898&lt;/item&gt;&lt;item&gt;3899&lt;/item&gt;&lt;item&gt;3900&lt;/item&gt;&lt;item&gt;3901&lt;/item&gt;&lt;item&gt;3902&lt;/item&gt;&lt;item&gt;3903&lt;/item&gt;&lt;item&gt;3904&lt;/item&gt;&lt;item&gt;3905&lt;/item&gt;&lt;item&gt;3906&lt;/item&gt;&lt;item&gt;3907&lt;/item&gt;&lt;item&gt;3908&lt;/item&gt;&lt;item&gt;3909&lt;/item&gt;&lt;item&gt;3910&lt;/item&gt;&lt;item&gt;3911&lt;/item&gt;&lt;item&gt;3912&lt;/item&gt;&lt;item&gt;3913&lt;/item&gt;&lt;item&gt;3914&lt;/item&gt;&lt;item&gt;3915&lt;/item&gt;&lt;item&gt;3916&lt;/item&gt;&lt;item&gt;3917&lt;/item&gt;&lt;item&gt;3918&lt;/item&gt;&lt;item&gt;3919&lt;/item&gt;&lt;item&gt;3921&lt;/item&gt;&lt;item&gt;3922&lt;/item&gt;&lt;item&gt;3923&lt;/item&gt;&lt;item&gt;3924&lt;/item&gt;&lt;item&gt;3926&lt;/item&gt;&lt;item&gt;3927&lt;/item&gt;&lt;item&gt;3928&lt;/item&gt;&lt;item&gt;3929&lt;/item&gt;&lt;item&gt;3931&lt;/item&gt;&lt;item&gt;3934&lt;/item&gt;&lt;item&gt;3935&lt;/item&gt;&lt;item&gt;3936&lt;/item&gt;&lt;item&gt;3937&lt;/item&gt;&lt;item&gt;3938&lt;/item&gt;&lt;item&gt;3939&lt;/item&gt;&lt;item&gt;3940&lt;/item&gt;&lt;item&gt;3942&lt;/item&gt;&lt;item&gt;3943&lt;/item&gt;&lt;item&gt;3944&lt;/item&gt;&lt;item&gt;3945&lt;/item&gt;&lt;item&gt;3946&lt;/item&gt;&lt;item&gt;3947&lt;/item&gt;&lt;item&gt;3948&lt;/item&gt;&lt;item&gt;3951&lt;/item&gt;&lt;item&gt;3952&lt;/item&gt;&lt;item&gt;3954&lt;/item&gt;&lt;item&gt;3955&lt;/item&gt;&lt;item&gt;3956&lt;/item&gt;&lt;item&gt;3957&lt;/item&gt;&lt;item&gt;3958&lt;/item&gt;&lt;item&gt;3959&lt;/item&gt;&lt;item&gt;3960&lt;/item&gt;&lt;item&gt;3961&lt;/item&gt;&lt;item&gt;3962&lt;/item&gt;&lt;item&gt;3963&lt;/item&gt;&lt;item&gt;3965&lt;/item&gt;&lt;item&gt;3966&lt;/item&gt;&lt;item&gt;3968&lt;/item&gt;&lt;item&gt;3969&lt;/item&gt;&lt;item&gt;3970&lt;/item&gt;&lt;item&gt;3971&lt;/item&gt;&lt;item&gt;3972&lt;/item&gt;&lt;item&gt;4041&lt;/item&gt;&lt;item&gt;4081&lt;/item&gt;&lt;item&gt;4087&lt;/item&gt;&lt;item&gt;4088&lt;/item&gt;&lt;item&gt;4184&lt;/item&gt;&lt;item&gt;4185&lt;/item&gt;&lt;item&gt;4186&lt;/item&gt;&lt;item&gt;4187&lt;/item&gt;&lt;item&gt;4188&lt;/item&gt;&lt;item&gt;4189&lt;/item&gt;&lt;item&gt;4190&lt;/item&gt;&lt;item&gt;4191&lt;/item&gt;&lt;item&gt;4192&lt;/item&gt;&lt;item&gt;4193&lt;/item&gt;&lt;/record-ids&gt;&lt;/item&gt;&lt;/Libraries&gt;"/>
  </w:docVars>
  <w:rsids>
    <w:rsidRoot w:val="00C77BDD"/>
    <w:rsid w:val="000208CC"/>
    <w:rsid w:val="00020F06"/>
    <w:rsid w:val="00023873"/>
    <w:rsid w:val="00023D0D"/>
    <w:rsid w:val="00024CD3"/>
    <w:rsid w:val="00033501"/>
    <w:rsid w:val="00033F56"/>
    <w:rsid w:val="000340E0"/>
    <w:rsid w:val="000374E0"/>
    <w:rsid w:val="00042A4F"/>
    <w:rsid w:val="00042E89"/>
    <w:rsid w:val="00043A26"/>
    <w:rsid w:val="00044950"/>
    <w:rsid w:val="0005347F"/>
    <w:rsid w:val="000534F5"/>
    <w:rsid w:val="00054BC9"/>
    <w:rsid w:val="00065287"/>
    <w:rsid w:val="000670CD"/>
    <w:rsid w:val="00067C29"/>
    <w:rsid w:val="0007043E"/>
    <w:rsid w:val="00070842"/>
    <w:rsid w:val="0008015B"/>
    <w:rsid w:val="00082FB4"/>
    <w:rsid w:val="000839D6"/>
    <w:rsid w:val="00084E84"/>
    <w:rsid w:val="000B7CF1"/>
    <w:rsid w:val="000C0722"/>
    <w:rsid w:val="000D2521"/>
    <w:rsid w:val="000E0D00"/>
    <w:rsid w:val="000E39EF"/>
    <w:rsid w:val="000F1C69"/>
    <w:rsid w:val="000F1FF8"/>
    <w:rsid w:val="000F23B5"/>
    <w:rsid w:val="000F7604"/>
    <w:rsid w:val="0010021E"/>
    <w:rsid w:val="0010218A"/>
    <w:rsid w:val="0010575D"/>
    <w:rsid w:val="001066E6"/>
    <w:rsid w:val="00107DE0"/>
    <w:rsid w:val="00115A29"/>
    <w:rsid w:val="00120A6C"/>
    <w:rsid w:val="001254BA"/>
    <w:rsid w:val="00126DB0"/>
    <w:rsid w:val="00131131"/>
    <w:rsid w:val="00134523"/>
    <w:rsid w:val="001504C0"/>
    <w:rsid w:val="00166A1F"/>
    <w:rsid w:val="001752B3"/>
    <w:rsid w:val="001762C8"/>
    <w:rsid w:val="001810ED"/>
    <w:rsid w:val="001876CA"/>
    <w:rsid w:val="00190815"/>
    <w:rsid w:val="001926CB"/>
    <w:rsid w:val="00197C91"/>
    <w:rsid w:val="00197E19"/>
    <w:rsid w:val="001A02B0"/>
    <w:rsid w:val="001A052B"/>
    <w:rsid w:val="001A1907"/>
    <w:rsid w:val="001A2D9D"/>
    <w:rsid w:val="001B1562"/>
    <w:rsid w:val="001B4AA0"/>
    <w:rsid w:val="001C1BFC"/>
    <w:rsid w:val="001C2ADF"/>
    <w:rsid w:val="001C34BE"/>
    <w:rsid w:val="001C79E2"/>
    <w:rsid w:val="001D1694"/>
    <w:rsid w:val="001D1AE1"/>
    <w:rsid w:val="001E312C"/>
    <w:rsid w:val="001E41C4"/>
    <w:rsid w:val="001E6EB1"/>
    <w:rsid w:val="001E72FC"/>
    <w:rsid w:val="001F1DCA"/>
    <w:rsid w:val="00200D90"/>
    <w:rsid w:val="002037E0"/>
    <w:rsid w:val="00206D31"/>
    <w:rsid w:val="00215C70"/>
    <w:rsid w:val="00217ADB"/>
    <w:rsid w:val="00221BEC"/>
    <w:rsid w:val="002220CB"/>
    <w:rsid w:val="00224214"/>
    <w:rsid w:val="0022561F"/>
    <w:rsid w:val="00235ECB"/>
    <w:rsid w:val="00244214"/>
    <w:rsid w:val="002514E2"/>
    <w:rsid w:val="0025157D"/>
    <w:rsid w:val="00251DE0"/>
    <w:rsid w:val="002624AB"/>
    <w:rsid w:val="0026386E"/>
    <w:rsid w:val="00266233"/>
    <w:rsid w:val="00273B70"/>
    <w:rsid w:val="00275668"/>
    <w:rsid w:val="002774CF"/>
    <w:rsid w:val="00281E0B"/>
    <w:rsid w:val="00282BB5"/>
    <w:rsid w:val="00290D5C"/>
    <w:rsid w:val="00296EE3"/>
    <w:rsid w:val="002A180C"/>
    <w:rsid w:val="002A418F"/>
    <w:rsid w:val="002B08AD"/>
    <w:rsid w:val="002B10C4"/>
    <w:rsid w:val="002B68AF"/>
    <w:rsid w:val="002B791B"/>
    <w:rsid w:val="002C0219"/>
    <w:rsid w:val="002C2412"/>
    <w:rsid w:val="002C4DF0"/>
    <w:rsid w:val="002D06E8"/>
    <w:rsid w:val="002D1F8C"/>
    <w:rsid w:val="002D3666"/>
    <w:rsid w:val="002D4317"/>
    <w:rsid w:val="002E1E6D"/>
    <w:rsid w:val="002E2B0D"/>
    <w:rsid w:val="002E5311"/>
    <w:rsid w:val="002E7A45"/>
    <w:rsid w:val="002E7CE9"/>
    <w:rsid w:val="002F0218"/>
    <w:rsid w:val="002F1507"/>
    <w:rsid w:val="003017D5"/>
    <w:rsid w:val="003054F2"/>
    <w:rsid w:val="00311B1B"/>
    <w:rsid w:val="00312E67"/>
    <w:rsid w:val="00317DC7"/>
    <w:rsid w:val="003331B9"/>
    <w:rsid w:val="003335E7"/>
    <w:rsid w:val="003370DD"/>
    <w:rsid w:val="0034422D"/>
    <w:rsid w:val="003471D9"/>
    <w:rsid w:val="00347DD0"/>
    <w:rsid w:val="0038089E"/>
    <w:rsid w:val="003819A4"/>
    <w:rsid w:val="00381D4C"/>
    <w:rsid w:val="00387E60"/>
    <w:rsid w:val="00390870"/>
    <w:rsid w:val="003A2E3D"/>
    <w:rsid w:val="003A48E9"/>
    <w:rsid w:val="003A4A20"/>
    <w:rsid w:val="003A6E13"/>
    <w:rsid w:val="003B5646"/>
    <w:rsid w:val="003E365C"/>
    <w:rsid w:val="003F26DF"/>
    <w:rsid w:val="004009F7"/>
    <w:rsid w:val="00402053"/>
    <w:rsid w:val="004054E9"/>
    <w:rsid w:val="00424721"/>
    <w:rsid w:val="004313AF"/>
    <w:rsid w:val="0043282A"/>
    <w:rsid w:val="00432C92"/>
    <w:rsid w:val="004347FE"/>
    <w:rsid w:val="00436E14"/>
    <w:rsid w:val="004405E1"/>
    <w:rsid w:val="0044534A"/>
    <w:rsid w:val="00456BB1"/>
    <w:rsid w:val="00456C4B"/>
    <w:rsid w:val="00481D1A"/>
    <w:rsid w:val="00486480"/>
    <w:rsid w:val="00487921"/>
    <w:rsid w:val="00492598"/>
    <w:rsid w:val="00494C66"/>
    <w:rsid w:val="004953CA"/>
    <w:rsid w:val="00495F97"/>
    <w:rsid w:val="00496BDB"/>
    <w:rsid w:val="004A2E4D"/>
    <w:rsid w:val="004B3E56"/>
    <w:rsid w:val="004B4FAF"/>
    <w:rsid w:val="004B5842"/>
    <w:rsid w:val="004B711E"/>
    <w:rsid w:val="004C2BF9"/>
    <w:rsid w:val="004D39F2"/>
    <w:rsid w:val="004D59F4"/>
    <w:rsid w:val="004E745C"/>
    <w:rsid w:val="004F27E8"/>
    <w:rsid w:val="004F62EE"/>
    <w:rsid w:val="004F63DB"/>
    <w:rsid w:val="00504D33"/>
    <w:rsid w:val="005075B1"/>
    <w:rsid w:val="00510946"/>
    <w:rsid w:val="00510974"/>
    <w:rsid w:val="00514105"/>
    <w:rsid w:val="00517161"/>
    <w:rsid w:val="00520794"/>
    <w:rsid w:val="00522EF5"/>
    <w:rsid w:val="00523892"/>
    <w:rsid w:val="00527381"/>
    <w:rsid w:val="00527D73"/>
    <w:rsid w:val="00527F04"/>
    <w:rsid w:val="0053683A"/>
    <w:rsid w:val="00543C0D"/>
    <w:rsid w:val="00543EBC"/>
    <w:rsid w:val="00545A82"/>
    <w:rsid w:val="00547358"/>
    <w:rsid w:val="00547B27"/>
    <w:rsid w:val="00551FC2"/>
    <w:rsid w:val="00560A8E"/>
    <w:rsid w:val="0056175F"/>
    <w:rsid w:val="00561D18"/>
    <w:rsid w:val="00561DB0"/>
    <w:rsid w:val="00562C71"/>
    <w:rsid w:val="00570DD7"/>
    <w:rsid w:val="005847D3"/>
    <w:rsid w:val="00590A7C"/>
    <w:rsid w:val="00593091"/>
    <w:rsid w:val="00593E10"/>
    <w:rsid w:val="00596909"/>
    <w:rsid w:val="00596A4C"/>
    <w:rsid w:val="005B2156"/>
    <w:rsid w:val="005C029F"/>
    <w:rsid w:val="005C51F6"/>
    <w:rsid w:val="005D04F0"/>
    <w:rsid w:val="005E04D8"/>
    <w:rsid w:val="005E29B8"/>
    <w:rsid w:val="005F0FE6"/>
    <w:rsid w:val="005F1FCB"/>
    <w:rsid w:val="005F3255"/>
    <w:rsid w:val="00600B53"/>
    <w:rsid w:val="00607377"/>
    <w:rsid w:val="00607AB4"/>
    <w:rsid w:val="00611F75"/>
    <w:rsid w:val="00612D0C"/>
    <w:rsid w:val="0061569F"/>
    <w:rsid w:val="00617589"/>
    <w:rsid w:val="0061795B"/>
    <w:rsid w:val="00623547"/>
    <w:rsid w:val="00632047"/>
    <w:rsid w:val="00632373"/>
    <w:rsid w:val="006324A2"/>
    <w:rsid w:val="00632AB1"/>
    <w:rsid w:val="00633490"/>
    <w:rsid w:val="00634179"/>
    <w:rsid w:val="0063512D"/>
    <w:rsid w:val="00640048"/>
    <w:rsid w:val="006444DC"/>
    <w:rsid w:val="0064569D"/>
    <w:rsid w:val="0065064F"/>
    <w:rsid w:val="00651130"/>
    <w:rsid w:val="0065273D"/>
    <w:rsid w:val="006557AD"/>
    <w:rsid w:val="00656665"/>
    <w:rsid w:val="00656855"/>
    <w:rsid w:val="00663EF7"/>
    <w:rsid w:val="00664C78"/>
    <w:rsid w:val="00664DA4"/>
    <w:rsid w:val="0066636F"/>
    <w:rsid w:val="00671153"/>
    <w:rsid w:val="00672A74"/>
    <w:rsid w:val="006835C2"/>
    <w:rsid w:val="00684477"/>
    <w:rsid w:val="00684E18"/>
    <w:rsid w:val="00691D5E"/>
    <w:rsid w:val="0069699E"/>
    <w:rsid w:val="006A351D"/>
    <w:rsid w:val="006B3F30"/>
    <w:rsid w:val="006C057F"/>
    <w:rsid w:val="006C0738"/>
    <w:rsid w:val="006C32EF"/>
    <w:rsid w:val="006C4169"/>
    <w:rsid w:val="006D40C3"/>
    <w:rsid w:val="006D5C0E"/>
    <w:rsid w:val="006D61B8"/>
    <w:rsid w:val="006D7C2B"/>
    <w:rsid w:val="006E05B2"/>
    <w:rsid w:val="006E262A"/>
    <w:rsid w:val="006F226E"/>
    <w:rsid w:val="006F35D8"/>
    <w:rsid w:val="006F36A2"/>
    <w:rsid w:val="006F3F05"/>
    <w:rsid w:val="006F7995"/>
    <w:rsid w:val="00702E6A"/>
    <w:rsid w:val="00710D67"/>
    <w:rsid w:val="0072040C"/>
    <w:rsid w:val="0073111B"/>
    <w:rsid w:val="00731A63"/>
    <w:rsid w:val="00734400"/>
    <w:rsid w:val="00736BAB"/>
    <w:rsid w:val="0074198A"/>
    <w:rsid w:val="00742E53"/>
    <w:rsid w:val="00747D40"/>
    <w:rsid w:val="0075205E"/>
    <w:rsid w:val="00755273"/>
    <w:rsid w:val="00760604"/>
    <w:rsid w:val="007617A3"/>
    <w:rsid w:val="00765E85"/>
    <w:rsid w:val="007675D1"/>
    <w:rsid w:val="00767E40"/>
    <w:rsid w:val="00770914"/>
    <w:rsid w:val="007720DB"/>
    <w:rsid w:val="00787AFD"/>
    <w:rsid w:val="00787C67"/>
    <w:rsid w:val="00791B25"/>
    <w:rsid w:val="00797991"/>
    <w:rsid w:val="007B07A0"/>
    <w:rsid w:val="007B11EB"/>
    <w:rsid w:val="007B36D5"/>
    <w:rsid w:val="007B39F8"/>
    <w:rsid w:val="007B4382"/>
    <w:rsid w:val="007C24FB"/>
    <w:rsid w:val="007C73E1"/>
    <w:rsid w:val="007D2848"/>
    <w:rsid w:val="007D4872"/>
    <w:rsid w:val="007D7329"/>
    <w:rsid w:val="007D7669"/>
    <w:rsid w:val="007D7E83"/>
    <w:rsid w:val="007E2075"/>
    <w:rsid w:val="007E3A8B"/>
    <w:rsid w:val="007F1238"/>
    <w:rsid w:val="007F22BE"/>
    <w:rsid w:val="007F7B13"/>
    <w:rsid w:val="007F7DF4"/>
    <w:rsid w:val="00801B0C"/>
    <w:rsid w:val="00805207"/>
    <w:rsid w:val="008121FC"/>
    <w:rsid w:val="00814C6F"/>
    <w:rsid w:val="008163FD"/>
    <w:rsid w:val="0083271E"/>
    <w:rsid w:val="00834D98"/>
    <w:rsid w:val="00834F89"/>
    <w:rsid w:val="0083555B"/>
    <w:rsid w:val="00835C4F"/>
    <w:rsid w:val="0084213C"/>
    <w:rsid w:val="00845670"/>
    <w:rsid w:val="008502B9"/>
    <w:rsid w:val="008513DA"/>
    <w:rsid w:val="0085336E"/>
    <w:rsid w:val="008545A1"/>
    <w:rsid w:val="008546C7"/>
    <w:rsid w:val="008644DF"/>
    <w:rsid w:val="0086497B"/>
    <w:rsid w:val="00870720"/>
    <w:rsid w:val="008718F6"/>
    <w:rsid w:val="008734C8"/>
    <w:rsid w:val="00876CF2"/>
    <w:rsid w:val="00886796"/>
    <w:rsid w:val="0089161F"/>
    <w:rsid w:val="00893379"/>
    <w:rsid w:val="00893D19"/>
    <w:rsid w:val="00894F39"/>
    <w:rsid w:val="00897E5C"/>
    <w:rsid w:val="008A088B"/>
    <w:rsid w:val="008A0A5B"/>
    <w:rsid w:val="008A4C35"/>
    <w:rsid w:val="008A5D8B"/>
    <w:rsid w:val="008A68E7"/>
    <w:rsid w:val="008A7554"/>
    <w:rsid w:val="008A7603"/>
    <w:rsid w:val="008B10FD"/>
    <w:rsid w:val="008B2460"/>
    <w:rsid w:val="008B36A4"/>
    <w:rsid w:val="008B5ADD"/>
    <w:rsid w:val="008C1C8D"/>
    <w:rsid w:val="008C2235"/>
    <w:rsid w:val="008D1DC2"/>
    <w:rsid w:val="008D30A1"/>
    <w:rsid w:val="008D3189"/>
    <w:rsid w:val="008D3841"/>
    <w:rsid w:val="008E2C8A"/>
    <w:rsid w:val="008E4DE3"/>
    <w:rsid w:val="008E4E40"/>
    <w:rsid w:val="008E7291"/>
    <w:rsid w:val="008E7BA2"/>
    <w:rsid w:val="008F05C7"/>
    <w:rsid w:val="008F7639"/>
    <w:rsid w:val="009030E3"/>
    <w:rsid w:val="00911E86"/>
    <w:rsid w:val="00912D37"/>
    <w:rsid w:val="00913C96"/>
    <w:rsid w:val="00913D62"/>
    <w:rsid w:val="0092012C"/>
    <w:rsid w:val="00920F32"/>
    <w:rsid w:val="0092704B"/>
    <w:rsid w:val="009359C2"/>
    <w:rsid w:val="00936559"/>
    <w:rsid w:val="00937681"/>
    <w:rsid w:val="00940C57"/>
    <w:rsid w:val="00942EA0"/>
    <w:rsid w:val="00950741"/>
    <w:rsid w:val="009554E7"/>
    <w:rsid w:val="009560E3"/>
    <w:rsid w:val="009632C8"/>
    <w:rsid w:val="009648A9"/>
    <w:rsid w:val="009665FD"/>
    <w:rsid w:val="00971960"/>
    <w:rsid w:val="00975F55"/>
    <w:rsid w:val="00985A3C"/>
    <w:rsid w:val="00985CB6"/>
    <w:rsid w:val="00987428"/>
    <w:rsid w:val="009879B9"/>
    <w:rsid w:val="009969EF"/>
    <w:rsid w:val="009A4CAA"/>
    <w:rsid w:val="009A4D91"/>
    <w:rsid w:val="009B1CCA"/>
    <w:rsid w:val="009C22FC"/>
    <w:rsid w:val="009D3617"/>
    <w:rsid w:val="009D44A9"/>
    <w:rsid w:val="009D5150"/>
    <w:rsid w:val="009D6E06"/>
    <w:rsid w:val="009E33C6"/>
    <w:rsid w:val="009E37D5"/>
    <w:rsid w:val="009F2A8A"/>
    <w:rsid w:val="009F31B3"/>
    <w:rsid w:val="009F4021"/>
    <w:rsid w:val="009F4CAB"/>
    <w:rsid w:val="009F5183"/>
    <w:rsid w:val="009F70E9"/>
    <w:rsid w:val="00A07B0D"/>
    <w:rsid w:val="00A12FE2"/>
    <w:rsid w:val="00A15D28"/>
    <w:rsid w:val="00A2741F"/>
    <w:rsid w:val="00A311FC"/>
    <w:rsid w:val="00A3354B"/>
    <w:rsid w:val="00A407CF"/>
    <w:rsid w:val="00A46897"/>
    <w:rsid w:val="00A627CA"/>
    <w:rsid w:val="00A629E7"/>
    <w:rsid w:val="00A770B8"/>
    <w:rsid w:val="00A8681B"/>
    <w:rsid w:val="00A91311"/>
    <w:rsid w:val="00A9427A"/>
    <w:rsid w:val="00A95FF2"/>
    <w:rsid w:val="00A96DEF"/>
    <w:rsid w:val="00AA0CB2"/>
    <w:rsid w:val="00AA6332"/>
    <w:rsid w:val="00AA7411"/>
    <w:rsid w:val="00AB0144"/>
    <w:rsid w:val="00AB60BA"/>
    <w:rsid w:val="00AB73FB"/>
    <w:rsid w:val="00AC3A1D"/>
    <w:rsid w:val="00AC6BD5"/>
    <w:rsid w:val="00AD1091"/>
    <w:rsid w:val="00AD456D"/>
    <w:rsid w:val="00AE2B4A"/>
    <w:rsid w:val="00AE4440"/>
    <w:rsid w:val="00AF05B5"/>
    <w:rsid w:val="00AF2B47"/>
    <w:rsid w:val="00AF3C00"/>
    <w:rsid w:val="00AF51A3"/>
    <w:rsid w:val="00AF5F31"/>
    <w:rsid w:val="00B03C3A"/>
    <w:rsid w:val="00B05626"/>
    <w:rsid w:val="00B05B05"/>
    <w:rsid w:val="00B06972"/>
    <w:rsid w:val="00B06B28"/>
    <w:rsid w:val="00B116AC"/>
    <w:rsid w:val="00B24485"/>
    <w:rsid w:val="00B36016"/>
    <w:rsid w:val="00B400E2"/>
    <w:rsid w:val="00B43D35"/>
    <w:rsid w:val="00B451DB"/>
    <w:rsid w:val="00B4569E"/>
    <w:rsid w:val="00B52C90"/>
    <w:rsid w:val="00B53D00"/>
    <w:rsid w:val="00B5553F"/>
    <w:rsid w:val="00B55FD4"/>
    <w:rsid w:val="00B5635E"/>
    <w:rsid w:val="00B56856"/>
    <w:rsid w:val="00B57248"/>
    <w:rsid w:val="00B61E1C"/>
    <w:rsid w:val="00B641E6"/>
    <w:rsid w:val="00B65E73"/>
    <w:rsid w:val="00B844AA"/>
    <w:rsid w:val="00B86347"/>
    <w:rsid w:val="00B87104"/>
    <w:rsid w:val="00B950E3"/>
    <w:rsid w:val="00BA4786"/>
    <w:rsid w:val="00BA6F14"/>
    <w:rsid w:val="00BA712E"/>
    <w:rsid w:val="00BB7DA2"/>
    <w:rsid w:val="00BC2200"/>
    <w:rsid w:val="00BE4186"/>
    <w:rsid w:val="00BE4307"/>
    <w:rsid w:val="00BE7349"/>
    <w:rsid w:val="00BF1982"/>
    <w:rsid w:val="00BF1D86"/>
    <w:rsid w:val="00BF2EE2"/>
    <w:rsid w:val="00C04CA8"/>
    <w:rsid w:val="00C06753"/>
    <w:rsid w:val="00C12E3E"/>
    <w:rsid w:val="00C21892"/>
    <w:rsid w:val="00C37043"/>
    <w:rsid w:val="00C414CA"/>
    <w:rsid w:val="00C424DF"/>
    <w:rsid w:val="00C43A0E"/>
    <w:rsid w:val="00C45FF6"/>
    <w:rsid w:val="00C4674E"/>
    <w:rsid w:val="00C50373"/>
    <w:rsid w:val="00C656CB"/>
    <w:rsid w:val="00C658E0"/>
    <w:rsid w:val="00C65B45"/>
    <w:rsid w:val="00C74D3B"/>
    <w:rsid w:val="00C75412"/>
    <w:rsid w:val="00C77BDD"/>
    <w:rsid w:val="00C8037D"/>
    <w:rsid w:val="00C84546"/>
    <w:rsid w:val="00CB05FD"/>
    <w:rsid w:val="00CB3B16"/>
    <w:rsid w:val="00CB5CD2"/>
    <w:rsid w:val="00CC05BF"/>
    <w:rsid w:val="00CD011A"/>
    <w:rsid w:val="00CD1097"/>
    <w:rsid w:val="00CD18D0"/>
    <w:rsid w:val="00CD2C6C"/>
    <w:rsid w:val="00CD3523"/>
    <w:rsid w:val="00CD4EE6"/>
    <w:rsid w:val="00CD63A5"/>
    <w:rsid w:val="00CD67EC"/>
    <w:rsid w:val="00CE01C0"/>
    <w:rsid w:val="00CE1F04"/>
    <w:rsid w:val="00CE3380"/>
    <w:rsid w:val="00CF318C"/>
    <w:rsid w:val="00CF62AC"/>
    <w:rsid w:val="00D00ECD"/>
    <w:rsid w:val="00D0329B"/>
    <w:rsid w:val="00D055E8"/>
    <w:rsid w:val="00D314FB"/>
    <w:rsid w:val="00D34A29"/>
    <w:rsid w:val="00D42366"/>
    <w:rsid w:val="00D44DC1"/>
    <w:rsid w:val="00D54D52"/>
    <w:rsid w:val="00D6113B"/>
    <w:rsid w:val="00D61595"/>
    <w:rsid w:val="00D62BA2"/>
    <w:rsid w:val="00D7121B"/>
    <w:rsid w:val="00D76F05"/>
    <w:rsid w:val="00D803B8"/>
    <w:rsid w:val="00D85AB9"/>
    <w:rsid w:val="00D91260"/>
    <w:rsid w:val="00D91285"/>
    <w:rsid w:val="00D923EA"/>
    <w:rsid w:val="00D928E6"/>
    <w:rsid w:val="00D93698"/>
    <w:rsid w:val="00D97FCC"/>
    <w:rsid w:val="00DA2DDF"/>
    <w:rsid w:val="00DA6A4B"/>
    <w:rsid w:val="00DB3383"/>
    <w:rsid w:val="00DB6682"/>
    <w:rsid w:val="00DB7227"/>
    <w:rsid w:val="00DB7B21"/>
    <w:rsid w:val="00DC1498"/>
    <w:rsid w:val="00DC16AD"/>
    <w:rsid w:val="00DE1B7D"/>
    <w:rsid w:val="00DE2AB0"/>
    <w:rsid w:val="00DE52AA"/>
    <w:rsid w:val="00DF0BB0"/>
    <w:rsid w:val="00DF1398"/>
    <w:rsid w:val="00E054FD"/>
    <w:rsid w:val="00E060A3"/>
    <w:rsid w:val="00E07C40"/>
    <w:rsid w:val="00E13EC2"/>
    <w:rsid w:val="00E21582"/>
    <w:rsid w:val="00E235D8"/>
    <w:rsid w:val="00E23F3C"/>
    <w:rsid w:val="00E25B49"/>
    <w:rsid w:val="00E276BB"/>
    <w:rsid w:val="00E27A8C"/>
    <w:rsid w:val="00E30C8F"/>
    <w:rsid w:val="00E33B78"/>
    <w:rsid w:val="00E35D64"/>
    <w:rsid w:val="00E43D63"/>
    <w:rsid w:val="00E448A5"/>
    <w:rsid w:val="00E52981"/>
    <w:rsid w:val="00E5651B"/>
    <w:rsid w:val="00E63B8F"/>
    <w:rsid w:val="00E66D31"/>
    <w:rsid w:val="00E73FBD"/>
    <w:rsid w:val="00E7484E"/>
    <w:rsid w:val="00E80D21"/>
    <w:rsid w:val="00E82238"/>
    <w:rsid w:val="00E847DD"/>
    <w:rsid w:val="00E877DF"/>
    <w:rsid w:val="00E91172"/>
    <w:rsid w:val="00E93115"/>
    <w:rsid w:val="00E94086"/>
    <w:rsid w:val="00EA330D"/>
    <w:rsid w:val="00EA4E95"/>
    <w:rsid w:val="00EB0299"/>
    <w:rsid w:val="00EB37A7"/>
    <w:rsid w:val="00EC04D5"/>
    <w:rsid w:val="00EC7305"/>
    <w:rsid w:val="00EC7ED6"/>
    <w:rsid w:val="00ED4865"/>
    <w:rsid w:val="00EE3530"/>
    <w:rsid w:val="00EE5CA7"/>
    <w:rsid w:val="00EF2035"/>
    <w:rsid w:val="00EF5FD9"/>
    <w:rsid w:val="00F01421"/>
    <w:rsid w:val="00F03255"/>
    <w:rsid w:val="00F0719E"/>
    <w:rsid w:val="00F10FFF"/>
    <w:rsid w:val="00F204C1"/>
    <w:rsid w:val="00F301AF"/>
    <w:rsid w:val="00F373AF"/>
    <w:rsid w:val="00F44CBA"/>
    <w:rsid w:val="00F51011"/>
    <w:rsid w:val="00F52BAB"/>
    <w:rsid w:val="00F61246"/>
    <w:rsid w:val="00F6182A"/>
    <w:rsid w:val="00F62694"/>
    <w:rsid w:val="00F62A8A"/>
    <w:rsid w:val="00F66A65"/>
    <w:rsid w:val="00F674A9"/>
    <w:rsid w:val="00F73AC1"/>
    <w:rsid w:val="00F80429"/>
    <w:rsid w:val="00F84415"/>
    <w:rsid w:val="00F85DF8"/>
    <w:rsid w:val="00F90444"/>
    <w:rsid w:val="00F955E5"/>
    <w:rsid w:val="00F9572D"/>
    <w:rsid w:val="00FA152E"/>
    <w:rsid w:val="00FA1E47"/>
    <w:rsid w:val="00FB3065"/>
    <w:rsid w:val="00FB6ED7"/>
    <w:rsid w:val="00FC0D45"/>
    <w:rsid w:val="00FC2874"/>
    <w:rsid w:val="00FD0ECB"/>
    <w:rsid w:val="00FE6C0B"/>
    <w:rsid w:val="00FF67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96D42"/>
  <w15:chartTrackingRefBased/>
  <w15:docId w15:val="{8162C163-9CF1-429D-9FB0-7EE5FCC78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7BDD"/>
    <w:rPr>
      <w:color w:val="0563C1"/>
      <w:u w:val="single"/>
    </w:rPr>
  </w:style>
  <w:style w:type="character" w:styleId="FollowedHyperlink">
    <w:name w:val="FollowedHyperlink"/>
    <w:basedOn w:val="DefaultParagraphFont"/>
    <w:uiPriority w:val="99"/>
    <w:semiHidden/>
    <w:unhideWhenUsed/>
    <w:rsid w:val="00C77BDD"/>
    <w:rPr>
      <w:color w:val="954F72"/>
      <w:u w:val="single"/>
    </w:rPr>
  </w:style>
  <w:style w:type="paragraph" w:customStyle="1" w:styleId="msonormal0">
    <w:name w:val="msonormal"/>
    <w:basedOn w:val="Normal"/>
    <w:rsid w:val="00C77BD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ont0">
    <w:name w:val="font0"/>
    <w:basedOn w:val="Normal"/>
    <w:rsid w:val="00C77BDD"/>
    <w:pPr>
      <w:spacing w:before="100" w:beforeAutospacing="1" w:after="100" w:afterAutospacing="1" w:line="240" w:lineRule="auto"/>
    </w:pPr>
    <w:rPr>
      <w:rFonts w:ascii="Calibri" w:eastAsia="Times New Roman" w:hAnsi="Calibri" w:cs="Calibri"/>
      <w:color w:val="000000"/>
      <w:lang w:eastAsia="en-AU"/>
    </w:rPr>
  </w:style>
  <w:style w:type="paragraph" w:customStyle="1" w:styleId="font5">
    <w:name w:val="font5"/>
    <w:basedOn w:val="Normal"/>
    <w:rsid w:val="00C77BDD"/>
    <w:pPr>
      <w:spacing w:before="100" w:beforeAutospacing="1" w:after="100" w:afterAutospacing="1" w:line="240" w:lineRule="auto"/>
    </w:pPr>
    <w:rPr>
      <w:rFonts w:ascii="Arial" w:eastAsia="Times New Roman" w:hAnsi="Arial" w:cs="Arial"/>
      <w:color w:val="000000"/>
      <w:lang w:eastAsia="en-AU"/>
    </w:rPr>
  </w:style>
  <w:style w:type="paragraph" w:customStyle="1" w:styleId="font6">
    <w:name w:val="font6"/>
    <w:basedOn w:val="Normal"/>
    <w:rsid w:val="00C77BDD"/>
    <w:pPr>
      <w:spacing w:before="100" w:beforeAutospacing="1" w:after="100" w:afterAutospacing="1" w:line="240" w:lineRule="auto"/>
    </w:pPr>
    <w:rPr>
      <w:rFonts w:ascii="Calibri" w:eastAsia="Times New Roman" w:hAnsi="Calibri" w:cs="Calibri"/>
      <w:color w:val="000000"/>
      <w:lang w:eastAsia="en-AU"/>
    </w:rPr>
  </w:style>
  <w:style w:type="paragraph" w:customStyle="1" w:styleId="font7">
    <w:name w:val="font7"/>
    <w:basedOn w:val="Normal"/>
    <w:rsid w:val="00C77BDD"/>
    <w:pPr>
      <w:spacing w:before="100" w:beforeAutospacing="1" w:after="100" w:afterAutospacing="1" w:line="240" w:lineRule="auto"/>
    </w:pPr>
    <w:rPr>
      <w:rFonts w:ascii="Calibri" w:eastAsia="Times New Roman" w:hAnsi="Calibri" w:cs="Calibri"/>
      <w:b/>
      <w:bCs/>
      <w:color w:val="000000"/>
      <w:lang w:eastAsia="en-AU"/>
    </w:rPr>
  </w:style>
  <w:style w:type="paragraph" w:customStyle="1" w:styleId="font8">
    <w:name w:val="font8"/>
    <w:basedOn w:val="Normal"/>
    <w:rsid w:val="00C77BDD"/>
    <w:pPr>
      <w:spacing w:before="100" w:beforeAutospacing="1" w:after="100" w:afterAutospacing="1" w:line="240" w:lineRule="auto"/>
    </w:pPr>
    <w:rPr>
      <w:rFonts w:ascii="Calibri" w:eastAsia="Times New Roman" w:hAnsi="Calibri" w:cs="Calibri"/>
      <w:color w:val="FF0000"/>
      <w:lang w:eastAsia="en-AU"/>
    </w:rPr>
  </w:style>
  <w:style w:type="paragraph" w:customStyle="1" w:styleId="xl65">
    <w:name w:val="xl65"/>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66">
    <w:name w:val="xl66"/>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67">
    <w:name w:val="xl67"/>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68">
    <w:name w:val="xl68"/>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69">
    <w:name w:val="xl69"/>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0">
    <w:name w:val="xl70"/>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1">
    <w:name w:val="xl71"/>
    <w:basedOn w:val="Normal"/>
    <w:rsid w:val="00C77BD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72">
    <w:name w:val="xl72"/>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3">
    <w:name w:val="xl73"/>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4">
    <w:name w:val="xl74"/>
    <w:basedOn w:val="Normal"/>
    <w:rsid w:val="00C77BDD"/>
    <w:pP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5">
    <w:name w:val="xl75"/>
    <w:basedOn w:val="Normal"/>
    <w:rsid w:val="00C77BDD"/>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AU"/>
    </w:rPr>
  </w:style>
  <w:style w:type="table" w:styleId="PlainTable2">
    <w:name w:val="Plain Table 2"/>
    <w:basedOn w:val="TableNormal"/>
    <w:uiPriority w:val="42"/>
    <w:rsid w:val="00DB338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8D1DC2"/>
    <w:pPr>
      <w:ind w:left="720"/>
      <w:contextualSpacing/>
    </w:pPr>
  </w:style>
  <w:style w:type="paragraph" w:customStyle="1" w:styleId="EndNoteBibliographyTitle">
    <w:name w:val="EndNote Bibliography Title"/>
    <w:basedOn w:val="Normal"/>
    <w:link w:val="EndNoteBibliographyTitleChar"/>
    <w:rsid w:val="00EC7ED6"/>
    <w:pPr>
      <w:spacing w:after="0"/>
      <w:jc w:val="center"/>
    </w:pPr>
    <w:rPr>
      <w:rFonts w:ascii="Arial" w:hAnsi="Arial" w:cs="Arial"/>
      <w:noProof/>
      <w:lang w:val="en-US"/>
    </w:rPr>
  </w:style>
  <w:style w:type="character" w:customStyle="1" w:styleId="EndNoteBibliographyTitleChar">
    <w:name w:val="EndNote Bibliography Title Char"/>
    <w:basedOn w:val="DefaultParagraphFont"/>
    <w:link w:val="EndNoteBibliographyTitle"/>
    <w:rsid w:val="00EC7ED6"/>
    <w:rPr>
      <w:rFonts w:ascii="Arial" w:hAnsi="Arial" w:cs="Arial"/>
      <w:noProof/>
      <w:lang w:val="en-US"/>
    </w:rPr>
  </w:style>
  <w:style w:type="paragraph" w:customStyle="1" w:styleId="EndNoteBibliography">
    <w:name w:val="EndNote Bibliography"/>
    <w:basedOn w:val="Normal"/>
    <w:link w:val="EndNoteBibliographyChar"/>
    <w:rsid w:val="00EC7ED6"/>
    <w:pPr>
      <w:spacing w:line="480" w:lineRule="auto"/>
    </w:pPr>
    <w:rPr>
      <w:rFonts w:ascii="Arial" w:hAnsi="Arial" w:cs="Arial"/>
      <w:noProof/>
      <w:lang w:val="en-US"/>
    </w:rPr>
  </w:style>
  <w:style w:type="character" w:customStyle="1" w:styleId="EndNoteBibliographyChar">
    <w:name w:val="EndNote Bibliography Char"/>
    <w:basedOn w:val="DefaultParagraphFont"/>
    <w:link w:val="EndNoteBibliography"/>
    <w:rsid w:val="00EC7ED6"/>
    <w:rPr>
      <w:rFonts w:ascii="Arial" w:hAnsi="Arial" w:cs="Arial"/>
      <w:noProof/>
      <w:lang w:val="en-US"/>
    </w:rPr>
  </w:style>
  <w:style w:type="character" w:customStyle="1" w:styleId="UnresolvedMention">
    <w:name w:val="Unresolved Mention"/>
    <w:basedOn w:val="DefaultParagraphFont"/>
    <w:uiPriority w:val="99"/>
    <w:semiHidden/>
    <w:unhideWhenUsed/>
    <w:rsid w:val="001A1907"/>
    <w:rPr>
      <w:color w:val="605E5C"/>
      <w:shd w:val="clear" w:color="auto" w:fill="E1DFDD"/>
    </w:rPr>
  </w:style>
  <w:style w:type="paragraph" w:customStyle="1" w:styleId="PaperTitle">
    <w:name w:val="Paper Title"/>
    <w:basedOn w:val="Normal"/>
    <w:link w:val="PaperTitleChar"/>
    <w:rsid w:val="006A351D"/>
    <w:pPr>
      <w:spacing w:after="0" w:line="480" w:lineRule="auto"/>
    </w:pPr>
    <w:rPr>
      <w:rFonts w:ascii="Times New Roman" w:eastAsia="Times New Roman" w:hAnsi="Times New Roman" w:cs="Times New Roman"/>
      <w:b/>
      <w:sz w:val="52"/>
      <w:szCs w:val="20"/>
      <w:lang w:val="en-GB" w:eastAsia="en-AU"/>
    </w:rPr>
  </w:style>
  <w:style w:type="character" w:customStyle="1" w:styleId="PaperTitleChar">
    <w:name w:val="Paper Title Char"/>
    <w:basedOn w:val="DefaultParagraphFont"/>
    <w:link w:val="PaperTitle"/>
    <w:rsid w:val="006A351D"/>
    <w:rPr>
      <w:rFonts w:ascii="Times New Roman" w:eastAsia="Times New Roman" w:hAnsi="Times New Roman" w:cs="Times New Roman"/>
      <w:b/>
      <w:sz w:val="52"/>
      <w:szCs w:val="20"/>
      <w:lang w:val="en-GB" w:eastAsia="en-AU"/>
    </w:rPr>
  </w:style>
  <w:style w:type="paragraph" w:styleId="Revision">
    <w:name w:val="Revision"/>
    <w:hidden/>
    <w:uiPriority w:val="99"/>
    <w:semiHidden/>
    <w:rsid w:val="006A351D"/>
    <w:pPr>
      <w:spacing w:after="0" w:line="240" w:lineRule="auto"/>
    </w:pPr>
  </w:style>
  <w:style w:type="paragraph" w:styleId="Header">
    <w:name w:val="header"/>
    <w:basedOn w:val="Normal"/>
    <w:link w:val="HeaderChar"/>
    <w:uiPriority w:val="99"/>
    <w:unhideWhenUsed/>
    <w:rsid w:val="006A35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51D"/>
  </w:style>
  <w:style w:type="paragraph" w:styleId="Footer">
    <w:name w:val="footer"/>
    <w:basedOn w:val="Normal"/>
    <w:link w:val="FooterChar"/>
    <w:uiPriority w:val="99"/>
    <w:unhideWhenUsed/>
    <w:rsid w:val="006A35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51D"/>
  </w:style>
  <w:style w:type="character" w:styleId="Strong">
    <w:name w:val="Strong"/>
    <w:basedOn w:val="DefaultParagraphFont"/>
    <w:uiPriority w:val="22"/>
    <w:qFormat/>
    <w:rsid w:val="006A351D"/>
    <w:rPr>
      <w:b/>
      <w:bCs/>
    </w:rPr>
  </w:style>
  <w:style w:type="table" w:styleId="TableGrid">
    <w:name w:val="Table Grid"/>
    <w:basedOn w:val="TableNormal"/>
    <w:uiPriority w:val="39"/>
    <w:rsid w:val="006A3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d78f839-bdcb-4a99-8775-1d79bece4e3b}" enabled="1" method="Privileged" siteId="{5a7cc8ab-a4dc-4f9b-bf60-66714049ad62}" removed="0"/>
</clbl:labelList>
</file>

<file path=docProps/app.xml><?xml version="1.0" encoding="utf-8"?>
<Properties xmlns="http://schemas.openxmlformats.org/officeDocument/2006/extended-properties" xmlns:vt="http://schemas.openxmlformats.org/officeDocument/2006/docPropsVTypes">
  <Template>Normal</Template>
  <TotalTime>1088</TotalTime>
  <Pages>40</Pages>
  <Words>13214</Words>
  <Characters>75325</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Broadley</dc:creator>
  <cp:keywords/>
  <dc:description/>
  <cp:lastModifiedBy>Balasubramaniyan Thangavel</cp:lastModifiedBy>
  <cp:revision>9</cp:revision>
  <dcterms:created xsi:type="dcterms:W3CDTF">2024-03-12T11:08:00Z</dcterms:created>
  <dcterms:modified xsi:type="dcterms:W3CDTF">2024-05-25T07:14:00Z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aa4be3-f650-4692-881a-64ae220cbceb_Enabled">
    <vt:lpwstr>true</vt:lpwstr>
  </property>
  <property fmtid="{D5CDD505-2E9C-101B-9397-08002B2CF9AE}" pid="3" name="MSIP_Label_adaa4be3-f650-4692-881a-64ae220cbceb_SetDate">
    <vt:lpwstr>2023-03-14T00:23:47Z</vt:lpwstr>
  </property>
  <property fmtid="{D5CDD505-2E9C-101B-9397-08002B2CF9AE}" pid="4" name="MSIP_Label_adaa4be3-f650-4692-881a-64ae220cbceb_Method">
    <vt:lpwstr>Standard</vt:lpwstr>
  </property>
  <property fmtid="{D5CDD505-2E9C-101B-9397-08002B2CF9AE}" pid="5" name="MSIP_Label_adaa4be3-f650-4692-881a-64ae220cbceb_Name">
    <vt:lpwstr>OFFICIAL  Internal (External sharing)</vt:lpwstr>
  </property>
  <property fmtid="{D5CDD505-2E9C-101B-9397-08002B2CF9AE}" pid="6" name="MSIP_Label_adaa4be3-f650-4692-881a-64ae220cbceb_SiteId">
    <vt:lpwstr>5a7cc8ab-a4dc-4f9b-bf60-66714049ad62</vt:lpwstr>
  </property>
  <property fmtid="{D5CDD505-2E9C-101B-9397-08002B2CF9AE}" pid="7" name="MSIP_Label_adaa4be3-f650-4692-881a-64ae220cbceb_ActionId">
    <vt:lpwstr>5822d63a-dc28-4f4a-a868-d6f3d40fcb5d</vt:lpwstr>
  </property>
  <property fmtid="{D5CDD505-2E9C-101B-9397-08002B2CF9AE}" pid="8" name="MSIP_Label_adaa4be3-f650-4692-881a-64ae220cbceb_ContentBits">
    <vt:lpwstr>0</vt:lpwstr>
  </property>
</Properties>
</file>